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宋体" w:eastAsia="方正小标宋_GBK"/>
          <w:sz w:val="44"/>
          <w:szCs w:val="44"/>
          <w:highlight w:val="none"/>
        </w:rPr>
      </w:pPr>
    </w:p>
    <w:p>
      <w:pPr>
        <w:jc w:val="center"/>
        <w:rPr>
          <w:rFonts w:hint="eastAsia" w:ascii="方正小标宋_GBK" w:hAnsi="方正小标宋_GBK" w:eastAsia="方正小标宋_GBK"/>
          <w:sz w:val="44"/>
          <w:highlight w:val="none"/>
        </w:rPr>
      </w:pPr>
      <w:r>
        <w:rPr>
          <w:rFonts w:hint="eastAsia" w:ascii="方正小标宋_GBK" w:hAnsi="方正小标宋_GBK" w:eastAsia="方正小标宋_GBK"/>
          <w:sz w:val="44"/>
          <w:highlight w:val="none"/>
        </w:rPr>
        <w:t>乌鲁木齐市水磨沟区教育局</w:t>
      </w:r>
      <w:r>
        <w:rPr>
          <w:rFonts w:ascii="方正小标宋_GBK" w:hAnsi="方正小标宋_GBK" w:eastAsia="方正小标宋_GBK"/>
          <w:sz w:val="44"/>
          <w:highlight w:val="none"/>
        </w:rPr>
        <w:t>202</w:t>
      </w:r>
      <w:r>
        <w:rPr>
          <w:rFonts w:hint="eastAsia" w:ascii="方正小标宋_GBK" w:hAnsi="方正小标宋_GBK" w:eastAsia="方正小标宋_GBK"/>
          <w:sz w:val="44"/>
          <w:highlight w:val="none"/>
        </w:rPr>
        <w:t>2年度</w:t>
      </w:r>
    </w:p>
    <w:p>
      <w:pPr>
        <w:jc w:val="center"/>
        <w:rPr>
          <w:rFonts w:hint="eastAsia" w:ascii="方正小标宋_GBK" w:hAnsi="宋体" w:eastAsia="方正小标宋_GBK"/>
          <w:sz w:val="44"/>
          <w:szCs w:val="44"/>
          <w:highlight w:val="none"/>
        </w:rPr>
      </w:pPr>
      <w:r>
        <w:rPr>
          <w:rFonts w:hint="eastAsia" w:ascii="方正小标宋_GBK" w:hAnsi="方正小标宋_GBK" w:eastAsia="方正小标宋_GBK"/>
          <w:sz w:val="44"/>
          <w:highlight w:val="none"/>
        </w:rPr>
        <w:t>部门决算公开说明</w:t>
      </w:r>
    </w:p>
    <w:p>
      <w:pPr>
        <w:jc w:val="center"/>
        <w:rPr>
          <w:rFonts w:hint="eastAsia" w:ascii="仿宋_GB2312" w:hAnsi="仿宋_GB2312" w:eastAsia="仿宋_GB2312" w:cs="仿宋_GB2312"/>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kern w:val="0"/>
          <w:sz w:val="36"/>
          <w:szCs w:val="36"/>
          <w:highlight w:val="none"/>
        </w:rPr>
        <w:t>目  录</w:t>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二、机构设置及人员情况</w:t>
      </w:r>
      <w:r>
        <w:rPr>
          <w:rFonts w:hint="eastAsia" w:ascii="仿宋_GB2312" w:hAnsi="仿宋_GB2312" w:eastAsia="仿宋_GB2312" w:cs="仿宋_GB2312"/>
          <w:sz w:val="32"/>
          <w:szCs w:val="32"/>
          <w:highlight w:val="none"/>
        </w:rPr>
        <w:fldChar w:fldCharType="end"/>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四、财政拨款收入支出决算总体情况说明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九、国有资本经营预算财政拨款收入支出决算情况说明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bCs/>
          <w:kern w:val="0"/>
          <w:sz w:val="32"/>
          <w:szCs w:val="32"/>
          <w:highlight w:val="none"/>
        </w:rPr>
        <w:t>、其他重要事项的情况说明</w:t>
      </w:r>
      <w:r>
        <w:rPr>
          <w:rFonts w:hint="eastAsia" w:ascii="仿宋_GB2312" w:hAnsi="仿宋_GB2312" w:eastAsia="仿宋_GB2312" w:cs="仿宋_GB2312"/>
          <w:sz w:val="32"/>
          <w:szCs w:val="32"/>
          <w:highlight w:val="none"/>
        </w:rPr>
        <w:fldChar w:fldCharType="end"/>
      </w:r>
    </w:p>
    <w:p>
      <w:pPr>
        <w:pStyle w:val="3"/>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（一）机关运行经费支出情况</w:t>
      </w:r>
      <w:r>
        <w:rPr>
          <w:rFonts w:hint="eastAsia" w:ascii="仿宋_GB2312" w:hAnsi="仿宋_GB2312" w:eastAsia="仿宋_GB2312" w:cs="仿宋_GB2312"/>
          <w:sz w:val="32"/>
          <w:szCs w:val="32"/>
          <w:highlight w:val="none"/>
        </w:rPr>
        <w:fldChar w:fldCharType="end"/>
      </w:r>
    </w:p>
    <w:p>
      <w:pPr>
        <w:pStyle w:val="3"/>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（二）政府采购情况</w:t>
      </w:r>
      <w:r>
        <w:rPr>
          <w:rFonts w:hint="eastAsia" w:ascii="仿宋_GB2312" w:hAnsi="仿宋_GB2312" w:eastAsia="仿宋_GB2312" w:cs="仿宋_GB2312"/>
          <w:sz w:val="32"/>
          <w:szCs w:val="32"/>
          <w:highlight w:val="none"/>
        </w:rPr>
        <w:fldChar w:fldCharType="end"/>
      </w:r>
    </w:p>
    <w:p>
      <w:pPr>
        <w:pStyle w:val="3"/>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（三）国有资产占用情况说明</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十一、预算绩效的情况说明</w:t>
      </w:r>
      <w:r>
        <w:rPr>
          <w:rFonts w:hint="eastAsia" w:ascii="仿宋_GB2312" w:hAnsi="仿宋_GB2312" w:eastAsia="仿宋_GB2312" w:cs="仿宋_GB2312"/>
          <w:sz w:val="32"/>
          <w:szCs w:val="32"/>
          <w:highlight w:val="none"/>
        </w:rPr>
        <w:fldChar w:fldCharType="end"/>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tabs>
          <w:tab w:val="right" w:pos="8306"/>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tabs>
          <w:tab w:val="right" w:pos="8306"/>
        </w:tabs>
        <w:ind w:left="0" w:leftChars="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rPr>
        <w:t>八、《政府性基金预算财政拨款收入支出决算表》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tabs>
          <w:tab w:val="right" w:pos="8306"/>
        </w:tabs>
        <w:ind w:left="0" w:leftChars="0"/>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九、《国有资本经营预算财政拨款收入支出决算表》</w:t>
      </w:r>
    </w:p>
    <w:p>
      <w:pPr>
        <w:rPr>
          <w:highlight w:val="none"/>
        </w:rPr>
      </w:pPr>
      <w:r>
        <w:rPr>
          <w:rFonts w:hint="eastAsia" w:ascii="仿宋_GB2312" w:hAnsi="仿宋_GB2312" w:eastAsia="仿宋_GB2312" w:cs="仿宋_GB2312"/>
          <w:sz w:val="32"/>
          <w:szCs w:val="32"/>
          <w:highlight w:val="none"/>
        </w:rPr>
        <w:fldChar w:fldCharType="end"/>
      </w:r>
    </w:p>
    <w:p>
      <w:pPr>
        <w:ind w:firstLine="640" w:firstLineChars="200"/>
        <w:jc w:val="center"/>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ind w:firstLine="640" w:firstLineChars="200"/>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bookmarkStart w:id="4" w:name="_Toc2151"/>
      <w:bookmarkStart w:id="5" w:name="_Toc31238"/>
      <w:r>
        <w:rPr>
          <w:rFonts w:hint="eastAsia" w:ascii="仿宋_GB2312" w:eastAsia="仿宋_GB2312" w:cs="仿宋_GB2312"/>
          <w:kern w:val="0"/>
          <w:sz w:val="32"/>
          <w:szCs w:val="32"/>
          <w:highlight w:val="none"/>
        </w:rPr>
        <w:t>（一）贯彻执行国家、自治区和乌鲁木齐市有关教育工作的方针、政策和法律、法规；编制教育发展中长期规划和年度计划，并组织实施。</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（二）指导和推进全区教育体制改革工作，科学规划教育布局，优化教育资源配置。</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（三）管理全区的学前教育、基础教育、职业教育、特殊教育和民办教育。</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（四）组织实施并监督义务教育工作，推进义务教育均衡发展，促进教育公平。</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（五）监督检查学校课程方案、课程标准的实施；组织、指导教育科学研究工作；指导学校教学装备的配备；配合有关部门做好学校语言文字工作。</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（六）负责指导学校德育工作；负责指导学校体育、卫生、艺术教育工作以及思想政治、纪律法制、劳动技术、社会实践等专项教育；协助有关部门做好学校国防教育和军训工作。</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（七）组织、指导、协调全区各类学校“通用语言”教学工作。</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（八）指导学校开展安全教育，监督检查学校安全、保卫、消防和校车安全管理工作的落实。</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（九）组织实施教育信息化工作；统计、分析和发布教育基本信息。</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（十）规范学校办学行为，指导学校依法治校和内部管理工作；负责教育系统对外交流工作。</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（十一）指导学校党建和教职工队伍建设工作；负责全区中小学校教师继续教育工作；负责中小学教师职称评定申报工作。</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（十二）负责提出教育拨款、教育基建投资的建议；监督教育经费及资产的管理、使用；负责统计全区教育经费投入情况；统筹管理本级教育经费。</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（十三）执行学校学籍管理办法，指导、监督、管理教育招生和考试工作。</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（十四）指导、协调家庭经济困难学生的资助管理工作。</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（十五）负责拟订全区教育督导计划和评估方案，组织开展对各类学校教育督政、督校工作；组织实施教育强区实施工作。</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（十六）协同有关部门建立和认定学生劳动基地、青少年科普活动基地。</w:t>
      </w:r>
    </w:p>
    <w:p>
      <w:pPr>
        <w:shd w:val="clear" w:color="auto" w:fill="FFFFFF"/>
        <w:autoSpaceDE w:val="0"/>
        <w:autoSpaceDN w:val="0"/>
        <w:adjustRightInd w:val="0"/>
        <w:spacing w:line="360" w:lineRule="auto"/>
        <w:ind w:firstLine="640"/>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（十七）协调、指导、监督成人扫盲工作；协调教育对口支援工作。</w:t>
      </w:r>
    </w:p>
    <w:p>
      <w:pPr>
        <w:ind w:firstLine="640" w:firstLineChars="200"/>
        <w:outlineLvl w:val="1"/>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（十八）承办区委、区人民政府交办的其他事项。</w:t>
      </w:r>
    </w:p>
    <w:p>
      <w:pPr>
        <w:ind w:firstLine="640" w:firstLineChars="200"/>
        <w:outlineLvl w:val="1"/>
        <w:rPr>
          <w:rFonts w:hint="eastAsia" w:ascii="仿宋_GB2312" w:eastAsia="仿宋_GB2312" w:cs="仿宋_GB2312"/>
          <w:kern w:val="0"/>
          <w:sz w:val="32"/>
          <w:szCs w:val="32"/>
          <w:highlight w:val="none"/>
        </w:rPr>
      </w:pPr>
    </w:p>
    <w:bookmarkEnd w:id="4"/>
    <w:bookmarkEnd w:id="5"/>
    <w:p>
      <w:pPr>
        <w:spacing w:line="360" w:lineRule="auto"/>
        <w:ind w:firstLine="640"/>
        <w:rPr>
          <w:rFonts w:eastAsia="Times New Roman"/>
          <w:sz w:val="32"/>
          <w:highlight w:val="none"/>
          <w:lang w:val="zh-CN"/>
        </w:rPr>
      </w:pPr>
      <w:r>
        <w:rPr>
          <w:rFonts w:hint="eastAsia" w:ascii="黑体" w:hAnsi="黑体" w:eastAsia="黑体"/>
          <w:sz w:val="32"/>
          <w:highlight w:val="none"/>
          <w:lang w:val="zh-CN"/>
        </w:rPr>
        <w:t>二、机构设置及人员情况</w:t>
      </w:r>
    </w:p>
    <w:p>
      <w:pPr>
        <w:shd w:val="clear" w:color="auto" w:fill="FFFFFF"/>
        <w:spacing w:line="360" w:lineRule="auto"/>
        <w:ind w:firstLine="640"/>
        <w:rPr>
          <w:rFonts w:eastAsia="Times New Roman"/>
          <w:kern w:val="0"/>
          <w:sz w:val="32"/>
          <w:highlight w:val="none"/>
        </w:rPr>
      </w:pPr>
      <w:r>
        <w:rPr>
          <w:rFonts w:hint="eastAsia" w:ascii="仿宋_GB2312" w:hAnsi="仿宋_GB2312" w:eastAsia="仿宋_GB2312"/>
          <w:kern w:val="0"/>
          <w:sz w:val="32"/>
          <w:highlight w:val="none"/>
        </w:rPr>
        <w:t>乌鲁木齐市水磨沟区教育局</w:t>
      </w:r>
      <w:r>
        <w:rPr>
          <w:rFonts w:ascii="仿宋_GB2312" w:hAnsi="仿宋_GB2312" w:eastAsia="仿宋_GB2312"/>
          <w:kern w:val="0"/>
          <w:sz w:val="32"/>
          <w:highlight w:val="none"/>
        </w:rPr>
        <w:t>202</w:t>
      </w:r>
      <w:r>
        <w:rPr>
          <w:rFonts w:hint="eastAsia" w:ascii="仿宋_GB2312" w:hAnsi="仿宋_GB2312" w:eastAsia="仿宋_GB2312"/>
          <w:kern w:val="0"/>
          <w:sz w:val="32"/>
          <w:highlight w:val="none"/>
        </w:rPr>
        <w:t>2年度，实有人数50人，其中：在职人员30人，离休人员</w:t>
      </w:r>
      <w:r>
        <w:rPr>
          <w:rFonts w:ascii="仿宋_GB2312" w:hAnsi="仿宋_GB2312" w:eastAsia="仿宋_GB2312"/>
          <w:kern w:val="0"/>
          <w:sz w:val="32"/>
          <w:highlight w:val="none"/>
        </w:rPr>
        <w:t>0</w:t>
      </w:r>
      <w:r>
        <w:rPr>
          <w:rFonts w:hint="eastAsia" w:ascii="仿宋_GB2312" w:hAnsi="仿宋_GB2312" w:eastAsia="仿宋_GB2312"/>
          <w:kern w:val="0"/>
          <w:sz w:val="32"/>
          <w:highlight w:val="none"/>
        </w:rPr>
        <w:t>人，退休人员</w:t>
      </w:r>
      <w:r>
        <w:rPr>
          <w:rFonts w:ascii="仿宋_GB2312" w:hAnsi="仿宋_GB2312" w:eastAsia="仿宋_GB2312"/>
          <w:kern w:val="0"/>
          <w:sz w:val="32"/>
          <w:highlight w:val="none"/>
        </w:rPr>
        <w:t>20</w:t>
      </w:r>
      <w:r>
        <w:rPr>
          <w:rFonts w:hint="eastAsia" w:ascii="仿宋_GB2312" w:hAnsi="仿宋_GB2312" w:eastAsia="仿宋_GB2312"/>
          <w:kern w:val="0"/>
          <w:sz w:val="32"/>
          <w:highlight w:val="none"/>
        </w:rPr>
        <w:t>人。</w:t>
      </w:r>
    </w:p>
    <w:p>
      <w:pPr>
        <w:shd w:val="clear" w:color="auto" w:fill="FFFFFF"/>
        <w:autoSpaceDE w:val="0"/>
        <w:autoSpaceDN w:val="0"/>
        <w:adjustRightInd w:val="0"/>
        <w:spacing w:before="100" w:line="360" w:lineRule="auto"/>
        <w:ind w:firstLine="482"/>
        <w:rPr>
          <w:rFonts w:eastAsia="仿宋_GB2312"/>
          <w:kern w:val="0"/>
          <w:sz w:val="28"/>
          <w:highlight w:val="none"/>
          <w:lang w:val="zh-CN"/>
        </w:rPr>
      </w:pPr>
      <w:r>
        <w:rPr>
          <w:rFonts w:hint="eastAsia" w:ascii="仿宋_GB2312" w:hAnsi="仿宋_GB2312" w:eastAsia="仿宋_GB2312"/>
          <w:kern w:val="0"/>
          <w:sz w:val="32"/>
          <w:highlight w:val="none"/>
        </w:rPr>
        <w:t>从部门决算单位构成看，乌鲁木齐市水磨沟区教育局部门决算包括：乌鲁木齐市水磨沟区教育局</w:t>
      </w:r>
      <w:r>
        <w:rPr>
          <w:rFonts w:hint="eastAsia" w:ascii="仿宋_GB2312" w:hAnsi="仿宋_GB2312" w:eastAsia="仿宋_GB2312"/>
          <w:kern w:val="0"/>
          <w:sz w:val="32"/>
          <w:highlight w:val="none"/>
          <w:lang w:val="zh-CN"/>
        </w:rPr>
        <w:t>决算。单位无下属预算单位，下设</w:t>
      </w:r>
      <w:r>
        <w:rPr>
          <w:rFonts w:ascii="仿宋_GB2312" w:hAnsi="仿宋_GB2312" w:eastAsia="仿宋_GB2312"/>
          <w:kern w:val="0"/>
          <w:sz w:val="32"/>
          <w:highlight w:val="none"/>
        </w:rPr>
        <w:t>9</w:t>
      </w:r>
      <w:r>
        <w:rPr>
          <w:rFonts w:hint="eastAsia" w:ascii="仿宋_GB2312" w:hAnsi="仿宋_GB2312" w:eastAsia="仿宋_GB2312"/>
          <w:kern w:val="0"/>
          <w:sz w:val="32"/>
          <w:highlight w:val="none"/>
          <w:lang w:val="zh-CN"/>
        </w:rPr>
        <w:t>个科室，分别是：</w:t>
      </w:r>
      <w:r>
        <w:rPr>
          <w:rFonts w:hint="eastAsia" w:ascii="仿宋_GB2312" w:hAnsi="宋体" w:eastAsia="仿宋_GB2312"/>
          <w:kern w:val="0"/>
          <w:sz w:val="32"/>
          <w:highlight w:val="none"/>
        </w:rPr>
        <w:t>办公室、督导室、工会、综合科、基教科、核算中心、人事科、民管办、安全科</w:t>
      </w:r>
      <w:r>
        <w:rPr>
          <w:rFonts w:hint="eastAsia" w:ascii="仿宋_GB2312" w:eastAsia="仿宋_GB2312"/>
          <w:kern w:val="0"/>
          <w:sz w:val="32"/>
          <w:highlight w:val="none"/>
          <w:lang w:val="zh-CN"/>
        </w:rPr>
        <w:t>。</w:t>
      </w:r>
    </w:p>
    <w:p>
      <w:pPr>
        <w:spacing w:line="600" w:lineRule="exact"/>
        <w:ind w:firstLine="643" w:firstLineChars="200"/>
        <w:rPr>
          <w:rFonts w:hint="eastAsia" w:ascii="仿宋_GB2312" w:hAnsi="仿宋_GB2312" w:eastAsia="仿宋_GB2312" w:cs="仿宋_GB2312"/>
          <w:b/>
          <w:sz w:val="32"/>
          <w:szCs w:val="32"/>
          <w:highlight w:val="none"/>
        </w:rPr>
      </w:pPr>
    </w:p>
    <w:p>
      <w:pPr>
        <w:ind w:firstLine="640" w:firstLineChars="200"/>
        <w:jc w:val="center"/>
        <w:outlineLvl w:val="0"/>
        <w:rPr>
          <w:rFonts w:hint="eastAsia" w:ascii="黑体" w:hAnsi="黑体" w:eastAsia="黑体"/>
          <w:sz w:val="32"/>
          <w:szCs w:val="32"/>
          <w:highlight w:val="none"/>
        </w:rPr>
      </w:pPr>
      <w:bookmarkStart w:id="6" w:name="_Toc3092"/>
      <w:bookmarkStart w:id="7" w:name="_Toc29374"/>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ind w:firstLine="640" w:firstLineChars="200"/>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2022年度收入总计</w:t>
      </w:r>
      <w:r>
        <w:rPr>
          <w:rFonts w:ascii="仿宋_GB2312" w:eastAsia="仿宋_GB2312"/>
          <w:sz w:val="32"/>
          <w:szCs w:val="32"/>
          <w:highlight w:val="none"/>
        </w:rPr>
        <w:t>4,016.08</w:t>
      </w:r>
      <w:r>
        <w:rPr>
          <w:rFonts w:hint="eastAsia" w:ascii="仿宋_GB2312" w:eastAsia="仿宋_GB2312"/>
          <w:sz w:val="32"/>
          <w:szCs w:val="32"/>
          <w:highlight w:val="none"/>
        </w:rPr>
        <w:t>万元，其中：本年收入合计</w:t>
      </w:r>
      <w:r>
        <w:rPr>
          <w:rFonts w:ascii="仿宋_GB2312" w:eastAsia="仿宋_GB2312"/>
          <w:sz w:val="32"/>
          <w:szCs w:val="32"/>
          <w:highlight w:val="none"/>
        </w:rPr>
        <w:t>3,841.16</w:t>
      </w:r>
      <w:r>
        <w:rPr>
          <w:rFonts w:hint="eastAsia" w:ascii="仿宋_GB2312" w:eastAsia="仿宋_GB2312"/>
          <w:sz w:val="32"/>
          <w:szCs w:val="32"/>
          <w:highlight w:val="none"/>
        </w:rPr>
        <w:t>万元，使用非财政拨款结余0万元，年初结转和结余</w:t>
      </w:r>
      <w:r>
        <w:rPr>
          <w:rFonts w:ascii="仿宋_GB2312" w:eastAsia="仿宋_GB2312"/>
          <w:sz w:val="32"/>
          <w:szCs w:val="32"/>
          <w:highlight w:val="none"/>
        </w:rPr>
        <w:t>174.92</w:t>
      </w:r>
      <w:r>
        <w:rPr>
          <w:rFonts w:hint="eastAsia" w:ascii="仿宋_GB2312" w:eastAsia="仿宋_GB2312"/>
          <w:sz w:val="32"/>
          <w:szCs w:val="32"/>
          <w:highlight w:val="none"/>
        </w:rPr>
        <w:t>万元。收入总计与上年相比，增减少</w:t>
      </w:r>
      <w:r>
        <w:rPr>
          <w:rFonts w:hint="eastAsia" w:ascii="仿宋_GB2312" w:eastAsia="仿宋_GB2312"/>
          <w:sz w:val="32"/>
          <w:szCs w:val="32"/>
          <w:highlight w:val="none"/>
          <w:lang w:val="en-US" w:eastAsia="zh-CN"/>
        </w:rPr>
        <w:t>6453.25</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61.64</w:t>
      </w:r>
      <w:r>
        <w:rPr>
          <w:rFonts w:hint="eastAsia" w:ascii="仿宋_GB2312" w:eastAsia="仿宋_GB2312"/>
          <w:sz w:val="32"/>
          <w:szCs w:val="32"/>
          <w:highlight w:val="none"/>
        </w:rPr>
        <w:t>%，主要原因是：</w:t>
      </w:r>
      <w:r>
        <w:rPr>
          <w:rFonts w:hint="eastAsia" w:ascii="仿宋_GB2312" w:hAnsi="仿宋_GB2312" w:eastAsia="仿宋_GB2312"/>
          <w:kern w:val="0"/>
          <w:sz w:val="32"/>
          <w:highlight w:val="none"/>
        </w:rPr>
        <w:t>基建项目压减，收入减少；会展片区七道湾东街学校、会展中街南学校等基建项目经费调入预拨经费</w:t>
      </w:r>
      <w:r>
        <w:rPr>
          <w:rFonts w:hint="eastAsia" w:ascii="仿宋_GB2312" w:eastAsia="仿宋_GB2312"/>
          <w:sz w:val="32"/>
          <w:szCs w:val="32"/>
          <w:highlight w:val="none"/>
        </w:rPr>
        <w:t>。</w:t>
      </w:r>
    </w:p>
    <w:p>
      <w:pPr>
        <w:ind w:firstLine="640" w:firstLineChars="200"/>
        <w:rPr>
          <w:rFonts w:ascii="仿宋_GB2312" w:eastAsia="仿宋_GB2312"/>
          <w:sz w:val="32"/>
          <w:szCs w:val="32"/>
          <w:highlight w:val="none"/>
        </w:rPr>
      </w:pPr>
      <w:r>
        <w:rPr>
          <w:rFonts w:hint="eastAsia" w:ascii="仿宋_GB2312" w:eastAsia="仿宋_GB2312"/>
          <w:sz w:val="32"/>
          <w:szCs w:val="32"/>
          <w:highlight w:val="none"/>
        </w:rPr>
        <w:t>本年支出总计</w:t>
      </w:r>
      <w:r>
        <w:rPr>
          <w:rFonts w:ascii="仿宋_GB2312" w:eastAsia="仿宋_GB2312"/>
          <w:sz w:val="32"/>
          <w:szCs w:val="32"/>
          <w:highlight w:val="none"/>
        </w:rPr>
        <w:t>4,016.08</w:t>
      </w:r>
      <w:r>
        <w:rPr>
          <w:rFonts w:hint="eastAsia" w:ascii="仿宋_GB2312" w:eastAsia="仿宋_GB2312"/>
          <w:sz w:val="32"/>
          <w:szCs w:val="32"/>
          <w:highlight w:val="none"/>
        </w:rPr>
        <w:t>万元，其中：本年支出合计</w:t>
      </w:r>
      <w:r>
        <w:rPr>
          <w:rFonts w:ascii="仿宋_GB2312" w:eastAsia="仿宋_GB2312"/>
          <w:sz w:val="32"/>
          <w:szCs w:val="32"/>
          <w:highlight w:val="none"/>
        </w:rPr>
        <w:t>3,864.82</w:t>
      </w:r>
      <w:r>
        <w:rPr>
          <w:rFonts w:hint="eastAsia" w:ascii="仿宋_GB2312" w:eastAsia="仿宋_GB2312"/>
          <w:sz w:val="32"/>
          <w:szCs w:val="32"/>
          <w:highlight w:val="none"/>
        </w:rPr>
        <w:t>万元，年末结转和结余</w:t>
      </w:r>
      <w:r>
        <w:rPr>
          <w:rFonts w:ascii="仿宋_GB2312" w:eastAsia="仿宋_GB2312"/>
          <w:sz w:val="32"/>
          <w:szCs w:val="32"/>
          <w:highlight w:val="none"/>
        </w:rPr>
        <w:t>151.26</w:t>
      </w:r>
      <w:r>
        <w:rPr>
          <w:rFonts w:hint="eastAsia" w:ascii="仿宋_GB2312" w:eastAsia="仿宋_GB2312"/>
          <w:sz w:val="32"/>
          <w:szCs w:val="32"/>
          <w:highlight w:val="none"/>
        </w:rPr>
        <w:t>万元。支出总计与上年相比，减少</w:t>
      </w:r>
      <w:r>
        <w:rPr>
          <w:rFonts w:hint="eastAsia" w:ascii="仿宋_GB2312" w:eastAsia="仿宋_GB2312"/>
          <w:sz w:val="32"/>
          <w:szCs w:val="32"/>
          <w:highlight w:val="none"/>
          <w:lang w:val="en-US" w:eastAsia="zh-CN"/>
        </w:rPr>
        <w:t>6453.25</w:t>
      </w:r>
      <w:r>
        <w:rPr>
          <w:rFonts w:hint="eastAsia" w:ascii="仿宋_GB2312" w:eastAsia="仿宋_GB2312"/>
          <w:sz w:val="32"/>
          <w:szCs w:val="32"/>
          <w:highlight w:val="none"/>
        </w:rPr>
        <w:t>万元，下降6</w:t>
      </w:r>
      <w:r>
        <w:rPr>
          <w:rFonts w:hint="eastAsia" w:ascii="仿宋_GB2312" w:eastAsia="仿宋_GB2312"/>
          <w:sz w:val="32"/>
          <w:szCs w:val="32"/>
          <w:highlight w:val="none"/>
          <w:lang w:val="en-US" w:eastAsia="zh-CN"/>
        </w:rPr>
        <w:t>1.64</w:t>
      </w:r>
      <w:r>
        <w:rPr>
          <w:rFonts w:hint="eastAsia" w:ascii="仿宋_GB2312" w:eastAsia="仿宋_GB2312"/>
          <w:sz w:val="32"/>
          <w:szCs w:val="32"/>
          <w:highlight w:val="none"/>
        </w:rPr>
        <w:t>%，主要原因是：</w:t>
      </w:r>
      <w:r>
        <w:rPr>
          <w:rFonts w:hint="eastAsia" w:ascii="仿宋_GB2312" w:hAnsi="仿宋_GB2312" w:eastAsia="仿宋_GB2312"/>
          <w:kern w:val="0"/>
          <w:sz w:val="32"/>
          <w:highlight w:val="none"/>
        </w:rPr>
        <w:t>南疆支教经费、学前免补经费未下拨；会展片区七道湾东街学校、会展中街南学校等基建项目经费调入预拨经费</w:t>
      </w:r>
      <w:r>
        <w:rPr>
          <w:rFonts w:hint="eastAsia" w:ascii="仿宋_GB2312" w:eastAsia="仿宋_GB2312"/>
          <w:sz w:val="32"/>
          <w:szCs w:val="32"/>
          <w:highlight w:val="none"/>
        </w:rPr>
        <w:t>。</w:t>
      </w:r>
    </w:p>
    <w:p>
      <w:pPr>
        <w:ind w:firstLine="640" w:firstLineChars="200"/>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rPr>
        <w:t>二、收入决算情况说明</w:t>
      </w:r>
      <w:bookmarkEnd w:id="10"/>
      <w:bookmarkEnd w:id="11"/>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2022年度本年收入</w:t>
      </w:r>
      <w:r>
        <w:rPr>
          <w:rFonts w:hint="eastAsia" w:ascii="仿宋_GB2312" w:eastAsia="仿宋_GB2312"/>
          <w:bCs/>
          <w:sz w:val="32"/>
          <w:szCs w:val="32"/>
          <w:highlight w:val="none"/>
        </w:rPr>
        <w:t>3841.16万元，财政拨款收入为3540.72万元，占本年收入92.18%；</w:t>
      </w:r>
      <w:r>
        <w:rPr>
          <w:rFonts w:hint="eastAsia" w:ascii="仿宋_GB2312" w:eastAsia="仿宋_GB2312"/>
          <w:sz w:val="32"/>
          <w:szCs w:val="32"/>
          <w:highlight w:val="none"/>
        </w:rPr>
        <w:t>上级补助收入0万元，占0</w:t>
      </w:r>
      <w:r>
        <w:rPr>
          <w:rFonts w:ascii="仿宋_GB2312" w:eastAsia="仿宋_GB2312"/>
          <w:sz w:val="32"/>
          <w:szCs w:val="32"/>
          <w:highlight w:val="none"/>
        </w:rPr>
        <w:t>%</w:t>
      </w:r>
      <w:r>
        <w:rPr>
          <w:rFonts w:hint="eastAsia" w:ascii="仿宋_GB2312" w:eastAsia="仿宋_GB2312"/>
          <w:sz w:val="32"/>
          <w:szCs w:val="32"/>
          <w:highlight w:val="none"/>
        </w:rPr>
        <w:t>；事业收入0万元，占0</w:t>
      </w:r>
      <w:r>
        <w:rPr>
          <w:rFonts w:ascii="仿宋_GB2312" w:eastAsia="仿宋_GB2312"/>
          <w:sz w:val="32"/>
          <w:szCs w:val="32"/>
          <w:highlight w:val="none"/>
        </w:rPr>
        <w:t>%</w:t>
      </w:r>
      <w:r>
        <w:rPr>
          <w:rFonts w:hint="eastAsia" w:ascii="仿宋_GB2312" w:eastAsia="仿宋_GB2312"/>
          <w:sz w:val="32"/>
          <w:szCs w:val="32"/>
          <w:highlight w:val="none"/>
        </w:rPr>
        <w:t>；经营收入0万元，占0</w:t>
      </w:r>
      <w:r>
        <w:rPr>
          <w:rFonts w:ascii="仿宋_GB2312" w:eastAsia="仿宋_GB2312"/>
          <w:sz w:val="32"/>
          <w:szCs w:val="32"/>
          <w:highlight w:val="none"/>
        </w:rPr>
        <w:t>%</w:t>
      </w:r>
      <w:r>
        <w:rPr>
          <w:rFonts w:hint="eastAsia" w:ascii="仿宋_GB2312" w:eastAsia="仿宋_GB2312"/>
          <w:sz w:val="32"/>
          <w:szCs w:val="32"/>
          <w:highlight w:val="none"/>
        </w:rPr>
        <w:t>；附属单位上缴收入0万元，占0</w:t>
      </w:r>
      <w:r>
        <w:rPr>
          <w:rFonts w:ascii="仿宋_GB2312" w:eastAsia="仿宋_GB2312"/>
          <w:sz w:val="32"/>
          <w:szCs w:val="32"/>
          <w:highlight w:val="none"/>
        </w:rPr>
        <w:t>%</w:t>
      </w:r>
      <w:r>
        <w:rPr>
          <w:rFonts w:hint="eastAsia" w:ascii="仿宋_GB2312" w:eastAsia="仿宋_GB2312"/>
          <w:sz w:val="32"/>
          <w:szCs w:val="32"/>
          <w:highlight w:val="none"/>
        </w:rPr>
        <w:t>；</w:t>
      </w:r>
      <w:r>
        <w:rPr>
          <w:rFonts w:hint="eastAsia" w:ascii="仿宋_GB2312" w:eastAsia="仿宋_GB2312"/>
          <w:bCs/>
          <w:sz w:val="32"/>
          <w:szCs w:val="32"/>
          <w:highlight w:val="none"/>
        </w:rPr>
        <w:t>其他收入为300.44万元，占本年收入7.82%。</w:t>
      </w:r>
    </w:p>
    <w:p>
      <w:pPr>
        <w:ind w:firstLine="640" w:firstLineChars="200"/>
        <w:outlineLvl w:val="1"/>
        <w:rPr>
          <w:rFonts w:hint="eastAsia" w:ascii="黑体" w:hAnsi="黑体" w:eastAsia="黑体" w:cs="宋体"/>
          <w:bCs/>
          <w:kern w:val="0"/>
          <w:sz w:val="32"/>
          <w:szCs w:val="32"/>
          <w:highlight w:val="none"/>
        </w:rPr>
      </w:pPr>
      <w:bookmarkStart w:id="12" w:name="_Toc13201"/>
      <w:bookmarkStart w:id="13" w:name="_Toc27961"/>
      <w:r>
        <w:rPr>
          <w:rFonts w:hint="eastAsia" w:ascii="黑体" w:hAnsi="黑体" w:eastAsia="黑体" w:cs="宋体"/>
          <w:bCs/>
          <w:kern w:val="0"/>
          <w:sz w:val="32"/>
          <w:szCs w:val="32"/>
          <w:highlight w:val="none"/>
        </w:rPr>
        <w:t>三、支出决算情况说明</w:t>
      </w:r>
      <w:bookmarkEnd w:id="12"/>
      <w:bookmarkEnd w:id="13"/>
    </w:p>
    <w:p>
      <w:pPr>
        <w:topLinePun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2022年度本年支出</w:t>
      </w:r>
      <w:r>
        <w:rPr>
          <w:rFonts w:hint="eastAsia" w:ascii="仿宋_GB2312" w:eastAsia="仿宋_GB2312"/>
          <w:bCs/>
          <w:sz w:val="32"/>
          <w:szCs w:val="32"/>
          <w:highlight w:val="none"/>
        </w:rPr>
        <w:t>3864.82</w:t>
      </w:r>
      <w:r>
        <w:rPr>
          <w:rFonts w:hint="eastAsia" w:ascii="仿宋_GB2312" w:eastAsia="仿宋_GB2312"/>
          <w:sz w:val="32"/>
          <w:szCs w:val="32"/>
          <w:highlight w:val="none"/>
        </w:rPr>
        <w:t>万元，其中：基本支出</w:t>
      </w:r>
      <w:r>
        <w:rPr>
          <w:rFonts w:hint="eastAsia" w:ascii="仿宋_GB2312" w:eastAsia="仿宋_GB2312"/>
          <w:bCs/>
          <w:sz w:val="32"/>
          <w:szCs w:val="32"/>
          <w:highlight w:val="none"/>
        </w:rPr>
        <w:t>531.57</w:t>
      </w:r>
      <w:r>
        <w:rPr>
          <w:rFonts w:hint="eastAsia" w:ascii="仿宋_GB2312" w:eastAsia="仿宋_GB2312"/>
          <w:sz w:val="32"/>
          <w:szCs w:val="32"/>
          <w:highlight w:val="none"/>
        </w:rPr>
        <w:t>万元，占</w:t>
      </w:r>
      <w:r>
        <w:rPr>
          <w:rFonts w:hint="eastAsia" w:ascii="仿宋_GB2312" w:eastAsia="仿宋_GB2312"/>
          <w:bCs/>
          <w:sz w:val="32"/>
          <w:szCs w:val="32"/>
          <w:highlight w:val="none"/>
        </w:rPr>
        <w:t>13.75</w:t>
      </w:r>
      <w:r>
        <w:rPr>
          <w:rFonts w:hint="eastAsia" w:ascii="仿宋_GB2312" w:eastAsia="仿宋_GB2312"/>
          <w:sz w:val="32"/>
          <w:szCs w:val="32"/>
          <w:highlight w:val="none"/>
        </w:rPr>
        <w:t>%；</w:t>
      </w:r>
      <w:r>
        <w:rPr>
          <w:rFonts w:hint="eastAsia" w:ascii="仿宋_GB2312" w:eastAsia="仿宋_GB2312"/>
          <w:bCs/>
          <w:sz w:val="32"/>
          <w:szCs w:val="32"/>
          <w:highlight w:val="none"/>
        </w:rPr>
        <w:t>项目支出为3333.25万元，占本年支出86.25%</w:t>
      </w:r>
      <w:r>
        <w:rPr>
          <w:rFonts w:hint="eastAsia" w:ascii="仿宋_GB2312" w:eastAsia="仿宋_GB2312"/>
          <w:sz w:val="32"/>
          <w:szCs w:val="32"/>
          <w:highlight w:val="none"/>
        </w:rPr>
        <w:t>；上缴上级支出0万元，占0</w:t>
      </w:r>
      <w:r>
        <w:rPr>
          <w:rFonts w:ascii="仿宋_GB2312" w:eastAsia="仿宋_GB2312"/>
          <w:sz w:val="32"/>
          <w:szCs w:val="32"/>
          <w:highlight w:val="none"/>
        </w:rPr>
        <w:t>%</w:t>
      </w:r>
      <w:r>
        <w:rPr>
          <w:rFonts w:hint="eastAsia" w:ascii="仿宋_GB2312" w:eastAsia="仿宋_GB2312"/>
          <w:sz w:val="32"/>
          <w:szCs w:val="32"/>
          <w:highlight w:val="none"/>
        </w:rPr>
        <w:t>；经营支出0万元，占0</w:t>
      </w:r>
      <w:r>
        <w:rPr>
          <w:rFonts w:ascii="仿宋_GB2312" w:eastAsia="仿宋_GB2312"/>
          <w:sz w:val="32"/>
          <w:szCs w:val="32"/>
          <w:highlight w:val="none"/>
        </w:rPr>
        <w:t>%</w:t>
      </w:r>
      <w:r>
        <w:rPr>
          <w:rFonts w:hint="eastAsia" w:ascii="仿宋_GB2312" w:eastAsia="仿宋_GB2312"/>
          <w:sz w:val="32"/>
          <w:szCs w:val="32"/>
          <w:highlight w:val="none"/>
        </w:rPr>
        <w:t>；对附属单位补助支出0万元，占0</w:t>
      </w:r>
      <w:r>
        <w:rPr>
          <w:rFonts w:ascii="仿宋_GB2312" w:eastAsia="仿宋_GB2312"/>
          <w:sz w:val="32"/>
          <w:szCs w:val="32"/>
          <w:highlight w:val="none"/>
        </w:rPr>
        <w:t>%</w:t>
      </w:r>
      <w:r>
        <w:rPr>
          <w:rFonts w:hint="eastAsia" w:ascii="仿宋_GB2312" w:eastAsia="仿宋_GB2312"/>
          <w:sz w:val="32"/>
          <w:szCs w:val="32"/>
          <w:highlight w:val="none"/>
        </w:rPr>
        <w:t>。</w:t>
      </w:r>
    </w:p>
    <w:p>
      <w:pPr>
        <w:ind w:firstLine="640" w:firstLineChars="200"/>
        <w:outlineLvl w:val="1"/>
        <w:rPr>
          <w:rFonts w:hint="eastAsia" w:ascii="黑体" w:hAnsi="黑体" w:eastAsia="黑体" w:cs="宋体"/>
          <w:bCs/>
          <w:kern w:val="0"/>
          <w:sz w:val="32"/>
          <w:szCs w:val="32"/>
          <w:highlight w:val="none"/>
        </w:rPr>
      </w:pPr>
      <w:bookmarkStart w:id="14" w:name="_Toc26564"/>
      <w:bookmarkStart w:id="15" w:name="_Toc4393"/>
      <w:r>
        <w:rPr>
          <w:rFonts w:hint="eastAsia" w:ascii="黑体" w:hAnsi="黑体" w:eastAsia="黑体" w:cs="宋体"/>
          <w:bCs/>
          <w:kern w:val="0"/>
          <w:sz w:val="32"/>
          <w:szCs w:val="32"/>
          <w:highlight w:val="none"/>
        </w:rPr>
        <w:t>四、财政拨款收入支出决算总体情况说明</w:t>
      </w:r>
      <w:bookmarkEnd w:id="14"/>
      <w:bookmarkEnd w:id="15"/>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2022年度财政拨款收入总计</w:t>
      </w:r>
      <w:r>
        <w:rPr>
          <w:rFonts w:ascii="仿宋_GB2312" w:eastAsia="仿宋_GB2312"/>
          <w:sz w:val="32"/>
          <w:szCs w:val="32"/>
          <w:highlight w:val="none"/>
        </w:rPr>
        <w:t>3,621.20</w:t>
      </w:r>
      <w:r>
        <w:rPr>
          <w:rFonts w:hint="eastAsia" w:ascii="仿宋_GB2312" w:eastAsia="仿宋_GB2312"/>
          <w:sz w:val="32"/>
          <w:szCs w:val="32"/>
          <w:highlight w:val="none"/>
        </w:rPr>
        <w:t>万元，其中：年初财政拨款结转和结余</w:t>
      </w:r>
      <w:r>
        <w:rPr>
          <w:rFonts w:ascii="仿宋_GB2312" w:eastAsia="仿宋_GB2312"/>
          <w:sz w:val="32"/>
          <w:szCs w:val="32"/>
          <w:highlight w:val="none"/>
        </w:rPr>
        <w:t>80.48</w:t>
      </w:r>
      <w:r>
        <w:rPr>
          <w:rFonts w:hint="eastAsia" w:ascii="仿宋_GB2312" w:eastAsia="仿宋_GB2312"/>
          <w:sz w:val="32"/>
          <w:szCs w:val="32"/>
          <w:highlight w:val="none"/>
        </w:rPr>
        <w:t>万元，财政拨款本年收入</w:t>
      </w:r>
      <w:r>
        <w:rPr>
          <w:rFonts w:ascii="仿宋_GB2312" w:eastAsia="仿宋_GB2312"/>
          <w:sz w:val="32"/>
          <w:szCs w:val="32"/>
          <w:highlight w:val="none"/>
        </w:rPr>
        <w:t>3,540.72</w:t>
      </w:r>
      <w:r>
        <w:rPr>
          <w:rFonts w:hint="eastAsia" w:ascii="仿宋_GB2312" w:eastAsia="仿宋_GB2312"/>
          <w:sz w:val="32"/>
          <w:szCs w:val="32"/>
          <w:highlight w:val="none"/>
        </w:rPr>
        <w:t>万元。财政拨款收入总计与上年相比，减少6753.22万元，下降65.09%，主要原因是：</w:t>
      </w:r>
      <w:r>
        <w:rPr>
          <w:rFonts w:hint="eastAsia" w:ascii="仿宋_GB2312" w:hAnsi="仿宋_GB2312" w:eastAsia="仿宋_GB2312"/>
          <w:kern w:val="0"/>
          <w:sz w:val="32"/>
          <w:highlight w:val="none"/>
        </w:rPr>
        <w:t>基建项目压减，收入减少；会展片区七道湾东街学校、会展中街南学校等基建项目经费调入预拨经费</w:t>
      </w:r>
      <w:r>
        <w:rPr>
          <w:rFonts w:hint="eastAsia" w:ascii="仿宋_GB2312" w:eastAsia="仿宋_GB2312"/>
          <w:sz w:val="32"/>
          <w:szCs w:val="32"/>
          <w:highlight w:val="none"/>
        </w:rPr>
        <w:t>。</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财政拨款支出总计</w:t>
      </w:r>
      <w:r>
        <w:rPr>
          <w:rFonts w:ascii="仿宋_GB2312" w:eastAsia="仿宋_GB2312"/>
          <w:sz w:val="32"/>
          <w:szCs w:val="32"/>
          <w:highlight w:val="none"/>
        </w:rPr>
        <w:t>3,621.20</w:t>
      </w:r>
      <w:r>
        <w:rPr>
          <w:rFonts w:hint="eastAsia" w:ascii="仿宋_GB2312" w:eastAsia="仿宋_GB2312"/>
          <w:sz w:val="32"/>
          <w:szCs w:val="32"/>
          <w:highlight w:val="none"/>
        </w:rPr>
        <w:t>万元，其中：年末财政拨款结转和结余</w:t>
      </w:r>
      <w:r>
        <w:rPr>
          <w:rFonts w:ascii="仿宋_GB2312" w:eastAsia="仿宋_GB2312"/>
          <w:sz w:val="32"/>
          <w:szCs w:val="32"/>
          <w:highlight w:val="none"/>
        </w:rPr>
        <w:t>56.82</w:t>
      </w:r>
      <w:r>
        <w:rPr>
          <w:rFonts w:hint="eastAsia" w:ascii="仿宋_GB2312" w:eastAsia="仿宋_GB2312"/>
          <w:sz w:val="32"/>
          <w:szCs w:val="32"/>
          <w:highlight w:val="none"/>
        </w:rPr>
        <w:t>万元，财政拨款本年支出</w:t>
      </w:r>
      <w:r>
        <w:rPr>
          <w:rFonts w:ascii="仿宋_GB2312" w:eastAsia="仿宋_GB2312"/>
          <w:sz w:val="32"/>
          <w:szCs w:val="32"/>
          <w:highlight w:val="none"/>
        </w:rPr>
        <w:t>3,564.38</w:t>
      </w:r>
      <w:r>
        <w:rPr>
          <w:rFonts w:hint="eastAsia" w:ascii="仿宋_GB2312" w:eastAsia="仿宋_GB2312"/>
          <w:sz w:val="32"/>
          <w:szCs w:val="32"/>
          <w:highlight w:val="none"/>
        </w:rPr>
        <w:t>万元。财政拨款支出总计与上年相比，减少6753.22万元，下降65.09%，主要原因是：</w:t>
      </w:r>
      <w:r>
        <w:rPr>
          <w:rFonts w:hint="eastAsia" w:ascii="仿宋_GB2312" w:hAnsi="仿宋_GB2312" w:eastAsia="仿宋_GB2312"/>
          <w:kern w:val="0"/>
          <w:sz w:val="32"/>
          <w:highlight w:val="none"/>
        </w:rPr>
        <w:t>南疆支教经费、学前免补经费未下拨；会展片区七道湾东街学校、会展中街南学校等基建项目经费调入预拨经费</w:t>
      </w:r>
      <w:r>
        <w:rPr>
          <w:rFonts w:hint="eastAsia" w:ascii="仿宋_GB2312" w:eastAsia="仿宋_GB2312"/>
          <w:sz w:val="32"/>
          <w:szCs w:val="32"/>
          <w:highlight w:val="none"/>
        </w:rPr>
        <w:t>。</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与年初预算数相比情况：财政拨款收入总计年初预算数</w:t>
      </w:r>
      <w:r>
        <w:rPr>
          <w:rFonts w:ascii="仿宋_GB2312" w:eastAsia="仿宋_GB2312"/>
          <w:sz w:val="32"/>
          <w:szCs w:val="32"/>
          <w:highlight w:val="none"/>
        </w:rPr>
        <w:t>8,698.14</w:t>
      </w:r>
      <w:r>
        <w:rPr>
          <w:rFonts w:hint="eastAsia" w:ascii="仿宋_GB2312" w:eastAsia="仿宋_GB2312"/>
          <w:sz w:val="32"/>
          <w:szCs w:val="32"/>
          <w:highlight w:val="none"/>
        </w:rPr>
        <w:t>万元，决算数</w:t>
      </w:r>
      <w:r>
        <w:rPr>
          <w:rFonts w:ascii="仿宋_GB2312" w:eastAsia="仿宋_GB2312"/>
          <w:sz w:val="32"/>
          <w:szCs w:val="32"/>
          <w:highlight w:val="none"/>
        </w:rPr>
        <w:t>3,621.20</w:t>
      </w:r>
      <w:r>
        <w:rPr>
          <w:rFonts w:hint="eastAsia" w:ascii="仿宋_GB2312" w:eastAsia="仿宋_GB2312"/>
          <w:sz w:val="32"/>
          <w:szCs w:val="32"/>
          <w:highlight w:val="none"/>
        </w:rPr>
        <w:t>万元，预决算差异率-58.37%，主要原因是：</w:t>
      </w:r>
      <w:r>
        <w:rPr>
          <w:rFonts w:hint="eastAsia" w:ascii="仿宋_GB2312" w:hAnsi="仿宋_GB2312" w:eastAsia="仿宋_GB2312"/>
          <w:kern w:val="0"/>
          <w:sz w:val="32"/>
          <w:highlight w:val="none"/>
        </w:rPr>
        <w:t>基建项目压减，收入减少</w:t>
      </w:r>
      <w:r>
        <w:rPr>
          <w:rFonts w:hint="eastAsia" w:ascii="仿宋_GB2312" w:eastAsia="仿宋_GB2312"/>
          <w:sz w:val="32"/>
          <w:szCs w:val="32"/>
          <w:highlight w:val="none"/>
        </w:rPr>
        <w:t>。财政拨款支出总计年初预算数</w:t>
      </w:r>
      <w:r>
        <w:rPr>
          <w:rFonts w:ascii="仿宋_GB2312" w:eastAsia="仿宋_GB2312"/>
          <w:sz w:val="32"/>
          <w:szCs w:val="32"/>
          <w:highlight w:val="none"/>
        </w:rPr>
        <w:t>8,698.14</w:t>
      </w:r>
      <w:r>
        <w:rPr>
          <w:rFonts w:hint="eastAsia" w:ascii="仿宋_GB2312" w:eastAsia="仿宋_GB2312"/>
          <w:sz w:val="32"/>
          <w:szCs w:val="32"/>
          <w:highlight w:val="none"/>
        </w:rPr>
        <w:t>万元，决算数</w:t>
      </w:r>
      <w:r>
        <w:rPr>
          <w:rFonts w:ascii="仿宋_GB2312" w:eastAsia="仿宋_GB2312"/>
          <w:sz w:val="32"/>
          <w:szCs w:val="32"/>
          <w:highlight w:val="none"/>
        </w:rPr>
        <w:t>3,621.20</w:t>
      </w:r>
      <w:r>
        <w:rPr>
          <w:rFonts w:hint="eastAsia" w:ascii="仿宋_GB2312" w:eastAsia="仿宋_GB2312"/>
          <w:sz w:val="32"/>
          <w:szCs w:val="32"/>
          <w:highlight w:val="none"/>
        </w:rPr>
        <w:t>万元，预决算差异率-58.37%，主要原因是：</w:t>
      </w:r>
      <w:r>
        <w:rPr>
          <w:rFonts w:hint="eastAsia" w:ascii="仿宋_GB2312" w:hAnsi="仿宋_GB2312" w:eastAsia="仿宋_GB2312"/>
          <w:kern w:val="0"/>
          <w:sz w:val="32"/>
          <w:highlight w:val="none"/>
        </w:rPr>
        <w:t>南疆支教经费、学前免补经费未下拨；会展片区七道湾东街学校、会展中街南学校等基建项目经费调入预拨经费</w:t>
      </w:r>
      <w:r>
        <w:rPr>
          <w:rFonts w:hint="eastAsia" w:ascii="仿宋_GB2312" w:eastAsia="仿宋_GB2312"/>
          <w:sz w:val="32"/>
          <w:szCs w:val="32"/>
          <w:highlight w:val="none"/>
        </w:rPr>
        <w:t>。</w:t>
      </w:r>
    </w:p>
    <w:p>
      <w:pPr>
        <w:ind w:firstLine="640" w:firstLineChars="200"/>
        <w:outlineLvl w:val="1"/>
        <w:rPr>
          <w:rFonts w:hint="eastAsia" w:ascii="黑体" w:hAnsi="黑体" w:eastAsia="黑体" w:cs="宋体"/>
          <w:bCs/>
          <w:kern w:val="0"/>
          <w:sz w:val="32"/>
          <w:szCs w:val="32"/>
          <w:highlight w:val="none"/>
        </w:rPr>
      </w:pPr>
      <w:bookmarkStart w:id="16" w:name="_Toc13833"/>
      <w:bookmarkStart w:id="17" w:name="_Toc20360"/>
      <w:r>
        <w:rPr>
          <w:rFonts w:hint="eastAsia" w:ascii="黑体" w:hAnsi="黑体" w:eastAsia="黑体" w:cs="宋体"/>
          <w:bCs/>
          <w:kern w:val="0"/>
          <w:sz w:val="32"/>
          <w:szCs w:val="32"/>
          <w:highlight w:val="none"/>
        </w:rPr>
        <w:t>五、一般公共预算财政拨款支出决算情况说明</w:t>
      </w:r>
      <w:bookmarkEnd w:id="16"/>
      <w:bookmarkEnd w:id="17"/>
    </w:p>
    <w:p>
      <w:pPr>
        <w:ind w:firstLine="640" w:firstLineChars="200"/>
        <w:outlineLvl w:val="2"/>
        <w:rPr>
          <w:rFonts w:hint="eastAsia" w:ascii="黑体" w:hAnsi="黑体" w:eastAsia="黑体"/>
          <w:sz w:val="32"/>
          <w:szCs w:val="32"/>
          <w:highlight w:val="none"/>
        </w:rPr>
      </w:pPr>
      <w:r>
        <w:rPr>
          <w:rFonts w:hint="eastAsia" w:ascii="黑体" w:hAnsi="黑体" w:eastAsia="黑体"/>
          <w:sz w:val="32"/>
          <w:szCs w:val="32"/>
          <w:highlight w:val="none"/>
        </w:rPr>
        <w:t>（一）一般公共预算财政拨款支出决算总体情况</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2022年度一般公共预算财政拨款支出1,885.12万元，占本年支出合计的48.78%，与上年相比，减少8408.82万元，下降81.69%，主要原因是：</w:t>
      </w:r>
      <w:r>
        <w:rPr>
          <w:rFonts w:hint="eastAsia" w:ascii="仿宋_GB2312" w:hAnsi="仿宋_GB2312" w:eastAsia="仿宋_GB2312"/>
          <w:kern w:val="0"/>
          <w:sz w:val="32"/>
          <w:highlight w:val="none"/>
        </w:rPr>
        <w:t>南疆支教经费、学前免补经费未下拨；会展片区七道湾东街学校、会展中街南学校等经费调入预拨经费</w:t>
      </w:r>
      <w:r>
        <w:rPr>
          <w:rFonts w:hint="eastAsia" w:ascii="仿宋_GB2312" w:eastAsia="仿宋_GB2312"/>
          <w:sz w:val="32"/>
          <w:szCs w:val="32"/>
          <w:highlight w:val="none"/>
        </w:rPr>
        <w:t>。</w:t>
      </w:r>
    </w:p>
    <w:p>
      <w:pPr>
        <w:ind w:firstLine="640" w:firstLineChars="200"/>
        <w:outlineLvl w:val="2"/>
        <w:rPr>
          <w:rFonts w:hint="eastAsia" w:ascii="黑体" w:hAnsi="黑体" w:eastAsia="黑体"/>
          <w:sz w:val="32"/>
          <w:szCs w:val="32"/>
          <w:highlight w:val="none"/>
        </w:rPr>
      </w:pPr>
      <w:r>
        <w:rPr>
          <w:rFonts w:hint="eastAsia" w:ascii="黑体" w:hAnsi="黑体" w:eastAsia="黑体"/>
          <w:sz w:val="32"/>
          <w:szCs w:val="32"/>
          <w:highlight w:val="none"/>
        </w:rPr>
        <w:t>（二）一般公共预算财政拨款支出决算结构情况</w:t>
      </w:r>
    </w:p>
    <w:p>
      <w:pPr>
        <w:autoSpaceDE w:val="0"/>
        <w:autoSpaceDN w:val="0"/>
        <w:adjustRightInd w:val="0"/>
        <w:spacing w:line="360" w:lineRule="auto"/>
        <w:ind w:firstLine="640"/>
        <w:rPr>
          <w:rFonts w:ascii="仿宋_GB2312" w:eastAsia="仿宋_GB2312"/>
          <w:kern w:val="0"/>
          <w:sz w:val="32"/>
          <w:highlight w:val="none"/>
        </w:rPr>
      </w:pPr>
      <w:r>
        <w:rPr>
          <w:rFonts w:hint="eastAsia" w:ascii="仿宋_GB2312" w:hAnsi="仿宋_GB2312" w:eastAsia="仿宋_GB2312" w:cs="仿宋_GB2312"/>
          <w:sz w:val="32"/>
          <w:szCs w:val="32"/>
          <w:highlight w:val="none"/>
        </w:rPr>
        <w:t>1、</w:t>
      </w:r>
      <w:r>
        <w:rPr>
          <w:rFonts w:hint="eastAsia" w:ascii="仿宋_GB2312" w:eastAsia="仿宋_GB2312"/>
          <w:kern w:val="0"/>
          <w:sz w:val="32"/>
          <w:highlight w:val="none"/>
          <w:lang w:eastAsia="zh-CN"/>
        </w:rPr>
        <w:t>教育支出（类）</w:t>
      </w:r>
      <w:r>
        <w:rPr>
          <w:rFonts w:hint="eastAsia" w:ascii="仿宋_GB2312" w:eastAsia="仿宋_GB2312"/>
          <w:kern w:val="0"/>
          <w:sz w:val="32"/>
          <w:highlight w:val="none"/>
          <w:lang w:val="en-US" w:eastAsia="zh-CN"/>
        </w:rPr>
        <w:t>1874.09</w:t>
      </w:r>
      <w:r>
        <w:rPr>
          <w:rFonts w:hint="eastAsia" w:ascii="仿宋_GB2312" w:eastAsia="仿宋_GB2312"/>
          <w:kern w:val="0"/>
          <w:sz w:val="32"/>
          <w:highlight w:val="none"/>
        </w:rPr>
        <w:t>万元，占</w:t>
      </w:r>
      <w:r>
        <w:rPr>
          <w:rFonts w:hint="eastAsia" w:ascii="仿宋_GB2312" w:eastAsia="仿宋_GB2312"/>
          <w:kern w:val="0"/>
          <w:sz w:val="32"/>
          <w:highlight w:val="none"/>
          <w:lang w:val="en-US" w:eastAsia="zh-CN"/>
        </w:rPr>
        <w:t>99.41</w:t>
      </w:r>
      <w:r>
        <w:rPr>
          <w:rFonts w:hint="eastAsia" w:ascii="仿宋_GB2312" w:eastAsia="仿宋_GB2312"/>
          <w:kern w:val="0"/>
          <w:sz w:val="32"/>
          <w:highlight w:val="none"/>
        </w:rPr>
        <w:t>%；</w:t>
      </w:r>
    </w:p>
    <w:p>
      <w:pPr>
        <w:autoSpaceDE w:val="0"/>
        <w:autoSpaceDN w:val="0"/>
        <w:adjustRightInd w:val="0"/>
        <w:spacing w:line="360" w:lineRule="auto"/>
        <w:ind w:firstLine="640"/>
        <w:rPr>
          <w:rFonts w:ascii="仿宋_GB2312" w:eastAsia="仿宋_GB2312"/>
          <w:kern w:val="0"/>
          <w:sz w:val="32"/>
          <w:highlight w:val="none"/>
        </w:rPr>
      </w:pPr>
      <w:r>
        <w:rPr>
          <w:rFonts w:hint="eastAsia" w:ascii="仿宋_GB2312" w:eastAsia="仿宋_GB2312"/>
          <w:kern w:val="0"/>
          <w:sz w:val="32"/>
          <w:highlight w:val="none"/>
        </w:rPr>
        <w:t>2、</w:t>
      </w:r>
      <w:r>
        <w:rPr>
          <w:rFonts w:hint="eastAsia" w:ascii="仿宋_GB2312" w:eastAsia="仿宋_GB2312"/>
          <w:kern w:val="0"/>
          <w:sz w:val="32"/>
          <w:highlight w:val="none"/>
          <w:lang w:eastAsia="zh-CN"/>
        </w:rPr>
        <w:t>城乡社区支出（类）</w:t>
      </w:r>
      <w:r>
        <w:rPr>
          <w:rFonts w:hint="eastAsia" w:ascii="仿宋_GB2312" w:eastAsia="仿宋_GB2312"/>
          <w:kern w:val="0"/>
          <w:sz w:val="32"/>
          <w:highlight w:val="none"/>
          <w:lang w:val="en-US" w:eastAsia="zh-CN"/>
        </w:rPr>
        <w:t>11.03</w:t>
      </w:r>
      <w:r>
        <w:rPr>
          <w:rFonts w:hint="eastAsia" w:ascii="仿宋_GB2312" w:eastAsia="仿宋_GB2312"/>
          <w:kern w:val="0"/>
          <w:sz w:val="32"/>
          <w:highlight w:val="none"/>
        </w:rPr>
        <w:t>万元，占</w:t>
      </w:r>
      <w:r>
        <w:rPr>
          <w:rFonts w:hint="eastAsia" w:ascii="仿宋_GB2312" w:eastAsia="仿宋_GB2312"/>
          <w:kern w:val="0"/>
          <w:sz w:val="32"/>
          <w:highlight w:val="none"/>
          <w:lang w:val="en-US" w:eastAsia="zh-CN"/>
        </w:rPr>
        <w:t>0.59</w:t>
      </w:r>
      <w:r>
        <w:rPr>
          <w:rFonts w:hint="eastAsia" w:ascii="仿宋_GB2312" w:eastAsia="仿宋_GB2312"/>
          <w:kern w:val="0"/>
          <w:sz w:val="32"/>
          <w:highlight w:val="none"/>
        </w:rPr>
        <w:t>%；</w:t>
      </w:r>
    </w:p>
    <w:p>
      <w:pPr>
        <w:ind w:firstLine="640" w:firstLineChars="200"/>
        <w:outlineLvl w:val="2"/>
        <w:rPr>
          <w:rFonts w:hint="eastAsia" w:ascii="黑体" w:hAnsi="黑体" w:eastAsia="黑体"/>
          <w:sz w:val="32"/>
          <w:szCs w:val="32"/>
          <w:highlight w:val="none"/>
        </w:rPr>
      </w:pPr>
      <w:r>
        <w:rPr>
          <w:rFonts w:hint="eastAsia" w:ascii="黑体" w:hAnsi="黑体" w:eastAsia="黑体"/>
          <w:sz w:val="32"/>
          <w:szCs w:val="32"/>
          <w:highlight w:val="none"/>
        </w:rPr>
        <w:t>（三）一般公共预算财政拨款支出决算具体情况</w:t>
      </w:r>
    </w:p>
    <w:p>
      <w:pPr>
        <w:autoSpaceDE w:val="0"/>
        <w:autoSpaceDN w:val="0"/>
        <w:adjustRightInd w:val="0"/>
        <w:spacing w:line="360" w:lineRule="auto"/>
        <w:ind w:firstLine="640"/>
        <w:rPr>
          <w:rFonts w:ascii="仿宋_GB2312" w:eastAsia="仿宋_GB2312"/>
          <w:kern w:val="0"/>
          <w:sz w:val="32"/>
          <w:highlight w:val="none"/>
        </w:rPr>
      </w:pPr>
      <w:bookmarkStart w:id="18" w:name="_Toc30870"/>
      <w:bookmarkStart w:id="19" w:name="_Toc11146"/>
      <w:r>
        <w:rPr>
          <w:rFonts w:hint="eastAsia" w:ascii="仿宋_GB2312" w:hAnsi="仿宋_GB2312" w:eastAsia="仿宋_GB2312" w:cs="仿宋_GB2312"/>
          <w:sz w:val="32"/>
          <w:szCs w:val="32"/>
          <w:highlight w:val="none"/>
        </w:rPr>
        <w:t>1、</w:t>
      </w:r>
      <w:r>
        <w:rPr>
          <w:rFonts w:hint="eastAsia" w:ascii="仿宋_GB2312" w:eastAsia="仿宋_GB2312"/>
          <w:kern w:val="0"/>
          <w:sz w:val="32"/>
          <w:highlight w:val="none"/>
          <w:lang w:eastAsia="zh-CN"/>
        </w:rPr>
        <w:t>教育支出（类）教育管理事务（款）</w:t>
      </w:r>
      <w:r>
        <w:rPr>
          <w:rFonts w:hint="eastAsia" w:ascii="仿宋_GB2312" w:eastAsia="仿宋_GB2312"/>
          <w:kern w:val="0"/>
          <w:sz w:val="32"/>
          <w:highlight w:val="none"/>
        </w:rPr>
        <w:t>行政运行</w:t>
      </w:r>
      <w:r>
        <w:rPr>
          <w:rFonts w:hint="eastAsia" w:ascii="仿宋_GB2312" w:eastAsia="仿宋_GB2312"/>
          <w:kern w:val="0"/>
          <w:sz w:val="32"/>
          <w:highlight w:val="none"/>
          <w:lang w:eastAsia="zh-CN"/>
        </w:rPr>
        <w:t>（项）</w:t>
      </w:r>
      <w:r>
        <w:rPr>
          <w:rFonts w:hint="eastAsia" w:ascii="仿宋_GB2312" w:hAnsi="仿宋_GB2312" w:eastAsia="仿宋_GB2312" w:cs="仿宋_GB2312"/>
          <w:kern w:val="0"/>
          <w:sz w:val="32"/>
          <w:szCs w:val="32"/>
          <w:highlight w:val="none"/>
        </w:rPr>
        <w:t>支出决算数为</w:t>
      </w:r>
      <w:r>
        <w:rPr>
          <w:rFonts w:hint="eastAsia" w:ascii="仿宋_GB2312" w:eastAsia="仿宋_GB2312"/>
          <w:kern w:val="0"/>
          <w:sz w:val="32"/>
          <w:highlight w:val="none"/>
        </w:rPr>
        <w:t>323.42万元，</w:t>
      </w:r>
      <w:r>
        <w:rPr>
          <w:rFonts w:hint="eastAsia" w:ascii="仿宋_GB2312" w:hAnsi="仿宋_GB2312" w:eastAsia="仿宋_GB2312" w:cs="仿宋_GB2312"/>
          <w:kern w:val="0"/>
          <w:sz w:val="32"/>
          <w:szCs w:val="32"/>
          <w:highlight w:val="none"/>
        </w:rPr>
        <w:t>比上年决算减少199.12万元，下降38.11%，主要原因是：</w:t>
      </w:r>
      <w:r>
        <w:rPr>
          <w:rFonts w:hint="eastAsia" w:ascii="仿宋_GB2312" w:hAnsi="仿宋_GB2312" w:eastAsia="仿宋_GB2312" w:cs="仿宋_GB2312"/>
          <w:kern w:val="0"/>
          <w:sz w:val="32"/>
          <w:szCs w:val="32"/>
          <w:highlight w:val="none"/>
          <w:lang w:eastAsia="zh-CN"/>
        </w:rPr>
        <w:t>受防控影响，</w:t>
      </w:r>
      <w:r>
        <w:rPr>
          <w:rFonts w:hint="eastAsia" w:ascii="仿宋_GB2312" w:hAnsi="仿宋_GB2312" w:eastAsia="仿宋_GB2312"/>
          <w:kern w:val="0"/>
          <w:sz w:val="32"/>
          <w:highlight w:val="none"/>
        </w:rPr>
        <w:t>下半年公用经费减少</w:t>
      </w:r>
      <w:r>
        <w:rPr>
          <w:rFonts w:hint="eastAsia" w:ascii="仿宋_GB2312" w:eastAsia="仿宋_GB2312"/>
          <w:kern w:val="0"/>
          <w:sz w:val="32"/>
          <w:highlight w:val="none"/>
        </w:rPr>
        <w:t>；</w:t>
      </w:r>
    </w:p>
    <w:p>
      <w:pPr>
        <w:autoSpaceDE w:val="0"/>
        <w:autoSpaceDN w:val="0"/>
        <w:adjustRightInd w:val="0"/>
        <w:spacing w:line="360" w:lineRule="auto"/>
        <w:ind w:firstLine="640"/>
        <w:rPr>
          <w:rFonts w:ascii="仿宋_GB2312" w:eastAsia="仿宋_GB2312"/>
          <w:kern w:val="0"/>
          <w:sz w:val="32"/>
          <w:highlight w:val="none"/>
        </w:rPr>
      </w:pPr>
      <w:r>
        <w:rPr>
          <w:rFonts w:hint="eastAsia" w:ascii="仿宋_GB2312" w:eastAsia="仿宋_GB2312"/>
          <w:kern w:val="0"/>
          <w:sz w:val="32"/>
          <w:highlight w:val="none"/>
        </w:rPr>
        <w:t>2、</w:t>
      </w:r>
      <w:r>
        <w:rPr>
          <w:rFonts w:hint="eastAsia" w:ascii="仿宋_GB2312" w:eastAsia="仿宋_GB2312"/>
          <w:kern w:val="0"/>
          <w:sz w:val="32"/>
          <w:highlight w:val="none"/>
          <w:lang w:eastAsia="zh-CN"/>
        </w:rPr>
        <w:t>教育支出（类）教育管理事务（款）</w:t>
      </w:r>
      <w:r>
        <w:rPr>
          <w:rFonts w:hint="eastAsia" w:ascii="仿宋_GB2312" w:eastAsia="仿宋_GB2312"/>
          <w:kern w:val="0"/>
          <w:sz w:val="32"/>
          <w:highlight w:val="none"/>
        </w:rPr>
        <w:t>机关服务</w:t>
      </w:r>
      <w:r>
        <w:rPr>
          <w:rFonts w:hint="eastAsia" w:ascii="仿宋_GB2312" w:eastAsia="仿宋_GB2312"/>
          <w:kern w:val="0"/>
          <w:sz w:val="32"/>
          <w:highlight w:val="none"/>
          <w:lang w:eastAsia="zh-CN"/>
        </w:rPr>
        <w:t>（项）</w:t>
      </w:r>
      <w:r>
        <w:rPr>
          <w:rFonts w:hint="eastAsia" w:ascii="仿宋_GB2312" w:hAnsi="仿宋_GB2312" w:eastAsia="仿宋_GB2312" w:cs="仿宋_GB2312"/>
          <w:kern w:val="0"/>
          <w:sz w:val="32"/>
          <w:szCs w:val="32"/>
          <w:highlight w:val="none"/>
        </w:rPr>
        <w:t>支出决算数为</w:t>
      </w:r>
      <w:r>
        <w:rPr>
          <w:rFonts w:hint="eastAsia" w:ascii="仿宋_GB2312" w:eastAsia="仿宋_GB2312"/>
          <w:kern w:val="0"/>
          <w:sz w:val="32"/>
          <w:highlight w:val="none"/>
        </w:rPr>
        <w:t>207.71万元，</w:t>
      </w:r>
      <w:r>
        <w:rPr>
          <w:rFonts w:hint="eastAsia" w:ascii="仿宋_GB2312" w:hAnsi="仿宋_GB2312" w:eastAsia="仿宋_GB2312" w:cs="仿宋_GB2312"/>
          <w:kern w:val="0"/>
          <w:sz w:val="32"/>
          <w:szCs w:val="32"/>
          <w:highlight w:val="none"/>
        </w:rPr>
        <w:t>比上年决算增加8.21万元，增长4.11%，主要原因是：</w:t>
      </w:r>
      <w:r>
        <w:rPr>
          <w:rFonts w:hint="eastAsia" w:ascii="仿宋_GB2312" w:eastAsia="仿宋_GB2312"/>
          <w:sz w:val="32"/>
          <w:szCs w:val="32"/>
          <w:highlight w:val="none"/>
        </w:rPr>
        <w:t>22年因人员增加使机关服务支出增加</w:t>
      </w:r>
      <w:r>
        <w:rPr>
          <w:rFonts w:hint="eastAsia" w:ascii="仿宋_GB2312" w:eastAsia="仿宋_GB2312"/>
          <w:kern w:val="0"/>
          <w:sz w:val="32"/>
          <w:highlight w:val="none"/>
        </w:rPr>
        <w:t>；</w:t>
      </w:r>
    </w:p>
    <w:p>
      <w:pPr>
        <w:autoSpaceDE w:val="0"/>
        <w:autoSpaceDN w:val="0"/>
        <w:adjustRightInd w:val="0"/>
        <w:spacing w:line="360" w:lineRule="auto"/>
        <w:ind w:firstLine="640"/>
        <w:rPr>
          <w:rFonts w:ascii="仿宋_GB2312" w:eastAsia="仿宋_GB2312"/>
          <w:kern w:val="0"/>
          <w:sz w:val="32"/>
          <w:highlight w:val="none"/>
        </w:rPr>
      </w:pPr>
      <w:r>
        <w:rPr>
          <w:rFonts w:hint="eastAsia" w:ascii="仿宋_GB2312" w:eastAsia="仿宋_GB2312"/>
          <w:kern w:val="0"/>
          <w:sz w:val="32"/>
          <w:highlight w:val="none"/>
        </w:rPr>
        <w:t>3、</w:t>
      </w:r>
      <w:r>
        <w:rPr>
          <w:rFonts w:hint="eastAsia" w:ascii="仿宋_GB2312" w:eastAsia="仿宋_GB2312"/>
          <w:kern w:val="0"/>
          <w:sz w:val="32"/>
          <w:highlight w:val="none"/>
          <w:lang w:eastAsia="zh-CN"/>
        </w:rPr>
        <w:t>教育支出（类）教育管理事务（款）</w:t>
      </w:r>
      <w:r>
        <w:rPr>
          <w:rFonts w:hint="eastAsia" w:ascii="仿宋_GB2312" w:eastAsia="仿宋_GB2312"/>
          <w:kern w:val="0"/>
          <w:sz w:val="32"/>
          <w:highlight w:val="none"/>
        </w:rPr>
        <w:t>其他教育管理事务支出</w:t>
      </w:r>
      <w:r>
        <w:rPr>
          <w:rFonts w:hint="eastAsia" w:ascii="仿宋_GB2312" w:eastAsia="仿宋_GB2312"/>
          <w:kern w:val="0"/>
          <w:sz w:val="32"/>
          <w:highlight w:val="none"/>
          <w:lang w:eastAsia="zh-CN"/>
        </w:rPr>
        <w:t>（项）</w:t>
      </w:r>
      <w:r>
        <w:rPr>
          <w:rFonts w:hint="eastAsia" w:ascii="仿宋_GB2312" w:hAnsi="仿宋_GB2312" w:eastAsia="仿宋_GB2312" w:cs="仿宋_GB2312"/>
          <w:kern w:val="0"/>
          <w:sz w:val="32"/>
          <w:szCs w:val="32"/>
          <w:highlight w:val="none"/>
        </w:rPr>
        <w:t>支出决算数为</w:t>
      </w:r>
      <w:r>
        <w:rPr>
          <w:rFonts w:hint="eastAsia" w:ascii="仿宋_GB2312" w:eastAsia="仿宋_GB2312"/>
          <w:kern w:val="0"/>
          <w:sz w:val="32"/>
          <w:highlight w:val="none"/>
        </w:rPr>
        <w:t>57.99万元，</w:t>
      </w:r>
      <w:r>
        <w:rPr>
          <w:rFonts w:hint="eastAsia" w:ascii="仿宋_GB2312" w:hAnsi="仿宋_GB2312" w:eastAsia="仿宋_GB2312" w:cs="仿宋_GB2312"/>
          <w:kern w:val="0"/>
          <w:sz w:val="32"/>
          <w:szCs w:val="32"/>
          <w:highlight w:val="none"/>
        </w:rPr>
        <w:t>比上年决算减少19.89万元，下降25.54%，主要原因是：未拨付南疆支教经费</w:t>
      </w:r>
      <w:r>
        <w:rPr>
          <w:rFonts w:hint="eastAsia" w:ascii="仿宋_GB2312" w:eastAsia="仿宋_GB2312"/>
          <w:kern w:val="0"/>
          <w:sz w:val="32"/>
          <w:highlight w:val="none"/>
        </w:rPr>
        <w:t>；</w:t>
      </w:r>
    </w:p>
    <w:p>
      <w:pPr>
        <w:autoSpaceDE w:val="0"/>
        <w:autoSpaceDN w:val="0"/>
        <w:adjustRightInd w:val="0"/>
        <w:spacing w:line="360" w:lineRule="auto"/>
        <w:ind w:firstLine="640"/>
        <w:rPr>
          <w:rFonts w:ascii="仿宋_GB2312" w:eastAsia="仿宋_GB2312"/>
          <w:kern w:val="0"/>
          <w:sz w:val="32"/>
          <w:highlight w:val="none"/>
        </w:rPr>
      </w:pPr>
      <w:r>
        <w:rPr>
          <w:rFonts w:hint="eastAsia" w:ascii="仿宋_GB2312" w:eastAsia="仿宋_GB2312"/>
          <w:kern w:val="0"/>
          <w:sz w:val="32"/>
          <w:highlight w:val="none"/>
        </w:rPr>
        <w:t>4、</w:t>
      </w:r>
      <w:r>
        <w:rPr>
          <w:rFonts w:hint="eastAsia" w:ascii="仿宋_GB2312" w:eastAsia="仿宋_GB2312"/>
          <w:kern w:val="0"/>
          <w:sz w:val="32"/>
          <w:highlight w:val="none"/>
          <w:lang w:eastAsia="zh-CN"/>
        </w:rPr>
        <w:t>教育支出（类）普通教育（款）</w:t>
      </w:r>
      <w:r>
        <w:rPr>
          <w:rFonts w:hint="eastAsia" w:ascii="仿宋_GB2312" w:eastAsia="仿宋_GB2312"/>
          <w:kern w:val="0"/>
          <w:sz w:val="32"/>
          <w:highlight w:val="none"/>
        </w:rPr>
        <w:t>学前教育</w:t>
      </w:r>
      <w:r>
        <w:rPr>
          <w:rFonts w:hint="eastAsia" w:ascii="仿宋_GB2312" w:eastAsia="仿宋_GB2312"/>
          <w:kern w:val="0"/>
          <w:sz w:val="32"/>
          <w:highlight w:val="none"/>
          <w:lang w:eastAsia="zh-CN"/>
        </w:rPr>
        <w:t>（项）</w:t>
      </w:r>
      <w:r>
        <w:rPr>
          <w:rFonts w:hint="eastAsia" w:ascii="仿宋_GB2312" w:hAnsi="仿宋_GB2312" w:eastAsia="仿宋_GB2312" w:cs="仿宋_GB2312"/>
          <w:kern w:val="0"/>
          <w:sz w:val="32"/>
          <w:szCs w:val="32"/>
          <w:highlight w:val="none"/>
        </w:rPr>
        <w:t>支出决算数为</w:t>
      </w:r>
      <w:r>
        <w:rPr>
          <w:rFonts w:hint="eastAsia" w:ascii="仿宋_GB2312" w:eastAsia="仿宋_GB2312"/>
          <w:kern w:val="0"/>
          <w:sz w:val="32"/>
          <w:highlight w:val="none"/>
        </w:rPr>
        <w:t>1069.17万元，</w:t>
      </w:r>
      <w:r>
        <w:rPr>
          <w:rFonts w:hint="eastAsia" w:ascii="仿宋_GB2312" w:hAnsi="仿宋_GB2312" w:eastAsia="仿宋_GB2312" w:cs="仿宋_GB2312"/>
          <w:kern w:val="0"/>
          <w:sz w:val="32"/>
          <w:szCs w:val="32"/>
          <w:highlight w:val="none"/>
        </w:rPr>
        <w:t>比上年决算减少4671.04万元，下降81.37%，主要原因是：未拨付学前免补经费</w:t>
      </w:r>
      <w:r>
        <w:rPr>
          <w:rFonts w:hint="eastAsia" w:ascii="仿宋_GB2312" w:eastAsia="仿宋_GB2312"/>
          <w:kern w:val="0"/>
          <w:sz w:val="32"/>
          <w:highlight w:val="none"/>
        </w:rPr>
        <w:t>；</w:t>
      </w:r>
    </w:p>
    <w:p>
      <w:pPr>
        <w:autoSpaceDE w:val="0"/>
        <w:autoSpaceDN w:val="0"/>
        <w:adjustRightInd w:val="0"/>
        <w:spacing w:line="360" w:lineRule="auto"/>
        <w:ind w:firstLine="640"/>
        <w:rPr>
          <w:rFonts w:ascii="仿宋_GB2312" w:eastAsia="仿宋_GB2312"/>
          <w:kern w:val="0"/>
          <w:sz w:val="32"/>
          <w:highlight w:val="none"/>
        </w:rPr>
      </w:pPr>
      <w:r>
        <w:rPr>
          <w:rFonts w:hint="eastAsia" w:ascii="仿宋_GB2312" w:eastAsia="仿宋_GB2312"/>
          <w:kern w:val="0"/>
          <w:sz w:val="32"/>
          <w:highlight w:val="none"/>
        </w:rPr>
        <w:t>5、</w:t>
      </w:r>
      <w:r>
        <w:rPr>
          <w:rFonts w:hint="eastAsia" w:ascii="仿宋_GB2312" w:eastAsia="仿宋_GB2312"/>
          <w:kern w:val="0"/>
          <w:sz w:val="32"/>
          <w:highlight w:val="none"/>
          <w:lang w:eastAsia="zh-CN"/>
        </w:rPr>
        <w:t>教育支出（类）普通教育（款）</w:t>
      </w:r>
      <w:r>
        <w:rPr>
          <w:rFonts w:hint="eastAsia" w:ascii="仿宋_GB2312" w:eastAsia="仿宋_GB2312"/>
          <w:kern w:val="0"/>
          <w:sz w:val="32"/>
          <w:highlight w:val="none"/>
        </w:rPr>
        <w:t>小学教育</w:t>
      </w:r>
      <w:r>
        <w:rPr>
          <w:rFonts w:hint="eastAsia" w:ascii="仿宋_GB2312" w:eastAsia="仿宋_GB2312"/>
          <w:kern w:val="0"/>
          <w:sz w:val="32"/>
          <w:highlight w:val="none"/>
          <w:lang w:eastAsia="zh-CN"/>
        </w:rPr>
        <w:t>（项）</w:t>
      </w:r>
      <w:r>
        <w:rPr>
          <w:rFonts w:hint="eastAsia" w:ascii="仿宋_GB2312" w:hAnsi="仿宋_GB2312" w:eastAsia="仿宋_GB2312" w:cs="仿宋_GB2312"/>
          <w:kern w:val="0"/>
          <w:sz w:val="32"/>
          <w:szCs w:val="32"/>
          <w:highlight w:val="none"/>
        </w:rPr>
        <w:t>支出决算数为</w:t>
      </w:r>
      <w:r>
        <w:rPr>
          <w:rFonts w:hint="eastAsia" w:ascii="仿宋_GB2312" w:eastAsia="仿宋_GB2312"/>
          <w:kern w:val="0"/>
          <w:sz w:val="32"/>
          <w:highlight w:val="none"/>
        </w:rPr>
        <w:t>210.52万元，</w:t>
      </w:r>
      <w:r>
        <w:rPr>
          <w:rFonts w:hint="eastAsia" w:ascii="仿宋_GB2312" w:hAnsi="仿宋_GB2312" w:eastAsia="仿宋_GB2312" w:cs="仿宋_GB2312"/>
          <w:kern w:val="0"/>
          <w:sz w:val="32"/>
          <w:szCs w:val="32"/>
          <w:highlight w:val="none"/>
        </w:rPr>
        <w:t>比上年决算减少1427.51万元，下降87.15%，主要原因是：基建项目支出减少</w:t>
      </w:r>
      <w:r>
        <w:rPr>
          <w:rFonts w:hint="eastAsia" w:ascii="仿宋_GB2312" w:eastAsia="仿宋_GB2312"/>
          <w:kern w:val="0"/>
          <w:sz w:val="32"/>
          <w:highlight w:val="none"/>
        </w:rPr>
        <w:t>；</w:t>
      </w:r>
    </w:p>
    <w:p>
      <w:pPr>
        <w:autoSpaceDE w:val="0"/>
        <w:autoSpaceDN w:val="0"/>
        <w:adjustRightInd w:val="0"/>
        <w:spacing w:line="360" w:lineRule="auto"/>
        <w:ind w:firstLine="640"/>
        <w:rPr>
          <w:rFonts w:ascii="仿宋_GB2312" w:eastAsia="仿宋_GB2312"/>
          <w:kern w:val="0"/>
          <w:sz w:val="32"/>
          <w:highlight w:val="none"/>
        </w:rPr>
      </w:pPr>
      <w:r>
        <w:rPr>
          <w:rFonts w:hint="eastAsia" w:ascii="仿宋_GB2312" w:eastAsia="仿宋_GB2312"/>
          <w:kern w:val="0"/>
          <w:sz w:val="32"/>
          <w:highlight w:val="none"/>
        </w:rPr>
        <w:t>6、</w:t>
      </w:r>
      <w:r>
        <w:rPr>
          <w:rFonts w:hint="eastAsia" w:ascii="仿宋_GB2312" w:eastAsia="仿宋_GB2312"/>
          <w:kern w:val="0"/>
          <w:sz w:val="32"/>
          <w:highlight w:val="none"/>
          <w:lang w:eastAsia="zh-CN"/>
        </w:rPr>
        <w:t>教育支出（类）普通教育（款）</w:t>
      </w:r>
      <w:r>
        <w:rPr>
          <w:rFonts w:hint="eastAsia" w:ascii="仿宋_GB2312" w:eastAsia="仿宋_GB2312"/>
          <w:kern w:val="0"/>
          <w:sz w:val="32"/>
          <w:highlight w:val="none"/>
        </w:rPr>
        <w:t>初中教育</w:t>
      </w:r>
      <w:r>
        <w:rPr>
          <w:rFonts w:hint="eastAsia" w:ascii="仿宋_GB2312" w:eastAsia="仿宋_GB2312"/>
          <w:kern w:val="0"/>
          <w:sz w:val="32"/>
          <w:highlight w:val="none"/>
          <w:lang w:eastAsia="zh-CN"/>
        </w:rPr>
        <w:t>（项）</w:t>
      </w:r>
      <w:r>
        <w:rPr>
          <w:rFonts w:hint="eastAsia" w:ascii="仿宋_GB2312" w:hAnsi="仿宋_GB2312" w:eastAsia="仿宋_GB2312" w:cs="仿宋_GB2312"/>
          <w:kern w:val="0"/>
          <w:sz w:val="32"/>
          <w:szCs w:val="32"/>
          <w:highlight w:val="none"/>
        </w:rPr>
        <w:t>支出决算数为</w:t>
      </w:r>
      <w:r>
        <w:rPr>
          <w:rFonts w:hint="eastAsia" w:ascii="仿宋_GB2312" w:eastAsia="仿宋_GB2312"/>
          <w:kern w:val="0"/>
          <w:sz w:val="32"/>
          <w:highlight w:val="none"/>
        </w:rPr>
        <w:t>5.29万元，</w:t>
      </w:r>
      <w:r>
        <w:rPr>
          <w:rFonts w:hint="eastAsia" w:ascii="仿宋_GB2312" w:hAnsi="仿宋_GB2312" w:eastAsia="仿宋_GB2312" w:cs="仿宋_GB2312"/>
          <w:kern w:val="0"/>
          <w:sz w:val="32"/>
          <w:szCs w:val="32"/>
          <w:highlight w:val="none"/>
        </w:rPr>
        <w:t>比上年决算减少1966.21万元，下降99.73%，主要原因是：基建项目支出减少</w:t>
      </w:r>
      <w:r>
        <w:rPr>
          <w:rFonts w:hint="eastAsia" w:ascii="仿宋_GB2312" w:eastAsia="仿宋_GB2312"/>
          <w:kern w:val="0"/>
          <w:sz w:val="32"/>
          <w:highlight w:val="none"/>
        </w:rPr>
        <w:t>；</w:t>
      </w:r>
    </w:p>
    <w:p>
      <w:pPr>
        <w:autoSpaceDE w:val="0"/>
        <w:autoSpaceDN w:val="0"/>
        <w:adjustRightInd w:val="0"/>
        <w:spacing w:line="360" w:lineRule="auto"/>
        <w:ind w:firstLine="640"/>
        <w:rPr>
          <w:rFonts w:hint="default" w:ascii="仿宋_GB2312" w:eastAsia="仿宋_GB2312"/>
          <w:kern w:val="0"/>
          <w:sz w:val="32"/>
          <w:highlight w:val="none"/>
          <w:lang w:val="en-US" w:eastAsia="zh-CN"/>
        </w:rPr>
      </w:pPr>
      <w:r>
        <w:rPr>
          <w:rFonts w:hint="eastAsia" w:ascii="仿宋_GB2312" w:eastAsia="仿宋_GB2312"/>
          <w:kern w:val="0"/>
          <w:sz w:val="32"/>
          <w:highlight w:val="none"/>
          <w:lang w:val="en-US" w:eastAsia="zh-CN"/>
        </w:rPr>
        <w:t>7、</w:t>
      </w:r>
      <w:r>
        <w:rPr>
          <w:rFonts w:hint="eastAsia" w:ascii="仿宋_GB2312" w:eastAsia="仿宋_GB2312"/>
          <w:kern w:val="0"/>
          <w:sz w:val="32"/>
          <w:highlight w:val="none"/>
          <w:lang w:eastAsia="zh-CN"/>
        </w:rPr>
        <w:t>教育支出（类）普通教育（款）</w:t>
      </w:r>
      <w:r>
        <w:rPr>
          <w:rFonts w:hint="eastAsia" w:ascii="仿宋_GB2312" w:eastAsia="仿宋_GB2312"/>
          <w:kern w:val="0"/>
          <w:sz w:val="32"/>
          <w:highlight w:val="none"/>
          <w:lang w:val="en-US" w:eastAsia="zh-CN"/>
        </w:rPr>
        <w:t>其他普通教育支出（项）支出决算数0万元，比上年决算减少39.14万元，下降100%，主要原因是，本年财政未将高中助学金及三区人才经费安排在该款项。</w:t>
      </w:r>
    </w:p>
    <w:p>
      <w:pPr>
        <w:spacing w:line="600" w:lineRule="exact"/>
        <w:ind w:firstLine="640" w:firstLineChars="200"/>
        <w:rPr>
          <w:rFonts w:hint="eastAsia" w:ascii="仿宋_GB2312" w:eastAsia="仿宋_GB2312"/>
          <w:kern w:val="0"/>
          <w:sz w:val="32"/>
          <w:highlight w:val="none"/>
        </w:rPr>
      </w:pPr>
      <w:r>
        <w:rPr>
          <w:rFonts w:hint="eastAsia" w:ascii="仿宋_GB2312" w:eastAsia="仿宋_GB2312"/>
          <w:kern w:val="0"/>
          <w:sz w:val="32"/>
          <w:highlight w:val="none"/>
          <w:lang w:val="en-US" w:eastAsia="zh-CN"/>
        </w:rPr>
        <w:t>8</w:t>
      </w:r>
      <w:r>
        <w:rPr>
          <w:rFonts w:hint="eastAsia" w:ascii="仿宋_GB2312" w:eastAsia="仿宋_GB2312"/>
          <w:kern w:val="0"/>
          <w:sz w:val="32"/>
          <w:highlight w:val="none"/>
        </w:rPr>
        <w:t>、</w:t>
      </w:r>
      <w:r>
        <w:rPr>
          <w:rFonts w:hint="eastAsia" w:ascii="仿宋_GB2312" w:eastAsia="仿宋_GB2312"/>
          <w:kern w:val="0"/>
          <w:sz w:val="32"/>
          <w:highlight w:val="none"/>
          <w:lang w:eastAsia="zh-CN"/>
        </w:rPr>
        <w:t>城乡社区支出（类）</w:t>
      </w:r>
      <w:r>
        <w:rPr>
          <w:rFonts w:hint="eastAsia" w:ascii="仿宋_GB2312" w:eastAsia="仿宋_GB2312"/>
          <w:kern w:val="0"/>
          <w:sz w:val="32"/>
          <w:highlight w:val="none"/>
        </w:rPr>
        <w:t>其他城乡社区支出</w:t>
      </w:r>
      <w:r>
        <w:rPr>
          <w:rFonts w:hint="eastAsia" w:ascii="仿宋_GB2312" w:eastAsia="仿宋_GB2312"/>
          <w:kern w:val="0"/>
          <w:sz w:val="32"/>
          <w:highlight w:val="none"/>
          <w:lang w:eastAsia="zh-CN"/>
        </w:rPr>
        <w:t>（款）</w:t>
      </w:r>
      <w:r>
        <w:rPr>
          <w:rFonts w:hint="eastAsia" w:ascii="仿宋_GB2312" w:eastAsia="仿宋_GB2312"/>
          <w:kern w:val="0"/>
          <w:sz w:val="32"/>
          <w:highlight w:val="none"/>
        </w:rPr>
        <w:t>其他城乡社区支出</w:t>
      </w:r>
      <w:r>
        <w:rPr>
          <w:rFonts w:hint="eastAsia" w:ascii="仿宋_GB2312" w:eastAsia="仿宋_GB2312"/>
          <w:kern w:val="0"/>
          <w:sz w:val="32"/>
          <w:highlight w:val="none"/>
          <w:lang w:eastAsia="zh-CN"/>
        </w:rPr>
        <w:t>（项）</w:t>
      </w:r>
      <w:r>
        <w:rPr>
          <w:rFonts w:hint="eastAsia" w:ascii="仿宋_GB2312" w:hAnsi="仿宋_GB2312" w:eastAsia="仿宋_GB2312" w:cs="仿宋_GB2312"/>
          <w:kern w:val="0"/>
          <w:sz w:val="32"/>
          <w:szCs w:val="32"/>
          <w:highlight w:val="none"/>
        </w:rPr>
        <w:t>支出决算数为</w:t>
      </w:r>
      <w:r>
        <w:rPr>
          <w:rFonts w:hint="eastAsia" w:ascii="仿宋_GB2312" w:eastAsia="仿宋_GB2312"/>
          <w:kern w:val="0"/>
          <w:sz w:val="32"/>
          <w:highlight w:val="none"/>
        </w:rPr>
        <w:t>11.03万元，</w:t>
      </w:r>
      <w:r>
        <w:rPr>
          <w:rFonts w:hint="eastAsia" w:ascii="仿宋_GB2312" w:hAnsi="仿宋_GB2312" w:eastAsia="仿宋_GB2312" w:cs="仿宋_GB2312"/>
          <w:kern w:val="0"/>
          <w:sz w:val="32"/>
          <w:szCs w:val="32"/>
          <w:highlight w:val="none"/>
        </w:rPr>
        <w:t>比上年决算减少32.62万元，下降74.73%，主要原因是：受财力影响临聘人员经费支出减少</w:t>
      </w:r>
      <w:r>
        <w:rPr>
          <w:rFonts w:hint="eastAsia" w:ascii="仿宋_GB2312" w:eastAsia="仿宋_GB2312"/>
          <w:kern w:val="0"/>
          <w:sz w:val="32"/>
          <w:highlight w:val="none"/>
        </w:rPr>
        <w:t>；</w:t>
      </w:r>
    </w:p>
    <w:p>
      <w:pPr>
        <w:spacing w:line="600" w:lineRule="exact"/>
        <w:ind w:firstLine="640" w:firstLineChars="200"/>
        <w:rPr>
          <w:rFonts w:hint="eastAsia" w:ascii="仿宋_GB2312" w:eastAsia="仿宋_GB2312"/>
          <w:kern w:val="0"/>
          <w:sz w:val="32"/>
          <w:highlight w:val="none"/>
          <w:lang w:val="en-US" w:eastAsia="zh-CN"/>
        </w:rPr>
      </w:pPr>
      <w:r>
        <w:rPr>
          <w:rFonts w:hint="eastAsia" w:ascii="仿宋_GB2312" w:eastAsia="仿宋_GB2312"/>
          <w:kern w:val="0"/>
          <w:sz w:val="32"/>
          <w:highlight w:val="none"/>
          <w:lang w:val="en-US" w:eastAsia="zh-CN"/>
        </w:rPr>
        <w:t>9、社会保障和就业支出</w:t>
      </w:r>
      <w:r>
        <w:rPr>
          <w:rFonts w:hint="eastAsia" w:ascii="仿宋_GB2312" w:eastAsia="仿宋_GB2312"/>
          <w:kern w:val="0"/>
          <w:sz w:val="32"/>
          <w:highlight w:val="none"/>
          <w:lang w:eastAsia="zh-CN"/>
        </w:rPr>
        <w:t>（类）民政管理事务（款）基层政权建设和社区治理（项）</w:t>
      </w:r>
      <w:r>
        <w:rPr>
          <w:rFonts w:hint="eastAsia" w:ascii="仿宋_GB2312" w:eastAsia="仿宋_GB2312"/>
          <w:kern w:val="0"/>
          <w:sz w:val="32"/>
          <w:highlight w:val="none"/>
          <w:lang w:val="en-US" w:eastAsia="zh-CN"/>
        </w:rPr>
        <w:t>支出决算数0万元，比上年决算减少1.30万元，下降100%，主要原因是，本年财政未将雇员绩效工资安排该在款项。</w:t>
      </w:r>
    </w:p>
    <w:p>
      <w:pPr>
        <w:spacing w:line="600" w:lineRule="exact"/>
        <w:ind w:firstLine="640" w:firstLineChars="200"/>
        <w:rPr>
          <w:rFonts w:hint="eastAsia" w:ascii="仿宋_GB2312" w:eastAsia="仿宋_GB2312"/>
          <w:kern w:val="0"/>
          <w:sz w:val="32"/>
          <w:highlight w:val="none"/>
          <w:lang w:val="en-US" w:eastAsia="zh-CN"/>
        </w:rPr>
      </w:pPr>
      <w:r>
        <w:rPr>
          <w:rFonts w:hint="eastAsia" w:ascii="仿宋_GB2312" w:eastAsia="仿宋_GB2312"/>
          <w:kern w:val="0"/>
          <w:sz w:val="32"/>
          <w:highlight w:val="none"/>
          <w:lang w:val="en-US" w:eastAsia="zh-CN"/>
        </w:rPr>
        <w:t>10、社会保障和就业支出</w:t>
      </w:r>
      <w:r>
        <w:rPr>
          <w:rFonts w:hint="eastAsia" w:ascii="仿宋_GB2312" w:eastAsia="仿宋_GB2312"/>
          <w:kern w:val="0"/>
          <w:sz w:val="32"/>
          <w:highlight w:val="none"/>
          <w:lang w:eastAsia="zh-CN"/>
        </w:rPr>
        <w:t>（类）行政事业单位养老支出（款）机关事业单位基本养老保险缴费支出（项）</w:t>
      </w:r>
      <w:r>
        <w:rPr>
          <w:rFonts w:hint="eastAsia" w:ascii="仿宋_GB2312" w:eastAsia="仿宋_GB2312"/>
          <w:kern w:val="0"/>
          <w:sz w:val="32"/>
          <w:highlight w:val="none"/>
          <w:lang w:val="en-US" w:eastAsia="zh-CN"/>
        </w:rPr>
        <w:t>支出决算数0万元，比上年决算减少39.67万元，下降100%，主要原因是，本年财政将养老保险缴费支出安排在行政运行和机关服务。</w:t>
      </w:r>
    </w:p>
    <w:p>
      <w:pPr>
        <w:spacing w:line="600" w:lineRule="exact"/>
        <w:ind w:firstLine="640" w:firstLineChars="200"/>
        <w:rPr>
          <w:rFonts w:hint="default" w:ascii="仿宋_GB2312" w:eastAsia="仿宋_GB2312"/>
          <w:kern w:val="0"/>
          <w:sz w:val="32"/>
          <w:highlight w:val="none"/>
          <w:lang w:val="en-US" w:eastAsia="zh-CN"/>
        </w:rPr>
      </w:pPr>
      <w:r>
        <w:rPr>
          <w:rFonts w:hint="eastAsia" w:ascii="仿宋_GB2312" w:eastAsia="仿宋_GB2312"/>
          <w:kern w:val="0"/>
          <w:sz w:val="32"/>
          <w:highlight w:val="none"/>
          <w:lang w:val="en-US" w:eastAsia="zh-CN"/>
        </w:rPr>
        <w:t>11、其他支出</w:t>
      </w:r>
      <w:r>
        <w:rPr>
          <w:rFonts w:hint="eastAsia" w:ascii="仿宋_GB2312" w:eastAsia="仿宋_GB2312"/>
          <w:kern w:val="0"/>
          <w:sz w:val="32"/>
          <w:highlight w:val="none"/>
          <w:lang w:eastAsia="zh-CN"/>
        </w:rPr>
        <w:t>（类）</w:t>
      </w:r>
      <w:r>
        <w:rPr>
          <w:rFonts w:hint="eastAsia" w:ascii="仿宋_GB2312" w:eastAsia="仿宋_GB2312"/>
          <w:kern w:val="0"/>
          <w:sz w:val="32"/>
          <w:highlight w:val="none"/>
          <w:lang w:val="en-US" w:eastAsia="zh-CN"/>
        </w:rPr>
        <w:t>其他支出</w:t>
      </w:r>
      <w:r>
        <w:rPr>
          <w:rFonts w:hint="eastAsia" w:ascii="仿宋_GB2312" w:eastAsia="仿宋_GB2312"/>
          <w:kern w:val="0"/>
          <w:sz w:val="32"/>
          <w:highlight w:val="none"/>
          <w:lang w:eastAsia="zh-CN"/>
        </w:rPr>
        <w:t>（款）</w:t>
      </w:r>
      <w:r>
        <w:rPr>
          <w:rFonts w:hint="eastAsia" w:ascii="仿宋_GB2312" w:eastAsia="仿宋_GB2312"/>
          <w:kern w:val="0"/>
          <w:sz w:val="32"/>
          <w:highlight w:val="none"/>
          <w:lang w:val="en-US" w:eastAsia="zh-CN"/>
        </w:rPr>
        <w:t>其他支出</w:t>
      </w:r>
      <w:r>
        <w:rPr>
          <w:rFonts w:hint="eastAsia" w:ascii="仿宋_GB2312" w:eastAsia="仿宋_GB2312"/>
          <w:kern w:val="0"/>
          <w:sz w:val="32"/>
          <w:highlight w:val="none"/>
          <w:lang w:eastAsia="zh-CN"/>
        </w:rPr>
        <w:t>（项）</w:t>
      </w:r>
      <w:r>
        <w:rPr>
          <w:rFonts w:hint="eastAsia" w:ascii="仿宋_GB2312" w:eastAsia="仿宋_GB2312"/>
          <w:kern w:val="0"/>
          <w:sz w:val="32"/>
          <w:highlight w:val="none"/>
          <w:lang w:val="en-US" w:eastAsia="zh-CN"/>
        </w:rPr>
        <w:t>支出决算数0万元，比上年决算减少20.52万元，下降100%，主要原因是，本年无访惠聚人员补助项目。</w:t>
      </w:r>
    </w:p>
    <w:p>
      <w:pPr>
        <w:ind w:firstLine="640" w:firstLineChars="200"/>
        <w:outlineLvl w:val="1"/>
        <w:rPr>
          <w:rFonts w:hint="eastAsia" w:ascii="黑体" w:hAnsi="黑体" w:eastAsia="黑体" w:cs="宋体"/>
          <w:bCs/>
          <w:kern w:val="0"/>
          <w:sz w:val="32"/>
          <w:szCs w:val="32"/>
          <w:highlight w:val="none"/>
        </w:rPr>
      </w:pPr>
      <w:bookmarkStart w:id="54" w:name="_GoBack"/>
      <w:bookmarkEnd w:id="54"/>
      <w:r>
        <w:rPr>
          <w:rFonts w:hint="eastAsia" w:ascii="黑体" w:hAnsi="黑体" w:eastAsia="黑体" w:cs="宋体"/>
          <w:bCs/>
          <w:kern w:val="0"/>
          <w:sz w:val="32"/>
          <w:szCs w:val="32"/>
          <w:highlight w:val="none"/>
        </w:rPr>
        <w:t>六、一般公共预算财政拨款基本支出决算情况说明</w:t>
      </w:r>
      <w:bookmarkEnd w:id="18"/>
      <w:bookmarkEnd w:id="1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2022年度一般公共预算财政拨款基本支出531.13万元，其中：</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人员经费509万元，包括：基本工资、津贴补贴、绩效工资、机关事业单位基本养老保险缴费、职业年金缴费、职工基本医疗保险缴费、其他社会保障缴费、住房公积金、其他工资福利支出、退休费、奖励金、其他对个人和家庭的补助。</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公用经费22.13万元，包括：办公费、手续费、邮电费、培训费、专用材料费、工会经费、福利费、公务用车运行维护费、其他交通费用、其他商品和服务支出、办公设备购置。</w:t>
      </w:r>
    </w:p>
    <w:p>
      <w:pPr>
        <w:ind w:firstLine="640" w:firstLineChars="200"/>
        <w:outlineLvl w:val="1"/>
        <w:rPr>
          <w:rFonts w:hint="eastAsia" w:ascii="黑体" w:hAnsi="黑体" w:eastAsia="黑体" w:cs="宋体"/>
          <w:bCs/>
          <w:kern w:val="0"/>
          <w:sz w:val="32"/>
          <w:szCs w:val="32"/>
          <w:highlight w:val="none"/>
        </w:rPr>
      </w:pPr>
      <w:bookmarkStart w:id="20" w:name="_Toc7190"/>
      <w:bookmarkStart w:id="21" w:name="_Toc21518"/>
      <w:r>
        <w:rPr>
          <w:rFonts w:hint="eastAsia" w:ascii="黑体" w:hAnsi="黑体" w:eastAsia="黑体" w:cs="宋体"/>
          <w:bCs/>
          <w:kern w:val="0"/>
          <w:sz w:val="32"/>
          <w:szCs w:val="32"/>
          <w:highlight w:val="none"/>
        </w:rPr>
        <w:t>七、财政拨款“三公”经费支出决算情况说明</w:t>
      </w:r>
      <w:bookmarkEnd w:id="20"/>
      <w:bookmarkEnd w:id="21"/>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2022年度财政拨款“三公”经费支出决算8.24万元，比上年</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3.80万元，</w:t>
      </w:r>
      <w:r>
        <w:rPr>
          <w:rFonts w:hint="eastAsia" w:ascii="仿宋_GB2312" w:eastAsia="仿宋_GB2312"/>
          <w:sz w:val="32"/>
          <w:szCs w:val="32"/>
          <w:highlight w:val="none"/>
          <w:lang w:val="en-US" w:eastAsia="zh-CN"/>
        </w:rPr>
        <w:t>增长85.59</w:t>
      </w:r>
      <w:r>
        <w:rPr>
          <w:rFonts w:hint="eastAsia" w:ascii="仿宋_GB2312" w:eastAsia="仿宋_GB2312"/>
          <w:sz w:val="32"/>
          <w:szCs w:val="32"/>
          <w:highlight w:val="none"/>
        </w:rPr>
        <w:t>%，主要原因是：2022年</w:t>
      </w:r>
      <w:r>
        <w:rPr>
          <w:rFonts w:hint="eastAsia" w:ascii="仿宋_GB2312" w:eastAsia="仿宋_GB2312"/>
          <w:sz w:val="32"/>
          <w:szCs w:val="32"/>
          <w:highlight w:val="none"/>
          <w:lang w:val="en-US" w:eastAsia="zh-CN"/>
        </w:rPr>
        <w:t>公车油料费及维护费增加</w:t>
      </w:r>
      <w:r>
        <w:rPr>
          <w:rFonts w:hint="eastAsia" w:ascii="仿宋_GB2312" w:eastAsia="仿宋_GB2312"/>
          <w:sz w:val="32"/>
          <w:szCs w:val="32"/>
          <w:highlight w:val="none"/>
        </w:rPr>
        <w:t>。其中：因公出国（境）费支出0万元，占0%，比上年增加0万元，增长0%，主要原因是：</w:t>
      </w:r>
      <w:r>
        <w:rPr>
          <w:rFonts w:hint="eastAsia" w:ascii="仿宋_GB2312" w:hAnsi="仿宋_GB2312" w:eastAsia="仿宋_GB2312"/>
          <w:kern w:val="0"/>
          <w:sz w:val="32"/>
          <w:highlight w:val="none"/>
        </w:rPr>
        <w:t>无因公出国（境）费支出</w:t>
      </w:r>
      <w:r>
        <w:rPr>
          <w:rFonts w:hint="eastAsia" w:ascii="仿宋_GB2312" w:eastAsia="仿宋_GB2312"/>
          <w:sz w:val="32"/>
          <w:szCs w:val="32"/>
          <w:highlight w:val="none"/>
        </w:rPr>
        <w:t>；公务用车购置及运行维护费支出8.24万元，占100%，比上年</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3.80万元，</w:t>
      </w:r>
      <w:r>
        <w:rPr>
          <w:rFonts w:hint="eastAsia" w:ascii="仿宋_GB2312" w:eastAsia="仿宋_GB2312"/>
          <w:sz w:val="32"/>
          <w:szCs w:val="32"/>
          <w:highlight w:val="none"/>
          <w:lang w:val="en-US" w:eastAsia="zh-CN"/>
        </w:rPr>
        <w:t>增长85.59</w:t>
      </w:r>
      <w:r>
        <w:rPr>
          <w:rFonts w:hint="eastAsia" w:ascii="仿宋_GB2312" w:eastAsia="仿宋_GB2312"/>
          <w:sz w:val="32"/>
          <w:szCs w:val="32"/>
          <w:highlight w:val="none"/>
        </w:rPr>
        <w:t>%，主要原因是：2022年</w:t>
      </w:r>
      <w:r>
        <w:rPr>
          <w:rFonts w:hint="eastAsia" w:ascii="仿宋_GB2312" w:eastAsia="仿宋_GB2312"/>
          <w:sz w:val="32"/>
          <w:szCs w:val="32"/>
          <w:highlight w:val="none"/>
          <w:lang w:val="en-US" w:eastAsia="zh-CN"/>
        </w:rPr>
        <w:t>公车油料费及维护费增加</w:t>
      </w:r>
      <w:r>
        <w:rPr>
          <w:rFonts w:hint="eastAsia" w:ascii="仿宋_GB2312" w:eastAsia="仿宋_GB2312"/>
          <w:sz w:val="32"/>
          <w:szCs w:val="32"/>
          <w:highlight w:val="none"/>
        </w:rPr>
        <w:t>；公务接待费支出0万元，占0%，比上年增加0万元，增长0%，主要原因是：无公务接待费用支出。具体情况如下：</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因公出国（境）费支出0万元，开支内容包括</w:t>
      </w:r>
      <w:r>
        <w:rPr>
          <w:rFonts w:hint="eastAsia" w:ascii="仿宋_GB2312" w:eastAsia="仿宋_GB2312"/>
          <w:sz w:val="32"/>
          <w:szCs w:val="32"/>
          <w:highlight w:val="none"/>
          <w:lang w:eastAsia="zh-CN"/>
        </w:rPr>
        <w:t>我单位无</w:t>
      </w:r>
      <w:r>
        <w:rPr>
          <w:rFonts w:hint="eastAsia" w:ascii="仿宋_GB2312" w:eastAsia="仿宋_GB2312"/>
          <w:sz w:val="32"/>
          <w:szCs w:val="32"/>
          <w:highlight w:val="none"/>
        </w:rPr>
        <w:t>因公出国（境）</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。单位全年安排的因公出国（境）团组0个，因公出国（境）0人次。</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公务用车购置及运行维护费8.24万元，其中：公务用车购置费0万元，公务用车运行维护费8.24万元。公务用车运行维护费开支内容包括</w:t>
      </w:r>
      <w:r>
        <w:rPr>
          <w:rFonts w:hint="eastAsia" w:ascii="仿宋_GB2312" w:hAnsi="仿宋_GB2312" w:eastAsia="仿宋_GB2312"/>
          <w:kern w:val="0"/>
          <w:sz w:val="32"/>
          <w:highlight w:val="none"/>
        </w:rPr>
        <w:t>公务用车燃油费、保险费、过路费等</w:t>
      </w:r>
      <w:r>
        <w:rPr>
          <w:rFonts w:hint="eastAsia" w:ascii="仿宋_GB2312" w:eastAsia="仿宋_GB2312"/>
          <w:sz w:val="32"/>
          <w:szCs w:val="32"/>
          <w:highlight w:val="none"/>
        </w:rPr>
        <w:t>。公务用车购置数0辆，公务用车保有量</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辆。</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公务接待费0万元，开支内容包括</w:t>
      </w:r>
      <w:r>
        <w:rPr>
          <w:rFonts w:hint="eastAsia" w:ascii="仿宋_GB2312" w:eastAsia="仿宋_GB2312"/>
          <w:sz w:val="32"/>
          <w:szCs w:val="32"/>
          <w:highlight w:val="none"/>
          <w:lang w:eastAsia="zh-CN"/>
        </w:rPr>
        <w:t>我单位无公务接待支出</w:t>
      </w:r>
      <w:r>
        <w:rPr>
          <w:rFonts w:hint="eastAsia" w:ascii="仿宋_GB2312" w:eastAsia="仿宋_GB2312"/>
          <w:sz w:val="32"/>
          <w:szCs w:val="32"/>
          <w:highlight w:val="none"/>
        </w:rPr>
        <w:t>。单位全年安排的国内公务接待0批次，0人次。</w:t>
      </w:r>
    </w:p>
    <w:p>
      <w:pPr>
        <w:ind w:firstLine="640" w:firstLineChars="200"/>
        <w:rPr>
          <w:rFonts w:hint="eastAsia" w:ascii="仿宋_GB2312" w:eastAsia="仿宋_GB2312"/>
          <w:sz w:val="32"/>
          <w:szCs w:val="32"/>
          <w:highlight w:val="none"/>
        </w:rPr>
      </w:pPr>
      <w:bookmarkStart w:id="22" w:name="_Toc5810"/>
      <w:bookmarkStart w:id="23" w:name="_Toc7927"/>
      <w:r>
        <w:rPr>
          <w:rFonts w:hint="eastAsia" w:ascii="仿宋_GB2312" w:eastAsia="仿宋_GB2312"/>
          <w:sz w:val="32"/>
          <w:szCs w:val="32"/>
          <w:highlight w:val="none"/>
        </w:rPr>
        <w:t>与全年预算数相比情况：“三公”经费支出全年预算数9万元，决算数8.24万元，预决算差异率-8.44%，主要原因是：2022年</w:t>
      </w:r>
      <w:r>
        <w:rPr>
          <w:rFonts w:hint="eastAsia" w:ascii="仿宋_GB2312" w:eastAsia="仿宋_GB2312"/>
          <w:sz w:val="32"/>
          <w:szCs w:val="32"/>
          <w:highlight w:val="none"/>
          <w:lang w:val="en-US" w:eastAsia="zh-CN"/>
        </w:rPr>
        <w:t>公车油料费及维护费增加</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其中：因公出国（境）费全年预算数</w:t>
      </w:r>
      <w:r>
        <w:rPr>
          <w:rFonts w:hint="eastAsia" w:ascii="仿宋_GB2312" w:eastAsia="仿宋_GB2312"/>
          <w:sz w:val="32"/>
          <w:szCs w:val="32"/>
          <w:highlight w:val="none"/>
        </w:rPr>
        <w:t>0万元，决算数0万元，预决算差异率0%，主要原因是：</w:t>
      </w:r>
      <w:r>
        <w:rPr>
          <w:rFonts w:hint="eastAsia" w:ascii="仿宋_GB2312" w:eastAsia="仿宋_GB2312"/>
          <w:sz w:val="32"/>
          <w:szCs w:val="32"/>
          <w:highlight w:val="none"/>
          <w:lang w:eastAsia="zh-CN"/>
        </w:rPr>
        <w:t>我单位</w:t>
      </w:r>
      <w:r>
        <w:rPr>
          <w:rFonts w:hint="eastAsia" w:ascii="仿宋_GB2312" w:hAnsi="仿宋_GB2312" w:eastAsia="仿宋_GB2312"/>
          <w:kern w:val="0"/>
          <w:sz w:val="32"/>
          <w:highlight w:val="none"/>
        </w:rPr>
        <w:t>无因公出国（境）费支出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费全年预算数0万元，决算数0万元，预决算差异率0%，主要原因是：</w:t>
      </w:r>
      <w:r>
        <w:rPr>
          <w:rFonts w:hint="eastAsia" w:ascii="仿宋_GB2312" w:eastAsia="仿宋_GB2312"/>
          <w:sz w:val="32"/>
          <w:szCs w:val="32"/>
          <w:highlight w:val="none"/>
          <w:lang w:eastAsia="zh-CN"/>
        </w:rPr>
        <w:t>我单位</w:t>
      </w:r>
      <w:r>
        <w:rPr>
          <w:rFonts w:hint="eastAsia" w:ascii="仿宋_GB2312" w:hAnsi="仿宋_GB2312" w:eastAsia="仿宋_GB2312"/>
          <w:kern w:val="0"/>
          <w:sz w:val="32"/>
          <w:highlight w:val="none"/>
        </w:rPr>
        <w:t>无</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hAnsi="仿宋_GB2312" w:eastAsia="仿宋_GB2312"/>
          <w:kern w:val="0"/>
          <w:sz w:val="32"/>
          <w:highlight w:val="none"/>
        </w:rPr>
        <w:t>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公务用车运行费全年</w:t>
      </w:r>
      <w:r>
        <w:rPr>
          <w:rFonts w:hint="eastAsia" w:ascii="仿宋_GB2312" w:eastAsia="仿宋_GB2312"/>
          <w:sz w:val="32"/>
          <w:szCs w:val="32"/>
          <w:highlight w:val="none"/>
        </w:rPr>
        <w:t>预算数8.91万元，决算数8.24万元，预决算差异率-7.52%，主要原因是：2022年下半年公车运行费减少；</w:t>
      </w:r>
      <w:r>
        <w:rPr>
          <w:rFonts w:hint="eastAsia" w:ascii="仿宋_GB2312" w:hAnsi="宋体" w:eastAsia="仿宋_GB2312" w:cs="宋体"/>
          <w:kern w:val="0"/>
          <w:sz w:val="32"/>
          <w:szCs w:val="32"/>
          <w:highlight w:val="none"/>
        </w:rPr>
        <w:t>公务接待费全年</w:t>
      </w:r>
      <w:r>
        <w:rPr>
          <w:rFonts w:hint="eastAsia" w:ascii="仿宋_GB2312" w:eastAsia="仿宋_GB2312"/>
          <w:sz w:val="32"/>
          <w:szCs w:val="32"/>
          <w:highlight w:val="none"/>
        </w:rPr>
        <w:t>预算数0.09万元，决算数0万元，预决算差异率100%，主要原因是：</w:t>
      </w:r>
      <w:r>
        <w:rPr>
          <w:rFonts w:hint="eastAsia" w:ascii="仿宋_GB2312" w:eastAsia="仿宋_GB2312"/>
          <w:sz w:val="32"/>
          <w:szCs w:val="32"/>
          <w:highlight w:val="none"/>
          <w:lang w:eastAsia="zh-CN"/>
        </w:rPr>
        <w:t>我单位</w:t>
      </w:r>
      <w:r>
        <w:rPr>
          <w:rFonts w:hint="eastAsia" w:ascii="仿宋_GB2312" w:eastAsia="仿宋_GB2312"/>
          <w:sz w:val="32"/>
          <w:szCs w:val="32"/>
          <w:highlight w:val="none"/>
        </w:rPr>
        <w:t>无公务接待费。</w:t>
      </w:r>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八、政府性基金预算财政拨款收入支出决算情况说明</w:t>
      </w:r>
      <w:bookmarkEnd w:id="22"/>
      <w:bookmarkEnd w:id="23"/>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2022年度政府性基金预算年初结转和结余0万元，财政拨款收入</w:t>
      </w:r>
      <w:r>
        <w:rPr>
          <w:rFonts w:ascii="仿宋_GB2312" w:eastAsia="仿宋_GB2312"/>
          <w:sz w:val="32"/>
          <w:szCs w:val="32"/>
          <w:highlight w:val="none"/>
        </w:rPr>
        <w:t>1679.25</w:t>
      </w:r>
      <w:r>
        <w:rPr>
          <w:rFonts w:hint="eastAsia" w:ascii="仿宋_GB2312" w:eastAsia="仿宋_GB2312"/>
          <w:sz w:val="32"/>
          <w:szCs w:val="32"/>
          <w:highlight w:val="none"/>
        </w:rPr>
        <w:t>万元，与上年相比，增加</w:t>
      </w:r>
      <w:r>
        <w:rPr>
          <w:rFonts w:ascii="仿宋_GB2312" w:eastAsia="仿宋_GB2312"/>
          <w:sz w:val="32"/>
          <w:szCs w:val="32"/>
          <w:highlight w:val="none"/>
        </w:rPr>
        <w:t>1679.25</w:t>
      </w:r>
      <w:r>
        <w:rPr>
          <w:rFonts w:hint="eastAsia" w:ascii="仿宋_GB2312" w:eastAsia="仿宋_GB2312"/>
          <w:sz w:val="32"/>
          <w:szCs w:val="32"/>
          <w:highlight w:val="none"/>
        </w:rPr>
        <w:t>万元，增长100%，主要原因是：本年新增地方专项债券收入安排的支出。政府性基金预算年末结转结余0万元，财政拨款支出</w:t>
      </w:r>
      <w:r>
        <w:rPr>
          <w:rFonts w:ascii="仿宋_GB2312" w:eastAsia="仿宋_GB2312"/>
          <w:sz w:val="32"/>
          <w:szCs w:val="32"/>
          <w:highlight w:val="none"/>
        </w:rPr>
        <w:t>1679.25</w:t>
      </w:r>
      <w:r>
        <w:rPr>
          <w:rFonts w:hint="eastAsia" w:ascii="仿宋_GB2312" w:eastAsia="仿宋_GB2312"/>
          <w:sz w:val="32"/>
          <w:szCs w:val="32"/>
          <w:highlight w:val="none"/>
        </w:rPr>
        <w:t>万元，与上年相比，增加</w:t>
      </w:r>
      <w:r>
        <w:rPr>
          <w:rFonts w:ascii="仿宋_GB2312" w:eastAsia="仿宋_GB2312"/>
          <w:sz w:val="32"/>
          <w:szCs w:val="32"/>
          <w:highlight w:val="none"/>
        </w:rPr>
        <w:t>1679.25</w:t>
      </w:r>
      <w:r>
        <w:rPr>
          <w:rFonts w:hint="eastAsia" w:ascii="仿宋_GB2312" w:eastAsia="仿宋_GB2312"/>
          <w:sz w:val="32"/>
          <w:szCs w:val="32"/>
          <w:highlight w:val="none"/>
        </w:rPr>
        <w:t>万元，增长100%，主要原因是：本年新增地方专项债券收入安排的支出。</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政府性基金预算财政拨款支出1679.25万元。按功能分类科目项级科目公开，其中：</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2290402其他地方自行试点项目收益专项债券收入安排的支出1679.25万元；</w:t>
      </w:r>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九、国有资本经营预算财政拨款收入支出决算情况说明</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我单位本年度无国有资本经营预算财政拨款收入、支出及结转和结余，国有资本经营预算财政拨款收入支出决算表为空表。</w:t>
      </w:r>
    </w:p>
    <w:p>
      <w:pPr>
        <w:ind w:firstLine="640" w:firstLineChars="200"/>
        <w:outlineLvl w:val="1"/>
        <w:rPr>
          <w:rFonts w:hint="eastAsia" w:ascii="黑体" w:hAnsi="黑体" w:eastAsia="黑体" w:cs="宋体"/>
          <w:bCs/>
          <w:kern w:val="0"/>
          <w:sz w:val="32"/>
          <w:szCs w:val="32"/>
          <w:highlight w:val="none"/>
        </w:rPr>
      </w:pPr>
      <w:bookmarkStart w:id="24" w:name="_Toc7314"/>
      <w:bookmarkStart w:id="25" w:name="_Toc1235"/>
      <w:r>
        <w:rPr>
          <w:rFonts w:hint="eastAsia" w:ascii="黑体" w:hAnsi="黑体" w:eastAsia="黑体" w:cs="宋体"/>
          <w:bCs/>
          <w:kern w:val="0"/>
          <w:sz w:val="32"/>
          <w:szCs w:val="32"/>
          <w:highlight w:val="none"/>
        </w:rPr>
        <w:t>十、其他重要事项的情况说明</w:t>
      </w:r>
      <w:bookmarkEnd w:id="24"/>
      <w:bookmarkEnd w:id="25"/>
    </w:p>
    <w:p>
      <w:pPr>
        <w:ind w:firstLine="640" w:firstLineChars="200"/>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rPr>
        <w:t>（一）机关运行经费支出情况</w:t>
      </w:r>
      <w:bookmarkEnd w:id="26"/>
      <w:bookmarkEnd w:id="27"/>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w:t>
      </w:r>
      <w:r>
        <w:rPr>
          <w:rFonts w:hint="eastAsia" w:ascii="仿宋_GB2312" w:hAnsi="仿宋_GB2312" w:eastAsia="仿宋_GB2312"/>
          <w:kern w:val="0"/>
          <w:sz w:val="32"/>
          <w:highlight w:val="none"/>
        </w:rPr>
        <w:t>乌鲁木齐市水磨沟区教育局</w:t>
      </w:r>
      <w:r>
        <w:rPr>
          <w:rFonts w:hint="eastAsia" w:ascii="仿宋_GB2312" w:eastAsia="仿宋_GB2312"/>
          <w:sz w:val="32"/>
          <w:szCs w:val="32"/>
          <w:highlight w:val="none"/>
        </w:rPr>
        <w:t>机关运行经费支出22.13万元，比上年减少278.19万元，下降92.63%，主要原因是：2021年有专用材料购置支出203.52万元、物业管理费支出24.95万元，本年均无该项支出，下半年公用经费支出较少。</w:t>
      </w:r>
    </w:p>
    <w:p>
      <w:pPr>
        <w:ind w:firstLine="640" w:firstLineChars="200"/>
        <w:outlineLvl w:val="2"/>
        <w:rPr>
          <w:rFonts w:hint="eastAsia" w:ascii="黑体" w:hAnsi="黑体" w:eastAsia="黑体"/>
          <w:sz w:val="32"/>
          <w:szCs w:val="32"/>
          <w:highlight w:val="none"/>
        </w:rPr>
      </w:pPr>
      <w:bookmarkStart w:id="28" w:name="_Toc227"/>
      <w:bookmarkStart w:id="29" w:name="_Toc26704"/>
      <w:r>
        <w:rPr>
          <w:rFonts w:hint="eastAsia" w:ascii="黑体" w:hAnsi="黑体" w:eastAsia="黑体"/>
          <w:sz w:val="32"/>
          <w:szCs w:val="32"/>
          <w:highlight w:val="none"/>
        </w:rPr>
        <w:t>（二）政府采购情况</w:t>
      </w:r>
      <w:bookmarkEnd w:id="28"/>
      <w:bookmarkEnd w:id="29"/>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2022年度政府采购支出总额</w:t>
      </w:r>
      <w:r>
        <w:rPr>
          <w:rFonts w:ascii="仿宋_GB2312" w:eastAsia="仿宋_GB2312"/>
          <w:sz w:val="32"/>
          <w:szCs w:val="32"/>
          <w:highlight w:val="none"/>
        </w:rPr>
        <w:t>534.06</w:t>
      </w:r>
      <w:r>
        <w:rPr>
          <w:rFonts w:hint="eastAsia" w:ascii="仿宋_GB2312" w:eastAsia="仿宋_GB2312"/>
          <w:sz w:val="32"/>
          <w:szCs w:val="32"/>
          <w:highlight w:val="none"/>
        </w:rPr>
        <w:t>万元，其中：政府采购货物支出</w:t>
      </w:r>
      <w:r>
        <w:rPr>
          <w:rFonts w:ascii="仿宋_GB2312" w:eastAsia="仿宋_GB2312"/>
          <w:sz w:val="32"/>
          <w:szCs w:val="32"/>
          <w:highlight w:val="none"/>
        </w:rPr>
        <w:t>246.78</w:t>
      </w:r>
      <w:r>
        <w:rPr>
          <w:rFonts w:hint="eastAsia" w:ascii="仿宋_GB2312" w:eastAsia="仿宋_GB2312"/>
          <w:sz w:val="32"/>
          <w:szCs w:val="32"/>
          <w:highlight w:val="none"/>
        </w:rPr>
        <w:t>万元、政府采购工程支出0万元、政府采购服务支出</w:t>
      </w:r>
      <w:r>
        <w:rPr>
          <w:rFonts w:ascii="仿宋_GB2312" w:eastAsia="仿宋_GB2312"/>
          <w:sz w:val="32"/>
          <w:szCs w:val="32"/>
          <w:highlight w:val="none"/>
        </w:rPr>
        <w:t>287.28</w:t>
      </w:r>
      <w:r>
        <w:rPr>
          <w:rFonts w:hint="eastAsia" w:ascii="仿宋_GB2312" w:eastAsia="仿宋_GB2312"/>
          <w:sz w:val="32"/>
          <w:szCs w:val="32"/>
          <w:highlight w:val="none"/>
        </w:rPr>
        <w:t>万元。</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授予中小企业合同金额</w:t>
      </w:r>
      <w:r>
        <w:rPr>
          <w:rFonts w:ascii="仿宋_GB2312" w:eastAsia="仿宋_GB2312"/>
          <w:sz w:val="32"/>
          <w:szCs w:val="32"/>
          <w:highlight w:val="none"/>
        </w:rPr>
        <w:t>534.06</w:t>
      </w:r>
      <w:r>
        <w:rPr>
          <w:rFonts w:hint="eastAsia" w:ascii="仿宋_GB2312" w:eastAsia="仿宋_GB2312"/>
          <w:sz w:val="32"/>
          <w:szCs w:val="32"/>
          <w:highlight w:val="none"/>
        </w:rPr>
        <w:t>万元，占政府采购支出总额的100%，其中：授予小微企业合同金额</w:t>
      </w:r>
      <w:r>
        <w:rPr>
          <w:rFonts w:ascii="仿宋_GB2312" w:eastAsia="仿宋_GB2312"/>
          <w:sz w:val="32"/>
          <w:szCs w:val="32"/>
          <w:highlight w:val="none"/>
        </w:rPr>
        <w:t>485.56</w:t>
      </w:r>
      <w:r>
        <w:rPr>
          <w:rFonts w:hint="eastAsia" w:ascii="仿宋_GB2312" w:eastAsia="仿宋_GB2312"/>
          <w:sz w:val="32"/>
          <w:szCs w:val="32"/>
          <w:highlight w:val="none"/>
        </w:rPr>
        <w:t>万元，占政府采购支出总额的90.92%。</w:t>
      </w:r>
    </w:p>
    <w:p>
      <w:pPr>
        <w:ind w:firstLine="640" w:firstLineChars="200"/>
        <w:outlineLvl w:val="2"/>
        <w:rPr>
          <w:rFonts w:hint="eastAsia" w:ascii="黑体" w:hAnsi="黑体" w:eastAsia="黑体"/>
          <w:sz w:val="32"/>
          <w:szCs w:val="32"/>
          <w:highlight w:val="none"/>
        </w:rPr>
      </w:pPr>
      <w:bookmarkStart w:id="30" w:name="_Toc8391"/>
      <w:bookmarkStart w:id="31" w:name="_Toc4591"/>
      <w:r>
        <w:rPr>
          <w:rFonts w:hint="eastAsia" w:ascii="黑体" w:hAnsi="黑体" w:eastAsia="黑体"/>
          <w:sz w:val="32"/>
          <w:szCs w:val="32"/>
          <w:highlight w:val="none"/>
        </w:rPr>
        <w:t>（三）国有资产占用情况说明</w:t>
      </w:r>
      <w:bookmarkEnd w:id="30"/>
      <w:bookmarkEnd w:id="31"/>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截止2022年12月31日，固定资产原值1207.81万元，房屋0平方米，价值0万元。车辆1辆，价值9.58万元，其中：副部（省）级及以上领导用车0辆、主要领导干部用车1辆、机要通信用车0辆、应急保障用车0辆、执法执勤用车0辆、特种专业技术用车0辆、离退休干部用车0辆、其他用车0辆；单价100万元（含）以上设备（不含车辆）0台（套）。</w:t>
      </w:r>
    </w:p>
    <w:p>
      <w:pPr>
        <w:ind w:firstLine="640" w:firstLineChars="200"/>
        <w:outlineLvl w:val="1"/>
        <w:rPr>
          <w:rFonts w:ascii="黑体" w:hAnsi="黑体" w:eastAsia="黑体" w:cs="宋体"/>
          <w:bCs/>
          <w:kern w:val="0"/>
          <w:sz w:val="32"/>
          <w:szCs w:val="32"/>
          <w:highlight w:val="none"/>
        </w:rPr>
      </w:pPr>
      <w:bookmarkStart w:id="32" w:name="_Toc11283"/>
      <w:bookmarkStart w:id="33" w:name="_Toc435"/>
      <w:r>
        <w:rPr>
          <w:rFonts w:hint="eastAsia" w:ascii="黑体" w:hAnsi="黑体" w:eastAsia="黑体" w:cs="宋体"/>
          <w:bCs/>
          <w:kern w:val="0"/>
          <w:sz w:val="32"/>
          <w:szCs w:val="32"/>
          <w:highlight w:val="none"/>
        </w:rPr>
        <w:t>十一、预算绩效的情况说明</w:t>
      </w:r>
      <w:bookmarkEnd w:id="32"/>
      <w:bookmarkEnd w:id="33"/>
    </w:p>
    <w:p>
      <w:pPr>
        <w:jc w:val="center"/>
        <w:outlineLvl w:val="0"/>
        <w:rPr>
          <w:rFonts w:hint="eastAsia" w:ascii="仿宋_GB2312" w:hAnsi="仿宋_GB2312" w:eastAsia="仿宋_GB2312"/>
          <w:kern w:val="0"/>
          <w:sz w:val="32"/>
          <w:highlight w:val="none"/>
        </w:rPr>
      </w:pPr>
      <w:bookmarkStart w:id="34" w:name="_Toc3250"/>
      <w:bookmarkStart w:id="35" w:name="_Toc24143"/>
      <w:r>
        <w:rPr>
          <w:rFonts w:hint="eastAsia" w:ascii="仿宋_GB2312" w:hAnsi="仿宋_GB2312" w:eastAsia="仿宋_GB2312"/>
          <w:kern w:val="0"/>
          <w:sz w:val="32"/>
          <w:highlight w:val="none"/>
        </w:rPr>
        <w:t xml:space="preserve">    根据预算绩效管理要求，我单位</w:t>
      </w:r>
      <w:r>
        <w:rPr>
          <w:rFonts w:ascii="仿宋_GB2312" w:hAnsi="仿宋_GB2312" w:eastAsia="仿宋_GB2312"/>
          <w:kern w:val="0"/>
          <w:sz w:val="32"/>
          <w:highlight w:val="none"/>
        </w:rPr>
        <w:t>202</w:t>
      </w:r>
      <w:r>
        <w:rPr>
          <w:rFonts w:hint="eastAsia" w:ascii="仿宋_GB2312" w:hAnsi="仿宋_GB2312" w:eastAsia="仿宋_GB2312"/>
          <w:kern w:val="0"/>
          <w:sz w:val="32"/>
          <w:highlight w:val="none"/>
        </w:rPr>
        <w:t>2年度开展预算绩效评价项目16个，</w:t>
      </w:r>
      <w:r>
        <w:rPr>
          <w:rFonts w:hint="eastAsia" w:ascii="仿宋_GB2312" w:eastAsia="仿宋_GB2312"/>
          <w:sz w:val="32"/>
          <w:szCs w:val="32"/>
          <w:highlight w:val="none"/>
          <w:lang w:val="en-US" w:eastAsia="zh-CN"/>
        </w:rPr>
        <w:t>全年预算数</w:t>
      </w:r>
      <w:r>
        <w:rPr>
          <w:rFonts w:hint="eastAsia" w:ascii="仿宋_GB2312" w:hAnsi="仿宋_GB2312" w:eastAsia="仿宋_GB2312"/>
          <w:kern w:val="0"/>
          <w:sz w:val="32"/>
          <w:highlight w:val="none"/>
          <w:lang w:val="en-US" w:eastAsia="zh-CN"/>
        </w:rPr>
        <w:t>664.45</w:t>
      </w:r>
      <w:r>
        <w:rPr>
          <w:rFonts w:hint="eastAsia" w:ascii="仿宋_GB2312" w:hAnsi="仿宋_GB2312" w:eastAsia="仿宋_GB2312"/>
          <w:kern w:val="0"/>
          <w:sz w:val="32"/>
          <w:highlight w:val="none"/>
        </w:rPr>
        <w:t>万元，</w:t>
      </w:r>
      <w:r>
        <w:rPr>
          <w:rFonts w:hint="eastAsia" w:ascii="仿宋_GB2312" w:eastAsia="仿宋_GB2312"/>
          <w:sz w:val="32"/>
          <w:szCs w:val="32"/>
          <w:highlight w:val="none"/>
          <w:lang w:val="en-US" w:eastAsia="zh-CN"/>
        </w:rPr>
        <w:t>全年执行数</w:t>
      </w:r>
      <w:r>
        <w:rPr>
          <w:rFonts w:hint="eastAsia" w:ascii="仿宋_GB2312" w:hAnsi="仿宋_GB2312" w:eastAsia="仿宋_GB2312"/>
          <w:kern w:val="0"/>
          <w:sz w:val="32"/>
          <w:highlight w:val="none"/>
        </w:rPr>
        <w:t>664.45万元。预算绩效管理取得的成效：</w:t>
      </w:r>
      <w:r>
        <w:rPr>
          <w:rFonts w:hint="eastAsia" w:ascii="仿宋_GB2312" w:eastAsia="仿宋_GB2312" w:cs="仿宋_GB2312"/>
          <w:sz w:val="32"/>
          <w:szCs w:val="32"/>
          <w:highlight w:val="none"/>
        </w:rPr>
        <w:t>一是按照区财政全面实施预算绩效管理的各项部署，区教育局加快预算绩效管理改革步伐，不断强化预算绩效管理，预算绩效管理理念从“重支出轻绩效”向“以绩效为导向”转变，预算绩效管理方式从单纯的事后评价向事前、事中、事后全过程管理转变，二是预算绩效评价规模从重点评价向全覆盖转变，预算绩效评价类型从项目评价向部门整体支出评价、财政政策绩效评价方面转变，初步建立了“事前有目标、事中有监控、事后有评价、结果有应用、应用有反馈”的常态化预算绩效管理体系，教育局预算绩效管理取得了明显成效，财政资金使用效率明显增强。</w:t>
      </w:r>
      <w:r>
        <w:rPr>
          <w:rFonts w:hint="eastAsia" w:ascii="仿宋_GB2312" w:hAnsi="仿宋_GB2312" w:eastAsia="仿宋_GB2312"/>
          <w:kern w:val="0"/>
          <w:sz w:val="32"/>
          <w:highlight w:val="none"/>
        </w:rPr>
        <w:t>发现的问题及原因：</w:t>
      </w:r>
      <w:r>
        <w:rPr>
          <w:rFonts w:hint="eastAsia" w:ascii="仿宋_GB2312" w:eastAsia="仿宋_GB2312" w:cs="仿宋_GB2312"/>
          <w:sz w:val="32"/>
          <w:szCs w:val="32"/>
          <w:highlight w:val="none"/>
        </w:rPr>
        <w:t>一是绩效理念尚未牢固树立。一些部门重投入轻管理、重支出轻绩效的意识仍然存在，预算绩效管理工作进展比较缓慢。二是预算绩效管理机制体系不完善。评价体系不完善，个性指标针对性、科学性、可操作性不强。三是绩效管理的广度和深度不足。评价范围仍然以项目支出为主，对宏观层面的综合绩效管理不足，一些领域财政资金低效无效、闲置沉淀、损失浪费的问题仍然存在。四是绩效激励约束作用不强。绩效评价结果与预算安排和政策调整的挂钩的相关配套政策制度不够完善，预算绩效评价结果应用不够充分，绩效评价约束力、威慑力和影响力还比较弱。</w:t>
      </w:r>
      <w:r>
        <w:rPr>
          <w:rFonts w:hint="eastAsia" w:ascii="仿宋_GB2312" w:eastAsia="仿宋_GB2312" w:cs="仿宋_GB2312"/>
          <w:kern w:val="0"/>
          <w:sz w:val="32"/>
          <w:szCs w:val="32"/>
          <w:highlight w:val="none"/>
        </w:rPr>
        <w:t>五是专业人员队伍力量配备不足。</w:t>
      </w:r>
      <w:r>
        <w:rPr>
          <w:rFonts w:hint="eastAsia" w:ascii="仿宋_GB2312" w:hAnsi="仿宋_GB2312" w:eastAsia="仿宋_GB2312"/>
          <w:kern w:val="0"/>
          <w:sz w:val="32"/>
          <w:highlight w:val="none"/>
        </w:rPr>
        <w:t>下一步改进措施：</w:t>
      </w:r>
      <w:r>
        <w:rPr>
          <w:rFonts w:hint="eastAsia" w:ascii="仿宋_GB2312" w:eastAsia="仿宋_GB2312" w:cs="仿宋_GB2312"/>
          <w:kern w:val="0"/>
          <w:sz w:val="32"/>
          <w:szCs w:val="32"/>
          <w:highlight w:val="none"/>
        </w:rPr>
        <w:t>一是着力加强预算绩效目标管理。要求预算部门结合工作实际，全面设置部门和单位整体绩效目标及项目绩效目标，绩效目标没有通过评审的项目一律不能进入项目库，不得纳入部门预算。二是深入开展预算绩效评价工作。按照“横向到边，纵向到底”的总体要求，采取单位自评、财政重点评价及当年项目支出绩效运行监控的方式，开展绩效评价工作。三是推进预算绩效管理全面实施，力争用</w:t>
      </w:r>
      <w:r>
        <w:rPr>
          <w:rFonts w:ascii="仿宋_GB2312" w:eastAsia="仿宋_GB2312" w:cs="仿宋_GB2312"/>
          <w:kern w:val="0"/>
          <w:sz w:val="32"/>
          <w:szCs w:val="32"/>
          <w:highlight w:val="none"/>
        </w:rPr>
        <w:t>3-5</w:t>
      </w:r>
      <w:r>
        <w:rPr>
          <w:rFonts w:hint="eastAsia" w:ascii="仿宋_GB2312" w:eastAsia="仿宋_GB2312" w:cs="仿宋_GB2312"/>
          <w:kern w:val="0"/>
          <w:sz w:val="32"/>
          <w:szCs w:val="32"/>
          <w:highlight w:val="none"/>
        </w:rPr>
        <w:t>年建成全方位、全过程、全覆盖的预算绩效管理体系，助推教育系统财政资金聚力增效。</w:t>
      </w:r>
      <w:r>
        <w:rPr>
          <w:rFonts w:hint="eastAsia" w:ascii="仿宋_GB2312" w:hAnsi="仿宋_GB2312" w:eastAsia="仿宋_GB2312"/>
          <w:kern w:val="0"/>
          <w:sz w:val="32"/>
          <w:highlight w:val="none"/>
        </w:rPr>
        <w:t>具体项目自评情况附项目支出绩效自评表。</w:t>
      </w:r>
    </w:p>
    <w:tbl>
      <w:tblPr>
        <w:tblStyle w:val="9"/>
        <w:tblW w:w="5000" w:type="pct"/>
        <w:tblInd w:w="0" w:type="dxa"/>
        <w:tblLayout w:type="autofit"/>
        <w:tblCellMar>
          <w:top w:w="0" w:type="dxa"/>
          <w:left w:w="108" w:type="dxa"/>
          <w:bottom w:w="0" w:type="dxa"/>
          <w:right w:w="108" w:type="dxa"/>
        </w:tblCellMar>
      </w:tblPr>
      <w:tblGrid>
        <w:gridCol w:w="432"/>
        <w:gridCol w:w="432"/>
        <w:gridCol w:w="432"/>
        <w:gridCol w:w="479"/>
        <w:gridCol w:w="2138"/>
        <w:gridCol w:w="445"/>
        <w:gridCol w:w="863"/>
        <w:gridCol w:w="647"/>
        <w:gridCol w:w="265"/>
        <w:gridCol w:w="296"/>
        <w:gridCol w:w="301"/>
        <w:gridCol w:w="583"/>
        <w:gridCol w:w="454"/>
        <w:gridCol w:w="755"/>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50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495"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2022年项目前期费（会展片区七道湾学校林地补偿款）</w:t>
            </w:r>
          </w:p>
        </w:tc>
      </w:tr>
      <w:tr>
        <w:tblPrEx>
          <w:tblCellMar>
            <w:top w:w="0" w:type="dxa"/>
            <w:left w:w="108" w:type="dxa"/>
            <w:bottom w:w="0" w:type="dxa"/>
            <w:right w:w="108" w:type="dxa"/>
          </w:tblCellMar>
        </w:tblPrEx>
        <w:trPr>
          <w:trHeight w:val="396" w:hRule="atLeast"/>
        </w:trPr>
        <w:tc>
          <w:tcPr>
            <w:tcW w:w="50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54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41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50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7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3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6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50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1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7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24.65</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24.65</w:t>
            </w:r>
          </w:p>
        </w:tc>
        <w:tc>
          <w:tcPr>
            <w:tcW w:w="3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trHeight w:val="396" w:hRule="atLeast"/>
        </w:trPr>
        <w:tc>
          <w:tcPr>
            <w:tcW w:w="50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1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24.65</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24.65</w:t>
            </w:r>
          </w:p>
        </w:tc>
        <w:tc>
          <w:tcPr>
            <w:tcW w:w="3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6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0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1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3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6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0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1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3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6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797"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95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97"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根据市委、市政府、区委、区政府统一规划，我局在会展片区新建一所完全小学，该项目已被列为市、区两级政府重点项目计划。占地面积85.5亩，拟建36个教学班的完全中学，总建筑面积33740.4平方米；其中拟建教学楼17340.4平方米；体艺楼建筑面积5000平方米；学生食堂建筑面积10000平方米，地下一层（含人防），地上三层；卫生间建筑面积600平方米；校园大门及值班室建筑面积200平方米。在办理前期林地手续时，该用地范围内有三条农田护林带，经自治区林业厅审批，已批准改变用地属性，但需缴纳林地补偿款。我局已向自治区林草厅缴纳了4.112万元的森林植被恢复费，现还需向水区园林局教案林地补偿费、安置补助费、林木补偿费共计24.6466万元。</w:t>
            </w:r>
          </w:p>
        </w:tc>
        <w:tc>
          <w:tcPr>
            <w:tcW w:w="195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我局在会展片区新建一所完全小学，该项目已被列为市、区两级政府重点项目计划。占地面积85.5亩，拟建36个教学班的完全中学，总建筑面积33740.4平方米；在办理前期林地手续时，该用地范围内有三条农田护林带，经自治区林业厅审批，已批准改变用地属性，已缴纳林地补偿款24.65万元。</w:t>
            </w:r>
          </w:p>
        </w:tc>
      </w:tr>
      <w:tr>
        <w:tblPrEx>
          <w:tblCellMar>
            <w:top w:w="0" w:type="dxa"/>
            <w:left w:w="108" w:type="dxa"/>
            <w:bottom w:w="0" w:type="dxa"/>
            <w:right w:w="108" w:type="dxa"/>
          </w:tblCellMar>
        </w:tblPrEx>
        <w:trPr>
          <w:trHeight w:val="396"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52"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6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7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25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502"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77"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5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7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7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45"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8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39"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26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782"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32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1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72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78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1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72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新建学校数量</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移植树木棵树</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&gt;=4900棵</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4900棵</w:t>
            </w: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新建工程验收合格率（%）</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建设周期</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&lt;=3年</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3年</w:t>
            </w: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树木平均移植费（每棵）</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&lt;=50元</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50元</w:t>
            </w: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受益学生人数</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&gt;=1980人</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1980人</w:t>
            </w: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校舍使用年限</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&gt;=50年</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50年</w:t>
            </w: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782"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享受教育资源学生家长满意度</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95%</w:t>
            </w: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2"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1259"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252"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54"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174"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71"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345"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26"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3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100.00分</w:t>
            </w:r>
          </w:p>
        </w:tc>
        <w:tc>
          <w:tcPr>
            <w:tcW w:w="7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jc w:val="center"/>
        <w:outlineLvl w:val="0"/>
        <w:rPr>
          <w:rFonts w:hint="eastAsia" w:ascii="黑体" w:hAnsi="黑体" w:eastAsia="黑体"/>
          <w:sz w:val="32"/>
          <w:szCs w:val="32"/>
          <w:highlight w:val="none"/>
        </w:rPr>
      </w:pPr>
    </w:p>
    <w:tbl>
      <w:tblPr>
        <w:tblStyle w:val="9"/>
        <w:tblW w:w="5000" w:type="pct"/>
        <w:tblInd w:w="0" w:type="dxa"/>
        <w:tblLayout w:type="autofit"/>
        <w:tblCellMar>
          <w:top w:w="0" w:type="dxa"/>
          <w:left w:w="108" w:type="dxa"/>
          <w:bottom w:w="0" w:type="dxa"/>
          <w:right w:w="108" w:type="dxa"/>
        </w:tblCellMar>
      </w:tblPr>
      <w:tblGrid>
        <w:gridCol w:w="422"/>
        <w:gridCol w:w="422"/>
        <w:gridCol w:w="422"/>
        <w:gridCol w:w="1226"/>
        <w:gridCol w:w="1149"/>
        <w:gridCol w:w="578"/>
        <w:gridCol w:w="936"/>
        <w:gridCol w:w="730"/>
        <w:gridCol w:w="257"/>
        <w:gridCol w:w="298"/>
        <w:gridCol w:w="386"/>
        <w:gridCol w:w="477"/>
        <w:gridCol w:w="489"/>
        <w:gridCol w:w="730"/>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67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324"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2022年项目前期费（振安街南学校）</w:t>
            </w:r>
          </w:p>
        </w:tc>
      </w:tr>
      <w:tr>
        <w:tblPrEx>
          <w:tblCellMar>
            <w:top w:w="0" w:type="dxa"/>
            <w:left w:w="108" w:type="dxa"/>
            <w:bottom w:w="0" w:type="dxa"/>
            <w:right w:w="108" w:type="dxa"/>
          </w:tblCellMar>
        </w:tblPrEx>
        <w:trPr>
          <w:trHeight w:val="396" w:hRule="atLeast"/>
        </w:trPr>
        <w:tc>
          <w:tcPr>
            <w:tcW w:w="67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313"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423"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67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9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7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5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6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7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48.48</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48.48</w:t>
            </w:r>
          </w:p>
        </w:tc>
        <w:tc>
          <w:tcPr>
            <w:tcW w:w="5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trHeight w:val="396" w:hRule="atLeast"/>
        </w:trPr>
        <w:tc>
          <w:tcPr>
            <w:tcW w:w="6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48.48</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48.48</w:t>
            </w:r>
          </w:p>
        </w:tc>
        <w:tc>
          <w:tcPr>
            <w:tcW w:w="5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7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65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20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5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振安街南校区总投资17373万元，建设规模：建设总建筑面积28956平方米：教学楼12096平方米；综合楼5000平方米；体艺楼5000平方米；食堂1200平方米；卫生间600平方米，室外管网配套设施，建筑周边硬化铺装及绿化景观工程等附属设施项目。本次项目用于支付项目前期费用：地形图测绘费3万元、规划选址5万元、建设用地规划许可证费3万元、用地手续5万元、施工图审图费5万元、地质勘察费20万元、地质灾害评估费20万元、树木移植费30万元。</w:t>
            </w:r>
          </w:p>
        </w:tc>
        <w:tc>
          <w:tcPr>
            <w:tcW w:w="20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此项目用于建设振安街南学校及配套用房，校舍建设面积为12096平方米，工程验收全部合格，建设用地规划费成本严格控制不超标，使周边1800名适龄儿童享受到了新建幼儿园带来的优质教学资源，受教育的学生和家长都很满意。项目完成情况良好。</w:t>
            </w:r>
          </w:p>
        </w:tc>
      </w:tr>
      <w:tr>
        <w:tblPrEx>
          <w:tblCellMar>
            <w:top w:w="0" w:type="dxa"/>
            <w:left w:w="108" w:type="dxa"/>
            <w:bottom w:w="0" w:type="dxa"/>
            <w:right w:w="108" w:type="dxa"/>
          </w:tblCellMar>
        </w:tblPrEx>
        <w:trPr>
          <w:trHeight w:val="396"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8"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5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61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57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8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93"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0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4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05"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46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45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1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6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46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5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1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3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新建学校数量</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教学楼面积</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&gt;=12096平方米</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12096平方米</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新建工程验收合格率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建设周期</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&lt;=3年</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3年</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树木移植费</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&lt;=30万元</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0万元</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资金未到位，未能支付树木移植费</w:t>
            </w: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地勘费</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&lt;=40万元</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0万元</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资金未到位，未能支付地勘费</w:t>
            </w: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建设用地规划费</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&lt;=18万元</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8.48万元</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2.83</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资金未能完全支付。</w:t>
            </w: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受益学生人数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&gt;=1800人</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1800人</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校舍使用年限</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&gt;=50年</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50年</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享受教育资源学生家长满意度</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95%</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4"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574"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281"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08"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46"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59"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2"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69"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45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5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84.83分</w:t>
            </w:r>
          </w:p>
        </w:tc>
        <w:tc>
          <w:tcPr>
            <w:tcW w:w="6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jc w:val="center"/>
        <w:outlineLvl w:val="0"/>
        <w:rPr>
          <w:rFonts w:hint="eastAsia" w:ascii="黑体" w:hAnsi="黑体" w:eastAsia="黑体"/>
          <w:sz w:val="32"/>
          <w:szCs w:val="32"/>
          <w:highlight w:val="none"/>
        </w:rPr>
      </w:pPr>
    </w:p>
    <w:tbl>
      <w:tblPr>
        <w:tblStyle w:val="9"/>
        <w:tblW w:w="5000" w:type="pct"/>
        <w:tblInd w:w="0" w:type="dxa"/>
        <w:tblLayout w:type="autofit"/>
        <w:tblCellMar>
          <w:top w:w="0" w:type="dxa"/>
          <w:left w:w="108" w:type="dxa"/>
          <w:bottom w:w="0" w:type="dxa"/>
          <w:right w:w="108" w:type="dxa"/>
        </w:tblCellMar>
      </w:tblPr>
      <w:tblGrid>
        <w:gridCol w:w="400"/>
        <w:gridCol w:w="400"/>
        <w:gridCol w:w="400"/>
        <w:gridCol w:w="1180"/>
        <w:gridCol w:w="1445"/>
        <w:gridCol w:w="640"/>
        <w:gridCol w:w="861"/>
        <w:gridCol w:w="677"/>
        <w:gridCol w:w="251"/>
        <w:gridCol w:w="291"/>
        <w:gridCol w:w="388"/>
        <w:gridCol w:w="470"/>
        <w:gridCol w:w="441"/>
        <w:gridCol w:w="678"/>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447"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部分教育工作经费</w:t>
            </w:r>
          </w:p>
        </w:tc>
      </w:tr>
      <w:tr>
        <w:tblPrEx>
          <w:tblCellMar>
            <w:top w:w="0" w:type="dxa"/>
            <w:left w:w="108" w:type="dxa"/>
            <w:bottom w:w="0" w:type="dxa"/>
            <w:right w:w="108" w:type="dxa"/>
          </w:tblCellMar>
        </w:tblPrEx>
        <w:trPr>
          <w:trHeight w:val="396" w:hRule="atLeast"/>
        </w:trPr>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59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30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55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9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8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83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8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83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27.87</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27.87</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8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3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27.87</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27.87</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8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3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8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3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87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853"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87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 xml:space="preserve">1.完成学校校舍维修改造工程1个，学校校舍维修改造质量完全达标。资金足额及时准确支付。 </w:t>
            </w:r>
          </w:p>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2.有效改善办学条件，保障全区义务教育阶段学校正常运转。学生和家长都要很满意。</w:t>
            </w:r>
          </w:p>
        </w:tc>
        <w:tc>
          <w:tcPr>
            <w:tcW w:w="1853"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严格把控项目资金使用，使资金落实到位，下拨了121小学教育工作经费。学校购置了24个班级的班班通，质量均合格，学生都很满意。有效改善了办学条件，保障了义务教育阶段学校正常运转。</w:t>
            </w:r>
          </w:p>
        </w:tc>
      </w:tr>
      <w:tr>
        <w:tblPrEx>
          <w:tblCellMar>
            <w:top w:w="0" w:type="dxa"/>
            <w:left w:w="108" w:type="dxa"/>
            <w:bottom w:w="0" w:type="dxa"/>
            <w:right w:w="108" w:type="dxa"/>
          </w:tblCellMar>
        </w:tblPrEx>
        <w:trPr>
          <w:trHeight w:val="39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7"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9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655"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80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4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93"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6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0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2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3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2"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80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37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8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1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0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1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受益学校数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&gt;=1所</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享受校园广播电台班班通的班级个数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&lt;=24个</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24个</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校园广播班班通质量达标率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资金支付及时率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95%</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校园广播电台班班通建设成本</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&lt;=11608元/个</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11608元/个</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改善学校办学条件</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有效改善</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完全达到预期效果</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学生满意度</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55"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808"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342"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68"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02"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7"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6"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52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100.00分</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jc w:val="center"/>
        <w:outlineLvl w:val="0"/>
        <w:rPr>
          <w:rFonts w:hint="eastAsia" w:ascii="黑体" w:hAnsi="黑体" w:eastAsia="黑体"/>
          <w:sz w:val="32"/>
          <w:szCs w:val="32"/>
          <w:highlight w:val="none"/>
        </w:rPr>
      </w:pPr>
    </w:p>
    <w:tbl>
      <w:tblPr>
        <w:tblStyle w:val="9"/>
        <w:tblW w:w="5000" w:type="pct"/>
        <w:tblInd w:w="0" w:type="dxa"/>
        <w:tblLayout w:type="autofit"/>
        <w:tblCellMar>
          <w:top w:w="0" w:type="dxa"/>
          <w:left w:w="108" w:type="dxa"/>
          <w:bottom w:w="0" w:type="dxa"/>
          <w:right w:w="108" w:type="dxa"/>
        </w:tblCellMar>
      </w:tblPr>
      <w:tblGrid>
        <w:gridCol w:w="342"/>
        <w:gridCol w:w="334"/>
        <w:gridCol w:w="8"/>
        <w:gridCol w:w="342"/>
        <w:gridCol w:w="265"/>
        <w:gridCol w:w="565"/>
        <w:gridCol w:w="701"/>
        <w:gridCol w:w="173"/>
        <w:gridCol w:w="487"/>
        <w:gridCol w:w="447"/>
        <w:gridCol w:w="594"/>
        <w:gridCol w:w="353"/>
        <w:gridCol w:w="116"/>
        <w:gridCol w:w="390"/>
        <w:gridCol w:w="348"/>
        <w:gridCol w:w="85"/>
        <w:gridCol w:w="460"/>
        <w:gridCol w:w="31"/>
        <w:gridCol w:w="394"/>
        <w:gridCol w:w="66"/>
        <w:gridCol w:w="250"/>
        <w:gridCol w:w="200"/>
        <w:gridCol w:w="57"/>
        <w:gridCol w:w="221"/>
        <w:gridCol w:w="413"/>
        <w:gridCol w:w="42"/>
        <w:gridCol w:w="307"/>
        <w:gridCol w:w="531"/>
      </w:tblGrid>
      <w:tr>
        <w:tblPrEx>
          <w:tblCellMar>
            <w:top w:w="0" w:type="dxa"/>
            <w:left w:w="108" w:type="dxa"/>
            <w:bottom w:w="0" w:type="dxa"/>
            <w:right w:w="108" w:type="dxa"/>
          </w:tblCellMar>
        </w:tblPrEx>
        <w:trPr>
          <w:trHeight w:val="408" w:hRule="atLeast"/>
        </w:trPr>
        <w:tc>
          <w:tcPr>
            <w:tcW w:w="5000" w:type="pct"/>
            <w:gridSpan w:val="28"/>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28"/>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37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627" w:type="pct"/>
            <w:gridSpan w:val="2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教育系统培训经费</w:t>
            </w:r>
          </w:p>
        </w:tc>
      </w:tr>
      <w:tr>
        <w:tblPrEx>
          <w:tblCellMar>
            <w:top w:w="0" w:type="dxa"/>
            <w:left w:w="108" w:type="dxa"/>
            <w:bottom w:w="0" w:type="dxa"/>
            <w:right w:w="108" w:type="dxa"/>
          </w:tblCellMar>
        </w:tblPrEx>
        <w:trPr>
          <w:trHeight w:val="396" w:hRule="atLeast"/>
        </w:trPr>
        <w:tc>
          <w:tcPr>
            <w:tcW w:w="37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3249" w:type="pct"/>
            <w:gridSpan w:val="1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39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979"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37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26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145"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84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39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21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3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37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26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1145"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120.00</w:t>
            </w:r>
          </w:p>
        </w:tc>
        <w:tc>
          <w:tcPr>
            <w:tcW w:w="84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57.99</w:t>
            </w:r>
          </w:p>
        </w:tc>
        <w:tc>
          <w:tcPr>
            <w:tcW w:w="39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57.99</w:t>
            </w:r>
          </w:p>
        </w:tc>
        <w:tc>
          <w:tcPr>
            <w:tcW w:w="21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3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trHeight w:val="396" w:hRule="atLeast"/>
        </w:trPr>
        <w:tc>
          <w:tcPr>
            <w:tcW w:w="37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26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1145"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120</w:t>
            </w:r>
          </w:p>
        </w:tc>
        <w:tc>
          <w:tcPr>
            <w:tcW w:w="84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57.99</w:t>
            </w:r>
          </w:p>
        </w:tc>
        <w:tc>
          <w:tcPr>
            <w:tcW w:w="39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57.99</w:t>
            </w:r>
          </w:p>
        </w:tc>
        <w:tc>
          <w:tcPr>
            <w:tcW w:w="21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7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26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1145"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4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39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21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7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26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1145"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4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39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21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3"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3435" w:type="pct"/>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378" w:type="pct"/>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35" w:type="pct"/>
            <w:gridSpan w:val="1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1.按照政策要求教育系统每年需开展各类培训，按培训实际申请核拨该经费，资金按计划到位，按规定支出。</w:t>
            </w:r>
          </w:p>
          <w:p>
            <w:pPr>
              <w:widowControl/>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2.2.严格把控项目资金使用，使得资金落实到位。足额及时拨付资金,及时上报资金的使用情况，保障项目资金120万元按计划执行。</w:t>
            </w:r>
          </w:p>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3.提高教师队伍的整体素质,保障学校各项教学工作顺利开展。让辖区内人民群众享受优质的教育服务，为社会事业培养合格的接班人。</w:t>
            </w:r>
          </w:p>
        </w:tc>
        <w:tc>
          <w:tcPr>
            <w:tcW w:w="1378" w:type="pct"/>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按照政策要求教育系统开展各类培训参加人数为211人，教师全部出勤，按期全部完成培训，参加培训的教师都很满意。培训经费合理控制在标准范围内。严格把控了项目资金使用，足额及时支付资金，资金按计划到位，按规定支出。提升了教师队伍的整体素质,保障了学校各项教学工作顺利开展。</w:t>
            </w:r>
          </w:p>
        </w:tc>
      </w:tr>
      <w:tr>
        <w:tblPrEx>
          <w:tblCellMar>
            <w:top w:w="0" w:type="dxa"/>
            <w:left w:w="108" w:type="dxa"/>
            <w:bottom w:w="0" w:type="dxa"/>
            <w:right w:w="108" w:type="dxa"/>
          </w:tblCellMar>
        </w:tblPrEx>
        <w:trPr>
          <w:trHeight w:val="396" w:hRule="atLeast"/>
        </w:trPr>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86" w:type="pct"/>
            <w:gridSpan w:val="2"/>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8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077" w:type="pct"/>
            <w:gridSpan w:val="4"/>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145" w:type="pct"/>
            <w:gridSpan w:val="4"/>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507" w:type="pct"/>
            <w:gridSpan w:val="3"/>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33" w:type="pct"/>
            <w:gridSpan w:val="2"/>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284" w:type="pct"/>
            <w:gridSpan w:val="3"/>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1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21" w:type="pct"/>
            <w:gridSpan w:val="2"/>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9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4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92" w:type="pct"/>
            <w:gridSpan w:val="2"/>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33"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8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2729" w:type="pct"/>
            <w:gridSpan w:val="11"/>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33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28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23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33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52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29" w:type="pct"/>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8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3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2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18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参加国家培训人数</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&gt;=20人</w:t>
            </w: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0人</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2022年未参加国家级培训</w:t>
            </w: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参加自治区培训人数</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&gt;=200人</w:t>
            </w: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211人</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培训出勤率</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&gt;=90%</w:t>
            </w: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培训按期完成率</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参加国家培训人均支出标准</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&lt;=1万元</w:t>
            </w: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0万元</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未安排国家级培训。</w:t>
            </w: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参加自治区培训人均支出标准</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&lt;=0.5万元</w:t>
            </w: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0.27万元</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减少线下培训，节约了培训成本。</w:t>
            </w: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提高教师队伍的整体素质,保障学校各项教学工作顺利开展。</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有效提高</w:t>
            </w: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完全达到预期效果</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保障教师队伍与时俱进，学习最新教育教学思想</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持续保障</w:t>
            </w: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完全达到预期效果</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2729"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培训人员满意度</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95%</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8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077" w:type="pct"/>
            <w:gridSpan w:val="4"/>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1145" w:type="pct"/>
            <w:gridSpan w:val="4"/>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507" w:type="pct"/>
            <w:gridSpan w:val="3"/>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14"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121" w:type="pct"/>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92"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41"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9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906" w:type="pct"/>
            <w:gridSpan w:val="20"/>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23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84.00分</w:t>
            </w:r>
          </w:p>
        </w:tc>
        <w:tc>
          <w:tcPr>
            <w:tcW w:w="525"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408" w:hRule="atLeast"/>
        </w:trPr>
        <w:tc>
          <w:tcPr>
            <w:tcW w:w="4498" w:type="pct"/>
            <w:gridSpan w:val="26"/>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gridAfter w:val="2"/>
          <w:wAfter w:w="502" w:type="pct"/>
          <w:trHeight w:val="288" w:hRule="atLeast"/>
        </w:trPr>
        <w:tc>
          <w:tcPr>
            <w:tcW w:w="4498" w:type="pct"/>
            <w:gridSpan w:val="26"/>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gridAfter w:val="2"/>
          <w:wAfter w:w="502" w:type="pct"/>
          <w:trHeight w:val="396" w:hRule="atLeast"/>
        </w:trPr>
        <w:tc>
          <w:tcPr>
            <w:tcW w:w="72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3768" w:type="pct"/>
            <w:gridSpan w:val="21"/>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南湖幼儿园房租</w:t>
            </w:r>
          </w:p>
        </w:tc>
      </w:tr>
      <w:tr>
        <w:tblPrEx>
          <w:tblCellMar>
            <w:top w:w="0" w:type="dxa"/>
            <w:left w:w="108" w:type="dxa"/>
            <w:bottom w:w="0" w:type="dxa"/>
            <w:right w:w="108" w:type="dxa"/>
          </w:tblCellMar>
        </w:tblPrEx>
        <w:trPr>
          <w:gridAfter w:val="2"/>
          <w:wAfter w:w="502" w:type="pct"/>
          <w:trHeight w:val="396" w:hRule="atLeast"/>
        </w:trPr>
        <w:tc>
          <w:tcPr>
            <w:tcW w:w="72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183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419"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gridAfter w:val="2"/>
          <w:wAfter w:w="502" w:type="pct"/>
          <w:trHeight w:val="396" w:hRule="atLeast"/>
        </w:trPr>
        <w:tc>
          <w:tcPr>
            <w:tcW w:w="729"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0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6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56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7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83"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gridAfter w:val="2"/>
          <w:wAfter w:w="502" w:type="pct"/>
          <w:trHeight w:val="396" w:hRule="atLeast"/>
        </w:trPr>
        <w:tc>
          <w:tcPr>
            <w:tcW w:w="729"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40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6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50.00</w:t>
            </w:r>
          </w:p>
        </w:tc>
        <w:tc>
          <w:tcPr>
            <w:tcW w:w="5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50.00</w:t>
            </w:r>
          </w:p>
        </w:tc>
        <w:tc>
          <w:tcPr>
            <w:tcW w:w="56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7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383"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gridAfter w:val="2"/>
          <w:wAfter w:w="502" w:type="pct"/>
          <w:trHeight w:val="396" w:hRule="atLeast"/>
        </w:trPr>
        <w:tc>
          <w:tcPr>
            <w:tcW w:w="729"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40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w:t>
            </w:r>
          </w:p>
        </w:tc>
        <w:tc>
          <w:tcPr>
            <w:tcW w:w="5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w:t>
            </w:r>
          </w:p>
        </w:tc>
        <w:tc>
          <w:tcPr>
            <w:tcW w:w="56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7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3"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gridAfter w:val="2"/>
          <w:wAfter w:w="502" w:type="pct"/>
          <w:trHeight w:val="396" w:hRule="atLeast"/>
        </w:trPr>
        <w:tc>
          <w:tcPr>
            <w:tcW w:w="729"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40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7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3"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gridAfter w:val="2"/>
          <w:wAfter w:w="502" w:type="pct"/>
          <w:trHeight w:val="396" w:hRule="atLeast"/>
        </w:trPr>
        <w:tc>
          <w:tcPr>
            <w:tcW w:w="729"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0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40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2"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7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3"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199"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930" w:type="pct"/>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199"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幼儿教育是群众最关心最直接最现实的利益问题，为进一步解决我区公办幼儿园不足问题，切实体现为民办实事这一主题。经市委、市政府、区委、区政府统一安排部署，我局将南湖幼儿园进行了维修改造，完成后将以公办幼儿园形式对外招生。改造前，经与原办园方协商并由第三方对原幼儿园资产进行了评估，最终确定年租金为每年150万元，目前该园已改造完成并于3月21日开学。本次支付4个月房租，50万元。</w:t>
            </w:r>
          </w:p>
        </w:tc>
        <w:tc>
          <w:tcPr>
            <w:tcW w:w="1930" w:type="pct"/>
            <w:gridSpan w:val="15"/>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我局将南湖幼儿园进行了维修改造，完成后将以公办幼儿园形式对外招生。改造前，经与原办园方协商并由第三方对原幼儿园资产进行了评估，最终确定年租金为每年150万元，目前该园已改造完成并于3月21日开学。本次支付4个月房租，50万元。</w:t>
            </w:r>
          </w:p>
        </w:tc>
      </w:tr>
      <w:tr>
        <w:tblPrEx>
          <w:tblCellMar>
            <w:top w:w="0" w:type="dxa"/>
            <w:left w:w="108" w:type="dxa"/>
            <w:bottom w:w="0" w:type="dxa"/>
            <w:right w:w="108" w:type="dxa"/>
          </w:tblCellMar>
        </w:tblPrEx>
        <w:trPr>
          <w:gridAfter w:val="2"/>
          <w:wAfter w:w="502" w:type="pct"/>
          <w:trHeight w:val="396" w:hRule="atLeast"/>
        </w:trPr>
        <w:tc>
          <w:tcPr>
            <w:tcW w:w="36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61" w:type="pct"/>
            <w:gridSpan w:val="3"/>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6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35"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05" w:type="pct"/>
            <w:gridSpan w:val="2"/>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2"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284" w:type="pct"/>
            <w:gridSpan w:val="2"/>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2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60" w:type="pct"/>
            <w:gridSpan w:val="2"/>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02" w:type="pct"/>
            <w:gridSpan w:val="2"/>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2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48" w:type="pct"/>
            <w:gridSpan w:val="3"/>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3" w:type="pct"/>
            <w:gridSpan w:val="4"/>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6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36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090"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3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28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48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2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31" w:type="pct"/>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90"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8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8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2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31" w:type="pct"/>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36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租赁校舍面积</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&gt;=7000平方米</w:t>
            </w: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7000平方米</w:t>
            </w: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租金支付月数</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=4个月</w:t>
            </w: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4个月</w:t>
            </w: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资金支付截止时间</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2022年5月</w:t>
            </w: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2022年3月</w:t>
            </w: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每月租金成本</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=12.50万元</w:t>
            </w: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12.5万元</w:t>
            </w: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受益学生（幼儿）数量</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&gt;=300人</w:t>
            </w: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363人</w:t>
            </w: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维持普惠性幼儿园覆盖率</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&gt;=80%</w:t>
            </w: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80%</w:t>
            </w: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090"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受益学生家长满意度</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95%</w:t>
            </w: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36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6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5"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405" w:type="pct"/>
            <w:gridSpan w:val="2"/>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250"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7"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60" w:type="pct"/>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02" w:type="pct"/>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26"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48"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3"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gridAfter w:val="2"/>
          <w:wAfter w:w="502" w:type="pct"/>
          <w:trHeight w:val="396" w:hRule="atLeast"/>
        </w:trPr>
        <w:tc>
          <w:tcPr>
            <w:tcW w:w="2852" w:type="pct"/>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48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527"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100.00分</w:t>
            </w:r>
          </w:p>
        </w:tc>
        <w:tc>
          <w:tcPr>
            <w:tcW w:w="63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jc w:val="center"/>
        <w:outlineLvl w:val="0"/>
        <w:rPr>
          <w:rFonts w:hint="eastAsia" w:ascii="黑体" w:hAnsi="黑体" w:eastAsia="黑体"/>
          <w:sz w:val="32"/>
          <w:szCs w:val="32"/>
          <w:highlight w:val="none"/>
        </w:rPr>
      </w:pPr>
    </w:p>
    <w:tbl>
      <w:tblPr>
        <w:tblStyle w:val="9"/>
        <w:tblW w:w="5000" w:type="pct"/>
        <w:tblInd w:w="0" w:type="dxa"/>
        <w:tblLayout w:type="autofit"/>
        <w:tblCellMar>
          <w:top w:w="0" w:type="dxa"/>
          <w:left w:w="108" w:type="dxa"/>
          <w:bottom w:w="0" w:type="dxa"/>
          <w:right w:w="108" w:type="dxa"/>
        </w:tblCellMar>
      </w:tblPr>
      <w:tblGrid>
        <w:gridCol w:w="433"/>
        <w:gridCol w:w="433"/>
        <w:gridCol w:w="433"/>
        <w:gridCol w:w="1224"/>
        <w:gridCol w:w="1142"/>
        <w:gridCol w:w="712"/>
        <w:gridCol w:w="975"/>
        <w:gridCol w:w="758"/>
        <w:gridCol w:w="259"/>
        <w:gridCol w:w="303"/>
        <w:gridCol w:w="421"/>
        <w:gridCol w:w="386"/>
        <w:gridCol w:w="393"/>
        <w:gridCol w:w="650"/>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6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311"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乌财科教[2021]106号关于提前下达2022年义务教育薄弱环节改善与能力提升补助资金预算的通知转移支付</w:t>
            </w:r>
          </w:p>
        </w:tc>
      </w:tr>
      <w:tr>
        <w:tblPrEx>
          <w:tblCellMar>
            <w:top w:w="0" w:type="dxa"/>
            <w:left w:w="108" w:type="dxa"/>
            <w:bottom w:w="0" w:type="dxa"/>
            <w:right w:w="108" w:type="dxa"/>
          </w:tblCellMar>
        </w:tblPrEx>
        <w:trPr>
          <w:trHeight w:val="396" w:hRule="atLeast"/>
        </w:trPr>
        <w:tc>
          <w:tcPr>
            <w:tcW w:w="6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32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398"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68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9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8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8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0.10</w:t>
            </w:r>
          </w:p>
        </w:tc>
        <w:tc>
          <w:tcPr>
            <w:tcW w:w="5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0.00分</w:t>
            </w:r>
          </w:p>
        </w:tc>
      </w:tr>
      <w:tr>
        <w:tblPrEx>
          <w:tblCellMar>
            <w:top w:w="0" w:type="dxa"/>
            <w:left w:w="108" w:type="dxa"/>
            <w:bottom w:w="0" w:type="dxa"/>
            <w:right w:w="108" w:type="dxa"/>
          </w:tblCellMar>
        </w:tblPrEx>
        <w:trPr>
          <w:trHeight w:val="396"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w:t>
            </w:r>
          </w:p>
        </w:tc>
        <w:tc>
          <w:tcPr>
            <w:tcW w:w="5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4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3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664"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992"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64"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振安街南校区总投资17373万元，建设规模：建设总建筑面积28956平方米：教学楼12096平方米；综合楼5000平方米；体艺楼5000平方米；食堂1200平方米；卫生间600平方米，室外管网配套设施，建筑周边硬化铺装及绿化景观工程等附属设施项目</w:t>
            </w:r>
          </w:p>
        </w:tc>
        <w:tc>
          <w:tcPr>
            <w:tcW w:w="1992"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此项目基本完成，完全达到预期效果。建设校舍1个，建设室外运动场1个，建设周期2年，工程验收都合格，运动场和校舍建设成本都在计划成本内，没有超出标准，保障了校舍安全，学生权益收到了保障，学生和学生家长都非常满意。</w:t>
            </w:r>
          </w:p>
        </w:tc>
      </w:tr>
      <w:tr>
        <w:tblPrEx>
          <w:tblCellMar>
            <w:top w:w="0" w:type="dxa"/>
            <w:left w:w="108" w:type="dxa"/>
            <w:bottom w:w="0" w:type="dxa"/>
            <w:right w:w="108" w:type="dxa"/>
          </w:tblCellMar>
        </w:tblPrEx>
        <w:trPr>
          <w:trHeight w:val="396" w:hRule="atLeast"/>
        </w:trPr>
        <w:tc>
          <w:tcPr>
            <w:tcW w:w="3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5"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5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58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54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3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93"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1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8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3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4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7"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46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46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1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2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46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1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2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校舍建设数量</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=4个</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1个</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校舍建设为振安街南学校项目资金，应为1个，目标设置有误。</w:t>
            </w: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室外运动场地建设项目</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=1个</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1个</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校舍建设平米数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&gt;=2880平方米</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2880平方米</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室外运动场地建设项目平米数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&gt;=21000平方米</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21000平方米</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新建工程验收合格率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项目建设周期</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&gt;=2年</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2年</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每平方米运动场建设成本</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&lt;=403.8元</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403.8元</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每平方米校舍建设成本</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=4000元</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4000元</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受益学生人数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&gt;=1800人</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1800人</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保障校舍安全</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持续保障</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完全达到预期效果</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享受教育资源学生家长满意度</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95%</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86"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546"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337"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13"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1"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1"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37"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89"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5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84.00分</w:t>
            </w:r>
          </w:p>
        </w:tc>
        <w:tc>
          <w:tcPr>
            <w:tcW w:w="6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ascii="宋体" w:hAnsi="宋体"/>
          <w:sz w:val="24"/>
          <w:highlight w:val="none"/>
        </w:rPr>
      </w:pPr>
      <w:r>
        <w:rPr>
          <w:rFonts w:hint="eastAsia" w:ascii="黑体" w:hAnsi="黑体" w:eastAsia="黑体"/>
          <w:sz w:val="32"/>
          <w:szCs w:val="32"/>
          <w:highlight w:val="none"/>
        </w:rPr>
        <w:br w:type="page"/>
      </w:r>
    </w:p>
    <w:tbl>
      <w:tblPr>
        <w:tblStyle w:val="9"/>
        <w:tblW w:w="5000" w:type="pct"/>
        <w:tblInd w:w="0" w:type="dxa"/>
        <w:tblLayout w:type="autofit"/>
        <w:tblCellMar>
          <w:top w:w="0" w:type="dxa"/>
          <w:left w:w="108" w:type="dxa"/>
          <w:bottom w:w="0" w:type="dxa"/>
          <w:right w:w="108" w:type="dxa"/>
        </w:tblCellMar>
      </w:tblPr>
      <w:tblGrid>
        <w:gridCol w:w="400"/>
        <w:gridCol w:w="400"/>
        <w:gridCol w:w="400"/>
        <w:gridCol w:w="1293"/>
        <w:gridCol w:w="1208"/>
        <w:gridCol w:w="764"/>
        <w:gridCol w:w="861"/>
        <w:gridCol w:w="677"/>
        <w:gridCol w:w="251"/>
        <w:gridCol w:w="291"/>
        <w:gridCol w:w="388"/>
        <w:gridCol w:w="470"/>
        <w:gridCol w:w="441"/>
        <w:gridCol w:w="678"/>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447"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乌财科教[2021]120号关于提前下达2022年教育直达资金的通知（公用经费）（南湖实验）</w:t>
            </w:r>
          </w:p>
        </w:tc>
      </w:tr>
      <w:tr>
        <w:tblPrEx>
          <w:tblCellMar>
            <w:top w:w="0" w:type="dxa"/>
            <w:left w:w="108" w:type="dxa"/>
            <w:bottom w:w="0" w:type="dxa"/>
            <w:right w:w="108" w:type="dxa"/>
          </w:tblCellMar>
        </w:tblPrEx>
        <w:trPr>
          <w:trHeight w:val="396" w:hRule="atLeast"/>
        </w:trPr>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59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30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55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28.95</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28.95</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28.95</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28.95</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87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853"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87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保障民办学校乌鲁木齐市南湖实验学校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等。</w:t>
            </w:r>
          </w:p>
        </w:tc>
        <w:tc>
          <w:tcPr>
            <w:tcW w:w="1853"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将该资金下拨给南湖实验学校，保障民办学校义务教育阶段学校正常运转、完成教育教学活动和其他日常工作任务等方面的支出。用于购置办公用品、办公家俱、零星维修、基建项目、展板、宣传、学生活动等。</w:t>
            </w:r>
          </w:p>
        </w:tc>
      </w:tr>
      <w:tr>
        <w:trPr>
          <w:trHeight w:val="39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7"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9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72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67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1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93"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6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0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2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3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2"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80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37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8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1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0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1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维修校舍次数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&gt;=10次</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10次</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购置各类教育教学用品</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&gt;=6类</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6类</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学校校舍日常维修质量达标率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购置用品质量合格率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每次零星维修成本</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&lt;=15000元/次</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15000元/次</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购置各类教育教学用品的成本</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&lt;=20000元/类</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20000元/类</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提高民办学校教学水平改善办学条件</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有效提高</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完全达到预期效果</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保障民办学校正常运转</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持续保障</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完全达到预期效果</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师生满意度（%）</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95%</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720"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671"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414"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68"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02"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7"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6"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52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100.00分</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tbl>
      <w:tblPr>
        <w:tblStyle w:val="9"/>
        <w:tblW w:w="5000" w:type="pct"/>
        <w:tblInd w:w="0" w:type="dxa"/>
        <w:tblLayout w:type="autofit"/>
        <w:tblCellMar>
          <w:top w:w="0" w:type="dxa"/>
          <w:left w:w="108" w:type="dxa"/>
          <w:bottom w:w="0" w:type="dxa"/>
          <w:right w:w="108" w:type="dxa"/>
        </w:tblCellMar>
      </w:tblPr>
      <w:tblGrid>
        <w:gridCol w:w="400"/>
        <w:gridCol w:w="400"/>
        <w:gridCol w:w="400"/>
        <w:gridCol w:w="1293"/>
        <w:gridCol w:w="1208"/>
        <w:gridCol w:w="764"/>
        <w:gridCol w:w="861"/>
        <w:gridCol w:w="677"/>
        <w:gridCol w:w="251"/>
        <w:gridCol w:w="291"/>
        <w:gridCol w:w="388"/>
        <w:gridCol w:w="470"/>
        <w:gridCol w:w="441"/>
        <w:gridCol w:w="678"/>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447"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乌财科教[2021]120号关于提前下达2022年教育直达资金的通知（公用经费）（南湖中学）</w:t>
            </w:r>
          </w:p>
        </w:tc>
      </w:tr>
      <w:tr>
        <w:tblPrEx>
          <w:tblCellMar>
            <w:top w:w="0" w:type="dxa"/>
            <w:left w:w="108" w:type="dxa"/>
            <w:bottom w:w="0" w:type="dxa"/>
            <w:right w:w="108" w:type="dxa"/>
          </w:tblCellMar>
        </w:tblPrEx>
        <w:trPr>
          <w:trHeight w:val="396" w:hRule="atLeast"/>
        </w:trPr>
        <w:tc>
          <w:tcPr>
            <w:tcW w:w="55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59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304"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55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5.29</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5.29</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5.29</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5.29</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5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6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90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87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853"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87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保障乌鲁木齐市南湖中学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初中学历水平考试报名、公务接待费，非财政供养人员经费等。</w:t>
            </w:r>
          </w:p>
        </w:tc>
        <w:tc>
          <w:tcPr>
            <w:tcW w:w="1853"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保障乌鲁木齐市南湖中学义务教育阶段学校正常运转、完成教育教学活动和其他日常工作任务等方面的支出，用于购置办公用品、办公家俱、零星维修、基建项目、展板、宣传、学生活动等。</w:t>
            </w:r>
          </w:p>
        </w:tc>
      </w:tr>
      <w:tr>
        <w:tblPrEx>
          <w:tblCellMar>
            <w:top w:w="0" w:type="dxa"/>
            <w:left w:w="108" w:type="dxa"/>
            <w:bottom w:w="0" w:type="dxa"/>
            <w:right w:w="108" w:type="dxa"/>
          </w:tblCellMar>
        </w:tblPrEx>
        <w:trPr>
          <w:trHeight w:val="39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7"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9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72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67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1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93"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6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0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2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3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2"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80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9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37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8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1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0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8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1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维修校舍次数</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&gt;=2次</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2次</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购置各类教育教学用品</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&gt;=3类</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3类</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学校校舍日常维修质量达标率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购置用品质量合格率</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每次零星维修成本</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&lt;=10000元/次</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10000元/次</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购置各类教育教学用品的成本</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&lt;=10000元/类</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10000元/类</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提高民办学校教学水平改善办学条件</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有效提高</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完全达到预期效果</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保障学校正常运转</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持续保障</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完全达到预期效果</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7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师生满意度</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95%</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rPr>
          <w:trHeight w:val="396" w:hRule="atLeast"/>
        </w:trPr>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720"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671"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414"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68"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02"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7"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6"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52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3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100.00分</w:t>
            </w:r>
          </w:p>
        </w:tc>
        <w:tc>
          <w:tcPr>
            <w:tcW w:w="61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p>
      <w:pPr>
        <w:outlineLvl w:val="0"/>
        <w:rPr>
          <w:rFonts w:hint="eastAsia" w:ascii="宋体" w:hAnsi="宋体"/>
          <w:sz w:val="24"/>
          <w:highlight w:val="none"/>
        </w:rPr>
      </w:pPr>
    </w:p>
    <w:tbl>
      <w:tblPr>
        <w:tblStyle w:val="9"/>
        <w:tblW w:w="5000" w:type="pct"/>
        <w:tblInd w:w="0" w:type="dxa"/>
        <w:tblLayout w:type="autofit"/>
        <w:tblCellMar>
          <w:top w:w="0" w:type="dxa"/>
          <w:left w:w="108" w:type="dxa"/>
          <w:bottom w:w="0" w:type="dxa"/>
          <w:right w:w="108" w:type="dxa"/>
        </w:tblCellMar>
      </w:tblPr>
      <w:tblGrid>
        <w:gridCol w:w="415"/>
        <w:gridCol w:w="415"/>
        <w:gridCol w:w="415"/>
        <w:gridCol w:w="1134"/>
        <w:gridCol w:w="1482"/>
        <w:gridCol w:w="655"/>
        <w:gridCol w:w="713"/>
        <w:gridCol w:w="713"/>
        <w:gridCol w:w="255"/>
        <w:gridCol w:w="296"/>
        <w:gridCol w:w="368"/>
        <w:gridCol w:w="474"/>
        <w:gridCol w:w="474"/>
        <w:gridCol w:w="713"/>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362"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乌财科教[2022]23号关于下达2022年城乡义务教育项目直达资金[第二批]的通知（公用经费）（直达资金）</w:t>
            </w:r>
          </w:p>
        </w:tc>
      </w:tr>
      <w:tr>
        <w:tblPrEx>
          <w:tblCellMar>
            <w:top w:w="0" w:type="dxa"/>
            <w:left w:w="108" w:type="dxa"/>
            <w:bottom w:w="0" w:type="dxa"/>
            <w:right w:w="108" w:type="dxa"/>
          </w:tblCellMar>
        </w:tblPrEx>
        <w:trPr>
          <w:trHeight w:val="396" w:hRule="atLeast"/>
        </w:trPr>
        <w:tc>
          <w:tcPr>
            <w:tcW w:w="63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40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37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63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92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7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0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6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7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11.82</w:t>
            </w:r>
          </w:p>
        </w:tc>
        <w:tc>
          <w:tcPr>
            <w:tcW w:w="5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11.82</w:t>
            </w:r>
          </w:p>
        </w:tc>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0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trHeight w:val="396" w:hRule="atLeast"/>
        </w:trPr>
        <w:tc>
          <w:tcPr>
            <w:tcW w:w="6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11.82</w:t>
            </w:r>
          </w:p>
        </w:tc>
        <w:tc>
          <w:tcPr>
            <w:tcW w:w="5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11.82</w:t>
            </w:r>
          </w:p>
        </w:tc>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0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0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3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2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7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1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0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72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953"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2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城乡义务教育补助经费主要用于弥补学校的公用经费支出，维持学校常规性教育教学公工作，保障学校正常教育教学工作的开展根据项目既定总目标设定产出、效益指标等，项目完成产出设定的指标主要都是量化指标，项目执行过程中和执行完毕，计划服务人数达到3万人:资金使用100%合规合法。力争年度内基本完成各项指标设定值，从而实现该项目的社会效益，提高学校教学水平、改善办学条件。</w:t>
            </w:r>
          </w:p>
        </w:tc>
        <w:tc>
          <w:tcPr>
            <w:tcW w:w="1953"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城乡义务教育补助经费主要用于弥补学校的公用经费支出，维持学校常规性教育教学公工作，保障学校正常教育教学工作的开展，但该经费下达较晚，学校半年未开课，未开展项目。结转资金2023年继续使用。</w:t>
            </w:r>
          </w:p>
        </w:tc>
      </w:tr>
      <w:tr>
        <w:tblPrEx>
          <w:tblCellMar>
            <w:top w:w="0" w:type="dxa"/>
            <w:left w:w="108" w:type="dxa"/>
            <w:bottom w:w="0" w:type="dxa"/>
            <w:right w:w="108" w:type="dxa"/>
          </w:tblCellMar>
        </w:tblPrEx>
        <w:trPr>
          <w:trHeight w:val="396"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19"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3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58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77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3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1"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9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3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4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97"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3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69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42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9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5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69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2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9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5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享受公用经费小学学生人数</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&gt;=250人</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81人</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1.63</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该经费下达较晚，学生在家上网课，只有初三学生十二月开课。享受学生偏差较大。</w:t>
            </w: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享受公用经费初中人数</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&gt;=1千人</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56人</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0.28</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该经费下达较晚，学生在家上网课，只有初三学生十二月开课。享受学生偏差较大。</w:t>
            </w: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随班就读人数</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&gt;=40人</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3人</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0.38</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该经费下达较晚，学生在家上网课，只有初三学生十二月开课。享受学生偏差较大。</w:t>
            </w: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合同示范文本使用率（%）</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该经费下达较晚，学校半年未开课，未开展项目。</w:t>
            </w: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资金拨付及时率</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9.43%</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0.57</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该经费下达较晚，学校半年未开课，未开展项目。</w:t>
            </w: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小学生公用经费基准定额</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=650元/生/年</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650元/生/年</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初中生公用经费基准定额</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=850元/生/年</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850元/生/年</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随班就读学生公用经费补助标准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=6000元/生/年</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6000元/生/年</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该经费下达较晚，学校半年未开课，未开展项目。</w:t>
            </w: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提高学校教学水平、改善办学条件</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有效提高</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基本达到预期效果</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30</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21</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该经费下达较晚，学校半年未开课，未开展项目。</w:t>
            </w: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1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693"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学生满意度</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&gt;=90%</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90%</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88"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774"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330"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96"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33"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41"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2"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9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2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4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67.86分</w:t>
            </w:r>
          </w:p>
        </w:tc>
        <w:tc>
          <w:tcPr>
            <w:tcW w:w="6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tbl>
      <w:tblPr>
        <w:tblStyle w:val="9"/>
        <w:tblW w:w="5000" w:type="pct"/>
        <w:tblInd w:w="0" w:type="dxa"/>
        <w:tblLayout w:type="autofit"/>
        <w:tblCellMar>
          <w:top w:w="0" w:type="dxa"/>
          <w:left w:w="108" w:type="dxa"/>
          <w:bottom w:w="0" w:type="dxa"/>
          <w:right w:w="108" w:type="dxa"/>
        </w:tblCellMar>
      </w:tblPr>
      <w:tblGrid>
        <w:gridCol w:w="424"/>
        <w:gridCol w:w="425"/>
        <w:gridCol w:w="425"/>
        <w:gridCol w:w="1189"/>
        <w:gridCol w:w="1108"/>
        <w:gridCol w:w="697"/>
        <w:gridCol w:w="740"/>
        <w:gridCol w:w="844"/>
        <w:gridCol w:w="259"/>
        <w:gridCol w:w="299"/>
        <w:gridCol w:w="395"/>
        <w:gridCol w:w="480"/>
        <w:gridCol w:w="497"/>
        <w:gridCol w:w="740"/>
      </w:tblGrid>
      <w:tr>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6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307"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乌财科教[2022]23号关于下达2022年城乡义务教育项目直达资金[第二批]的通知（困难生补助）（直达资金）</w:t>
            </w:r>
          </w:p>
        </w:tc>
      </w:tr>
      <w:tr>
        <w:tblPrEx>
          <w:tblCellMar>
            <w:top w:w="0" w:type="dxa"/>
            <w:left w:w="108" w:type="dxa"/>
            <w:bottom w:w="0" w:type="dxa"/>
            <w:right w:w="108" w:type="dxa"/>
          </w:tblCellMar>
        </w:tblPrEx>
        <w:trPr>
          <w:trHeight w:val="396" w:hRule="atLeast"/>
        </w:trPr>
        <w:tc>
          <w:tcPr>
            <w:tcW w:w="69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20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44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69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9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7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52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69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7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11.93</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11.93</w:t>
            </w:r>
          </w:p>
        </w:tc>
        <w:tc>
          <w:tcPr>
            <w:tcW w:w="52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trHeight w:val="396" w:hRule="atLeast"/>
        </w:trPr>
        <w:tc>
          <w:tcPr>
            <w:tcW w:w="69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11.93</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11.93</w:t>
            </w:r>
          </w:p>
        </w:tc>
        <w:tc>
          <w:tcPr>
            <w:tcW w:w="52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9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2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9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4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5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21"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1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556"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2098"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556"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城乡义务教育补助经费主要用于弥补学校的公用经费支出，维持学校常规性教育教学公工作，保障学校正常教育教学工作的开展根据项目既定总目标设定产出、效益指标等，项目完成产出设定的指标主要都是量化指标，项目执行过程中和执行完毕，计划服务人数达到3万人:资金使用100%合规合法。力争年度内基本完成各项指标设定值，从而实现该项目的社会效益，提高学校教学水平、改善办学条件。</w:t>
            </w:r>
          </w:p>
        </w:tc>
        <w:tc>
          <w:tcPr>
            <w:tcW w:w="2098"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该经费下达较晚，秋季困难生补助未能及时将发放到个人。结转资金2023年继续使用。</w:t>
            </w:r>
          </w:p>
        </w:tc>
      </w:tr>
      <w:tr>
        <w:tblPrEx>
          <w:tblCellMar>
            <w:top w:w="0" w:type="dxa"/>
            <w:left w:w="108" w:type="dxa"/>
            <w:bottom w:w="0" w:type="dxa"/>
            <w:right w:w="108" w:type="dxa"/>
          </w:tblCellMar>
        </w:tblPrEx>
        <w:trPr>
          <w:trHeight w:val="396" w:hRule="atLeast"/>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7"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6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58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545"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3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1"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15"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6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6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10"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36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46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46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2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7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46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6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2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7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3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小学非寄宿生享受人数</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&gt;=400人</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253人</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5.06</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由于资金到位较晚，部分学校未及时发放秋季补助。</w:t>
            </w: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初中非寄宿生享受人数</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&gt;=500人</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107人</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1.71</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由于资金到位较晚，部分学校未及时发放秋季补助。</w:t>
            </w: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符合补助政策学生覆盖率</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截止2022年12月资金执行率</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18.69%</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1.87</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由于资金到位较晚，部分学校未及时发放秋季补助。</w:t>
            </w: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小学非寄宿生补助标准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=650元/生/年</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312.5元/生/年</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3.85</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全年625元，一学期为312.5元</w:t>
            </w: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初中非寄宿生补助标准</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=750元/生/年</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375元/生/年</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全年750元，一学期为375元</w:t>
            </w: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减轻学生家庭经济负担</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有效减轻</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基本达到预期效果</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10.5</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由于资金到位较晚，部分学校未及时发放秋季补助。</w:t>
            </w: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提高学生体质健康</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持续提高</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基本达到预期效果</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10.5</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由于资金到位较晚，部分学校未及时发放秋季补助。</w:t>
            </w:r>
          </w:p>
        </w:tc>
      </w:tr>
      <w:tr>
        <w:tblPrEx>
          <w:tblCellMar>
            <w:top w:w="0" w:type="dxa"/>
            <w:left w:w="108" w:type="dxa"/>
            <w:bottom w:w="0" w:type="dxa"/>
            <w:right w:w="108" w:type="dxa"/>
          </w:tblCellMar>
        </w:tblPrEx>
        <w:trPr>
          <w:trHeight w:val="396" w:hRule="atLeast"/>
        </w:trPr>
        <w:tc>
          <w:tcPr>
            <w:tcW w:w="34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家长满意度</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&gt;=90%</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90%</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6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86"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545"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337"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15"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2"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69"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3"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6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39"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4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52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65.49分</w:t>
            </w:r>
          </w:p>
        </w:tc>
        <w:tc>
          <w:tcPr>
            <w:tcW w:w="67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tbl>
      <w:tblPr>
        <w:tblStyle w:val="9"/>
        <w:tblW w:w="5000" w:type="pct"/>
        <w:tblInd w:w="0" w:type="dxa"/>
        <w:tblLayout w:type="autofit"/>
        <w:tblCellMar>
          <w:top w:w="0" w:type="dxa"/>
          <w:left w:w="108" w:type="dxa"/>
          <w:bottom w:w="0" w:type="dxa"/>
          <w:right w:w="108" w:type="dxa"/>
        </w:tblCellMar>
      </w:tblPr>
      <w:tblGrid>
        <w:gridCol w:w="597"/>
        <w:gridCol w:w="598"/>
        <w:gridCol w:w="602"/>
        <w:gridCol w:w="947"/>
        <w:gridCol w:w="883"/>
        <w:gridCol w:w="546"/>
        <w:gridCol w:w="936"/>
        <w:gridCol w:w="696"/>
        <w:gridCol w:w="331"/>
        <w:gridCol w:w="401"/>
        <w:gridCol w:w="470"/>
        <w:gridCol w:w="387"/>
        <w:gridCol w:w="431"/>
        <w:gridCol w:w="697"/>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8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171"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乌财科教【2022】33号关于下达2022年支持学前教育发展资金预算【第二批】的通知（克南高架东延幼儿园）转移支付</w:t>
            </w:r>
          </w:p>
        </w:tc>
      </w:tr>
      <w:tr>
        <w:tblPrEx>
          <w:tblCellMar>
            <w:top w:w="0" w:type="dxa"/>
            <w:left w:w="108" w:type="dxa"/>
            <w:bottom w:w="0" w:type="dxa"/>
            <w:right w:w="108" w:type="dxa"/>
          </w:tblCellMar>
        </w:tblPrEx>
        <w:trPr>
          <w:trHeight w:val="396" w:hRule="atLeast"/>
        </w:trPr>
        <w:tc>
          <w:tcPr>
            <w:tcW w:w="8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198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59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82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69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6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69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0.10</w:t>
            </w:r>
          </w:p>
        </w:tc>
        <w:tc>
          <w:tcPr>
            <w:tcW w:w="5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6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0.00分</w:t>
            </w:r>
          </w:p>
        </w:tc>
      </w:tr>
      <w:tr>
        <w:tblPrEx>
          <w:tblCellMar>
            <w:top w:w="0" w:type="dxa"/>
            <w:left w:w="108" w:type="dxa"/>
            <w:bottom w:w="0" w:type="dxa"/>
            <w:right w:w="108" w:type="dxa"/>
          </w:tblCellMar>
        </w:tblPrEx>
        <w:trPr>
          <w:trHeight w:val="396"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9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w:t>
            </w:r>
          </w:p>
        </w:tc>
        <w:tc>
          <w:tcPr>
            <w:tcW w:w="5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9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82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9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8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52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404"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2182"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404"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建设12个教学班的幼儿园预留用地约6666平方米，总建筑面积约5475平方米，包含教学楼4177平方米，值班室30平方米，地下人防1268平方米，室外活动场地、消防水池、围墙、大门及值班室等附属设施。</w:t>
            </w:r>
          </w:p>
        </w:tc>
        <w:tc>
          <w:tcPr>
            <w:tcW w:w="2182"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此项目用于建设克南高架东延幼儿园及配套用房，校舍建设面积为440平方米，工程验收全部合格，成本严格控制在4500元，使周边360名适龄儿童享受到了新建幼儿园带来的优质教学资源，受教育的学生和家长都很满意。项目完成情况良好。</w:t>
            </w:r>
          </w:p>
        </w:tc>
      </w:tr>
      <w:tr>
        <w:tblPrEx>
          <w:tblCellMar>
            <w:top w:w="0" w:type="dxa"/>
            <w:left w:w="108" w:type="dxa"/>
            <w:bottom w:w="0" w:type="dxa"/>
            <w:right w:w="108" w:type="dxa"/>
          </w:tblCellMar>
        </w:tblPrEx>
        <w:trPr>
          <w:trHeight w:val="396"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14"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1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5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2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6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37"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9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4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7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31"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41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13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55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9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71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13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9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71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项目建设涉及园所</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新建校舍占地面积</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&gt;=440平方米</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440平方米</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园舍竣工验收合格率</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园舍建设周期</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&lt;=3年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3年</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每平米工程造价</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&lt;=4500元</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4500元</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受益幼儿人数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&gt;=360人</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360人</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校舍持续使用年限</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&gt;=50年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50年</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136"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家长满意度</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&gt;=90%</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90%</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4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53"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422"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260"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58"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99"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0"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0"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rPr>
          <w:trHeight w:val="396" w:hRule="atLeast"/>
        </w:trPr>
        <w:tc>
          <w:tcPr>
            <w:tcW w:w="3143"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55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5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90.00分</w:t>
            </w:r>
          </w:p>
        </w:tc>
        <w:tc>
          <w:tcPr>
            <w:tcW w:w="71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tbl>
      <w:tblPr>
        <w:tblStyle w:val="9"/>
        <w:tblW w:w="5000" w:type="pct"/>
        <w:tblInd w:w="0" w:type="dxa"/>
        <w:tblLayout w:type="autofit"/>
        <w:tblCellMar>
          <w:top w:w="0" w:type="dxa"/>
          <w:left w:w="108" w:type="dxa"/>
          <w:bottom w:w="0" w:type="dxa"/>
          <w:right w:w="108" w:type="dxa"/>
        </w:tblCellMar>
      </w:tblPr>
      <w:tblGrid>
        <w:gridCol w:w="441"/>
        <w:gridCol w:w="441"/>
        <w:gridCol w:w="442"/>
        <w:gridCol w:w="1255"/>
        <w:gridCol w:w="1296"/>
        <w:gridCol w:w="623"/>
        <w:gridCol w:w="893"/>
        <w:gridCol w:w="667"/>
        <w:gridCol w:w="262"/>
        <w:gridCol w:w="305"/>
        <w:gridCol w:w="437"/>
        <w:gridCol w:w="387"/>
        <w:gridCol w:w="406"/>
        <w:gridCol w:w="667"/>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72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276"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乌财科教【2022】38号关于拨付2022年城乡义务教育（新增地方政府债券）资金的通知（振安街南学校新建教学楼）转移支付</w:t>
            </w:r>
          </w:p>
        </w:tc>
      </w:tr>
      <w:tr>
        <w:tblPrEx>
          <w:tblCellMar>
            <w:top w:w="0" w:type="dxa"/>
            <w:left w:w="108" w:type="dxa"/>
            <w:bottom w:w="0" w:type="dxa"/>
            <w:right w:w="108" w:type="dxa"/>
          </w:tblCellMar>
        </w:tblPrEx>
        <w:trPr>
          <w:trHeight w:val="396" w:hRule="atLeast"/>
        </w:trPr>
        <w:tc>
          <w:tcPr>
            <w:tcW w:w="72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27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44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72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95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72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72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5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72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0.10</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0.00分</w:t>
            </w:r>
          </w:p>
        </w:tc>
      </w:tr>
      <w:tr>
        <w:tblPrEx>
          <w:tblCellMar>
            <w:top w:w="0" w:type="dxa"/>
            <w:left w:w="108" w:type="dxa"/>
            <w:bottom w:w="0" w:type="dxa"/>
            <w:right w:w="108" w:type="dxa"/>
          </w:tblCellMar>
        </w:tblPrEx>
        <w:trPr>
          <w:trHeight w:val="396" w:hRule="atLeast"/>
        </w:trPr>
        <w:tc>
          <w:tcPr>
            <w:tcW w:w="72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5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2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72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5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2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72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5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2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5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9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64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99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4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学校及配套用房：总建筑面积30亩，其中学校主体4200㎡，局部5层，共12个标准班，计划容纳1080名学生；门卫室面积20㎡；晨检室面积60㎡；消防水池、泵房建筑面积220㎡（地下170平方米，地上50平方米）。</w:t>
            </w:r>
          </w:p>
        </w:tc>
        <w:tc>
          <w:tcPr>
            <w:tcW w:w="199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此项目用于建设振安街南学校学校及配套用房，校舍建设面积为800平方米，工程验收全部合格，成本严格控制在4500元，使周边1080名适龄儿童享受到了新建学校带来的优质教学资源，受教育的学生和家长都很满意。项目完成情况良好。</w:t>
            </w:r>
          </w:p>
        </w:tc>
      </w:tr>
      <w:tr>
        <w:tblPrEx>
          <w:tblCellMar>
            <w:top w:w="0" w:type="dxa"/>
            <w:left w:w="108" w:type="dxa"/>
            <w:bottom w:w="0" w:type="dxa"/>
            <w:right w:w="108" w:type="dxa"/>
          </w:tblCellMar>
        </w:tblPrEx>
        <w:trPr>
          <w:trHeight w:val="396" w:hRule="atLeast"/>
        </w:trPr>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62"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7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58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60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8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37"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2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6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9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4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98"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37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46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48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3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4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46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8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3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4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rPr>
          <w:trHeight w:val="396" w:hRule="atLeast"/>
        </w:trPr>
        <w:tc>
          <w:tcPr>
            <w:tcW w:w="3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3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新建学校数量</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新建校舍建筑面积</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&gt;=800平方米</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800平方米</w:t>
            </w: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新建工程验收合格率（%）</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建设周期</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&lt;=3年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3年</w:t>
            </w: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每平米建设成本</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&lt;=4500元</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4500元</w:t>
            </w: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受益学生人数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&gt;=1080人</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1080人</w:t>
            </w: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校舍使用年限</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&gt;=50年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50年</w:t>
            </w: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46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享受教育资源学生家长满意度</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&gt;=90%</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90%</w:t>
            </w: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81"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601"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286"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4"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63"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6"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40"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27"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48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5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90.00分</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tbl>
      <w:tblPr>
        <w:tblStyle w:val="9"/>
        <w:tblW w:w="5000" w:type="pct"/>
        <w:tblInd w:w="0" w:type="dxa"/>
        <w:tblLayout w:type="autofit"/>
        <w:tblCellMar>
          <w:top w:w="0" w:type="dxa"/>
          <w:left w:w="108" w:type="dxa"/>
          <w:bottom w:w="0" w:type="dxa"/>
          <w:right w:w="108" w:type="dxa"/>
        </w:tblCellMar>
      </w:tblPr>
      <w:tblGrid>
        <w:gridCol w:w="433"/>
        <w:gridCol w:w="433"/>
        <w:gridCol w:w="433"/>
        <w:gridCol w:w="1369"/>
        <w:gridCol w:w="1280"/>
        <w:gridCol w:w="646"/>
        <w:gridCol w:w="867"/>
        <w:gridCol w:w="650"/>
        <w:gridCol w:w="258"/>
        <w:gridCol w:w="304"/>
        <w:gridCol w:w="420"/>
        <w:gridCol w:w="386"/>
        <w:gridCol w:w="393"/>
        <w:gridCol w:w="650"/>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6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310"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乌财科教【2022】44号关于拨付2022年自治区义务教育城市校舍安全保障长效机制项目资金的通知（七道湾东街学校）转移支付</w:t>
            </w:r>
          </w:p>
        </w:tc>
      </w:tr>
      <w:tr>
        <w:tblPrEx>
          <w:tblCellMar>
            <w:top w:w="0" w:type="dxa"/>
            <w:left w:w="108" w:type="dxa"/>
            <w:bottom w:w="0" w:type="dxa"/>
            <w:right w:w="108" w:type="dxa"/>
          </w:tblCellMar>
        </w:tblPrEx>
        <w:trPr>
          <w:trHeight w:val="396" w:hRule="atLeast"/>
        </w:trPr>
        <w:tc>
          <w:tcPr>
            <w:tcW w:w="69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376"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5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397"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69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5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69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0.10</w:t>
            </w:r>
          </w:p>
        </w:tc>
        <w:tc>
          <w:tcPr>
            <w:tcW w:w="5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0.00分</w:t>
            </w:r>
          </w:p>
        </w:tc>
      </w:tr>
      <w:tr>
        <w:tblPrEx>
          <w:tblCellMar>
            <w:top w:w="0" w:type="dxa"/>
            <w:left w:w="108" w:type="dxa"/>
            <w:bottom w:w="0" w:type="dxa"/>
            <w:right w:w="108" w:type="dxa"/>
          </w:tblCellMar>
        </w:tblPrEx>
        <w:trPr>
          <w:trHeight w:val="396" w:hRule="atLeast"/>
        </w:trPr>
        <w:tc>
          <w:tcPr>
            <w:tcW w:w="69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w:t>
            </w:r>
          </w:p>
        </w:tc>
        <w:tc>
          <w:tcPr>
            <w:tcW w:w="5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9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9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1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6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4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3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7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72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934"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721"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建设24个教学班预留用地约6666平方米，总建筑面积约5475平方米，包含教学楼4177平方米，值班室30平方米，地下人防1268平方米，室外活动场地、消防水池、围墙、大门及值班室等附属设施。</w:t>
            </w:r>
          </w:p>
        </w:tc>
        <w:tc>
          <w:tcPr>
            <w:tcW w:w="1934"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建设24个教学班预留用地约6666平方米，总建筑面积约5475平方米，包含教学楼4177平方米，值班室30平方米，地下人防1268平方米，室外活动场地、消防水池、围墙、大门及值班室等附属设施。资金未到位，未支付工程款。</w:t>
            </w:r>
          </w:p>
        </w:tc>
      </w:tr>
      <w:tr>
        <w:tblPrEx>
          <w:tblCellMar>
            <w:top w:w="0" w:type="dxa"/>
            <w:left w:w="108" w:type="dxa"/>
            <w:bottom w:w="0" w:type="dxa"/>
            <w:right w:w="108" w:type="dxa"/>
          </w:tblCellMar>
        </w:tblPrEx>
        <w:trPr>
          <w:trHeight w:val="396"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5"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5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65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61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0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37"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1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8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3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4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7"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58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3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46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51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2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58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1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2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项目建设涉及学校</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1所</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校舍占地面积</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&gt;=440平方米</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440平方米</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校舍竣工验收合格率</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校舍建设周期</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&lt;=3年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3年</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每平米工程造价</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&lt;=4500元</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4500元</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项目覆盖范围义务教育阶段学生</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&gt;=1200人</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1200人</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校舍持续使用年限</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&gt;=50年</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50年</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581"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周边居民满意度</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&gt;=90%</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90%</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59"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616"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306"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12"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51"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80"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37"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90"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46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5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90.00分</w:t>
            </w:r>
          </w:p>
        </w:tc>
        <w:tc>
          <w:tcPr>
            <w:tcW w:w="62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tbl>
      <w:tblPr>
        <w:tblStyle w:val="9"/>
        <w:tblW w:w="5000" w:type="pct"/>
        <w:tblInd w:w="0" w:type="dxa"/>
        <w:tblLayout w:type="autofit"/>
        <w:tblCellMar>
          <w:top w:w="0" w:type="dxa"/>
          <w:left w:w="108" w:type="dxa"/>
          <w:bottom w:w="0" w:type="dxa"/>
          <w:right w:w="108" w:type="dxa"/>
        </w:tblCellMar>
      </w:tblPr>
      <w:tblGrid>
        <w:gridCol w:w="357"/>
        <w:gridCol w:w="357"/>
        <w:gridCol w:w="357"/>
        <w:gridCol w:w="1290"/>
        <w:gridCol w:w="2071"/>
        <w:gridCol w:w="773"/>
        <w:gridCol w:w="710"/>
        <w:gridCol w:w="498"/>
        <w:gridCol w:w="258"/>
        <w:gridCol w:w="258"/>
        <w:gridCol w:w="224"/>
        <w:gridCol w:w="435"/>
        <w:gridCol w:w="364"/>
        <w:gridCol w:w="570"/>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3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626"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学前免费教育经费</w:t>
            </w:r>
          </w:p>
        </w:tc>
      </w:tr>
      <w:tr>
        <w:tblPrEx>
          <w:tblCellMar>
            <w:top w:w="0" w:type="dxa"/>
            <w:left w:w="108" w:type="dxa"/>
            <w:bottom w:w="0" w:type="dxa"/>
            <w:right w:w="108" w:type="dxa"/>
          </w:tblCellMar>
        </w:tblPrEx>
        <w:trPr>
          <w:trHeight w:val="396" w:hRule="atLeast"/>
        </w:trPr>
        <w:tc>
          <w:tcPr>
            <w:tcW w:w="3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3238"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4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97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37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3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89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4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3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6131.66</w:t>
            </w:r>
          </w:p>
        </w:tc>
        <w:tc>
          <w:tcPr>
            <w:tcW w:w="89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397.47</w:t>
            </w:r>
          </w:p>
        </w:tc>
        <w:tc>
          <w:tcPr>
            <w:tcW w:w="4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397.47</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10.00分</w:t>
            </w:r>
          </w:p>
        </w:tc>
      </w:tr>
      <w:tr>
        <w:tblPrEx>
          <w:tblCellMar>
            <w:top w:w="0" w:type="dxa"/>
            <w:left w:w="108" w:type="dxa"/>
            <w:bottom w:w="0" w:type="dxa"/>
            <w:right w:w="108" w:type="dxa"/>
          </w:tblCellMar>
        </w:tblPrEx>
        <w:trPr>
          <w:trHeight w:val="396" w:hRule="atLeast"/>
        </w:trPr>
        <w:tc>
          <w:tcPr>
            <w:tcW w:w="3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6131.66</w:t>
            </w:r>
          </w:p>
        </w:tc>
        <w:tc>
          <w:tcPr>
            <w:tcW w:w="89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397.47</w:t>
            </w:r>
          </w:p>
        </w:tc>
        <w:tc>
          <w:tcPr>
            <w:tcW w:w="4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397.47</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9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7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13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9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0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3425"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388"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425"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1.此项目由水磨沟区教育局民管办联同56所免费幼儿园园长进行组织实施，确保免费补助资金落实到位，惠及百姓。</w:t>
            </w:r>
          </w:p>
          <w:p>
            <w:pPr>
              <w:widowControl/>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2.严格把控项目资金使用，使得资金落实到位。足额及时拨付资金,及时上报资金的使用情况，保障项目资金6131.66万元按计划执行。</w:t>
            </w:r>
          </w:p>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3.提高教师队伍的整体素质,保障学校各项教学工作顺利开展。让学前儿童享受优质的教育服务，为社会事业培养合格的接班人。</w:t>
            </w:r>
          </w:p>
        </w:tc>
        <w:tc>
          <w:tcPr>
            <w:tcW w:w="1388"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本年实际拨付49所民办幼儿园免补经费，提高教师队伍的整体素质,保障学校各项教学工作顺利开展。让学前儿童享受优质的教育服务，为社会事业培养合格的接班人。</w:t>
            </w:r>
          </w:p>
        </w:tc>
      </w:tr>
      <w:tr>
        <w:tblPrEx>
          <w:tblCellMar>
            <w:top w:w="0" w:type="dxa"/>
            <w:left w:w="108" w:type="dxa"/>
            <w:bottom w:w="0" w:type="dxa"/>
            <w:right w:w="108" w:type="dxa"/>
          </w:tblCellMar>
        </w:tblPrEx>
        <w:trPr>
          <w:trHeight w:val="396"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8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81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34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6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33"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291"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1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18"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93"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41"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9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34"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2618"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33"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2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23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33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52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618"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3"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3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2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享受学前教育资助的幼儿人数</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&gt;=10000人</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7556人</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7.55</w:t>
            </w: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此人数是2021年学前免补幼儿人数，2022年未付，因此人数较少，存在偏差</w:t>
            </w: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享受学前教育资助的幼儿园数量</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&gt;=50所</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49所</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9.8</w:t>
            </w: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该值是2021年学前免补幼儿园数，2022年未付，因此数量较少，存在偏差</w:t>
            </w: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幼儿园正常运转率</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95%</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公用经费支付及时率</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6.5%</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0.65</w:t>
            </w: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2022年免补资金由于区财力紧张，未能及时拨付到位，因此存在偏差</w:t>
            </w: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每生每年享受补助金额</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&gt;=4800元</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526元</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1.1</w:t>
            </w: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此次拨付金额为2021年免补资金的四分之一，2022年未及时支付，因此未达到预期目标</w:t>
            </w: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提高教师队伍的整体素质,保障幼儿园各项教学工作有序开展</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有效提升</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未达到预期效果</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30</w:t>
            </w: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2022年免补资金由于区财力紧张，未能及时拨付到位，因此存在偏差</w:t>
            </w: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1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261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家长满意度</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&gt;=90%</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此次拨付金额为2021年免补资金的四分之一，2022年未及时支付，因此未达到预期目标</w:t>
            </w:r>
          </w:p>
        </w:tc>
      </w:tr>
      <w:tr>
        <w:tblPrEx>
          <w:tblCellMar>
            <w:top w:w="0" w:type="dxa"/>
            <w:left w:w="108" w:type="dxa"/>
            <w:bottom w:w="0" w:type="dxa"/>
            <w:right w:w="108" w:type="dxa"/>
          </w:tblCellMar>
        </w:tblPrEx>
        <w:trPr>
          <w:trHeight w:val="396" w:hRule="atLeast"/>
        </w:trPr>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813"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1342"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463"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18"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118"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93"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41"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903"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23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3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45.10分</w:t>
            </w:r>
          </w:p>
        </w:tc>
        <w:tc>
          <w:tcPr>
            <w:tcW w:w="52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p>
      <w:pPr>
        <w:outlineLvl w:val="0"/>
        <w:rPr>
          <w:rFonts w:hint="eastAsia" w:ascii="宋体" w:hAnsi="宋体"/>
          <w:sz w:val="24"/>
          <w:highlight w:val="none"/>
        </w:rPr>
      </w:pPr>
    </w:p>
    <w:tbl>
      <w:tblPr>
        <w:tblStyle w:val="9"/>
        <w:tblW w:w="5000" w:type="pct"/>
        <w:tblInd w:w="0" w:type="dxa"/>
        <w:tblLayout w:type="autofit"/>
        <w:tblCellMar>
          <w:top w:w="0" w:type="dxa"/>
          <w:left w:w="108" w:type="dxa"/>
          <w:bottom w:w="0" w:type="dxa"/>
          <w:right w:w="108" w:type="dxa"/>
        </w:tblCellMar>
      </w:tblPr>
      <w:tblGrid>
        <w:gridCol w:w="411"/>
        <w:gridCol w:w="411"/>
        <w:gridCol w:w="411"/>
        <w:gridCol w:w="1235"/>
        <w:gridCol w:w="1850"/>
        <w:gridCol w:w="726"/>
        <w:gridCol w:w="802"/>
        <w:gridCol w:w="411"/>
        <w:gridCol w:w="300"/>
        <w:gridCol w:w="291"/>
        <w:gridCol w:w="323"/>
        <w:gridCol w:w="377"/>
        <w:gridCol w:w="367"/>
        <w:gridCol w:w="607"/>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411"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学校城乡少年宫特色教育办学经费</w:t>
            </w:r>
          </w:p>
        </w:tc>
      </w:tr>
      <w:tr>
        <w:tblPrEx>
          <w:tblCellMar>
            <w:top w:w="0" w:type="dxa"/>
            <w:left w:w="108" w:type="dxa"/>
            <w:bottom w:w="0" w:type="dxa"/>
            <w:right w:w="108" w:type="dxa"/>
          </w:tblCellMar>
        </w:tblPrEx>
        <w:trPr>
          <w:trHeight w:val="396" w:hRule="atLeast"/>
        </w:trPr>
        <w:tc>
          <w:tcPr>
            <w:tcW w:w="58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785"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22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58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81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58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200.00</w:t>
            </w:r>
          </w:p>
        </w:tc>
        <w:tc>
          <w:tcPr>
            <w:tcW w:w="81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0.10</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0.00分</w:t>
            </w:r>
          </w:p>
        </w:tc>
      </w:tr>
      <w:tr>
        <w:tblPrEx>
          <w:tblCellMar>
            <w:top w:w="0" w:type="dxa"/>
            <w:left w:w="108" w:type="dxa"/>
            <w:bottom w:w="0" w:type="dxa"/>
            <w:right w:w="108" w:type="dxa"/>
          </w:tblCellMar>
        </w:tblPrEx>
        <w:trPr>
          <w:trHeight w:val="396" w:hRule="atLeast"/>
        </w:trPr>
        <w:tc>
          <w:tcPr>
            <w:tcW w:w="58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200</w:t>
            </w:r>
          </w:p>
        </w:tc>
        <w:tc>
          <w:tcPr>
            <w:tcW w:w="81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8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1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58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97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9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81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3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308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626"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080"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严格按照国家课程标准，保质保量上好体育课和艺术课。在保证开齐开足体育美育课程的基础上，每周增加1节特色课。坚持以学校专任教师为主，外聘兼任教师为辅原则，配齐配强体育美育教师，落实体育美育教师在职称评聘、评优评先等方面与其他学科教师同等待遇。特色学校至少有1名特色项目的专任教师，可按照《教育部关于学校体育美育兼职教师管理办法》要求，选聘专业体育美育兼职教师，兼职教师每周授课不少于2次（包括周六、周日），每次不少于90分钟，承担指导、培训、训练等工作。建立校级体育特色项目男、女梯队和传统文化特色项目队伍。坚持常年训（排）练，每周不少于2次（包括周六、周日），每次不少于90分钟，在训学生不少于参赛（演）人数的2.5倍，形成数量充足、素质优良、分布合理的学生文体人才梯队。发挥体育竞赛和艺术展演的激励作用，围绕特色项目，建立班级、年级、学校联赛机制，组织开展对抗赛、挑战赛、才艺展演、作品展示等多种形式的群体性校园文体活动，为学生参加文体活动搭建平台，学生参与率达 85%以上。将特色项目纳入到课内外体育、艺术教育教学活动中，积极开展科学健康、生动活泼的体育和传统文化特色项目课外活动，逐步提高学生运动能力和艺术素养。落实中小学生每天1小时校园体育活动制度，组织学生在课余时间开展特色项目活动，参与率100%，让每个学生能够掌握2项体育运动技能和1项艺术特长。</w:t>
            </w:r>
          </w:p>
        </w:tc>
        <w:tc>
          <w:tcPr>
            <w:tcW w:w="1626"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严格按照国家课程标准，保质保量上好体育课和艺术课。在保证开齐开足体育美育课程的基础上，每周增加1节特色课。但2022年受区财力影响，特色教育经费未下拨。</w:t>
            </w:r>
          </w:p>
        </w:tc>
      </w:tr>
      <w:tr>
        <w:tblPrEx>
          <w:tblCellMar>
            <w:top w:w="0" w:type="dxa"/>
            <w:left w:w="108" w:type="dxa"/>
            <w:bottom w:w="0" w:type="dxa"/>
            <w:right w:w="108" w:type="dxa"/>
          </w:tblCellMar>
        </w:tblPrEx>
        <w:trPr>
          <w:trHeight w:val="396" w:hRule="atLeast"/>
        </w:trPr>
        <w:tc>
          <w:tcPr>
            <w:tcW w:w="2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4"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2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657"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995"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7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37"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220"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18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1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1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1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1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53"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32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202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4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22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40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39"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567"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02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2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0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9"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567"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享受少年宫特色经费学校数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&gt;=20所</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0所</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下半年未开学，未开展特色课程。</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每所学校特色教学兼职教师薪酬补贴人数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&gt;=2人/校</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0人/校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未发放兼职教师薪酬</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每所学校改造维修（文体活动场等）次数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&gt;=1次/校</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0次/校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未改造维修</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每所学校购买各类特色器材道具物品</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&gt;=5类/校</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0类/校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未购买各类特色器材道具</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特色教学兼职教师薪酬补贴发放准确率</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未发放兼职教师薪酬</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每所学校活动场所维修改造质量达标率</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未进行改造维修</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购买各类特色器材道具物品合格率</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未购买各类特色器材道具</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特色教学兼职教师薪酬补贴金额</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&lt;=3.60万元/人/校</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0万元/人/校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未发放兼职教师薪酬</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每所学校改造维修（文体活动场等）成本</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&lt;=2.4万元/次/校</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0万元/次/校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未进行改造维修</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购买各类特色器材道具物品成本</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&lt;=0.6万元/类/校</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0万元/类/校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未购买各类特色器材道具</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受益学生数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&gt;=2万人</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0万人</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经费未下拨</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受益学校数</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&gt;=20所</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0所</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15</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下半年未开学，未开展特色课程。</w:t>
            </w: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29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2029"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师生满意度</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未发放兼职教师薪酬</w:t>
            </w:r>
          </w:p>
        </w:tc>
      </w:tr>
      <w:tr>
        <w:tblPrEx>
          <w:tblCellMar>
            <w:top w:w="0" w:type="dxa"/>
            <w:left w:w="108" w:type="dxa"/>
            <w:bottom w:w="0" w:type="dxa"/>
            <w:right w:w="108" w:type="dxa"/>
          </w:tblCellMar>
        </w:tblPrEx>
        <w:trPr>
          <w:trHeight w:val="396" w:hRule="atLeast"/>
        </w:trPr>
        <w:tc>
          <w:tcPr>
            <w:tcW w:w="2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57"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995"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376"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186"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14"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19"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19"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1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594"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0.00分</w:t>
            </w:r>
          </w:p>
        </w:tc>
        <w:tc>
          <w:tcPr>
            <w:tcW w:w="56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tbl>
      <w:tblPr>
        <w:tblStyle w:val="9"/>
        <w:tblW w:w="5000" w:type="pct"/>
        <w:tblInd w:w="0" w:type="dxa"/>
        <w:tblLayout w:type="autofit"/>
        <w:tblCellMar>
          <w:top w:w="0" w:type="dxa"/>
          <w:left w:w="108" w:type="dxa"/>
          <w:bottom w:w="0" w:type="dxa"/>
          <w:right w:w="108" w:type="dxa"/>
        </w:tblCellMar>
      </w:tblPr>
      <w:tblGrid>
        <w:gridCol w:w="429"/>
        <w:gridCol w:w="429"/>
        <w:gridCol w:w="429"/>
        <w:gridCol w:w="1460"/>
        <w:gridCol w:w="1360"/>
        <w:gridCol w:w="851"/>
        <w:gridCol w:w="748"/>
        <w:gridCol w:w="429"/>
        <w:gridCol w:w="322"/>
        <w:gridCol w:w="298"/>
        <w:gridCol w:w="352"/>
        <w:gridCol w:w="381"/>
        <w:gridCol w:w="392"/>
        <w:gridCol w:w="642"/>
      </w:tblGrid>
      <w:tr>
        <w:tblPrEx>
          <w:tblCellMar>
            <w:top w:w="0" w:type="dxa"/>
            <w:left w:w="108" w:type="dxa"/>
            <w:bottom w:w="0" w:type="dxa"/>
            <w:right w:w="108" w:type="dxa"/>
          </w:tblCellMar>
        </w:tblPrEx>
        <w:trPr>
          <w:trHeight w:val="408" w:hRule="atLeast"/>
        </w:trPr>
        <w:tc>
          <w:tcPr>
            <w:tcW w:w="5000" w:type="pct"/>
            <w:gridSpan w:val="14"/>
            <w:tcBorders>
              <w:top w:val="nil"/>
              <w:left w:val="nil"/>
              <w:bottom w:val="nil"/>
              <w:right w:val="nil"/>
            </w:tcBorders>
            <w:noWrap w:val="0"/>
            <w:vAlign w:val="center"/>
          </w:tcPr>
          <w:p>
            <w:pPr>
              <w:widowControl/>
              <w:jc w:val="center"/>
              <w:rPr>
                <w:rFonts w:ascii="宋体" w:hAnsi="宋体" w:cs="宋体"/>
                <w:b/>
                <w:bCs/>
                <w:color w:val="000000"/>
                <w:kern w:val="0"/>
                <w:sz w:val="32"/>
                <w:szCs w:val="32"/>
                <w:highlight w:val="none"/>
              </w:rPr>
            </w:pPr>
            <w:r>
              <w:rPr>
                <w:rFonts w:hint="eastAsia" w:ascii="宋体" w:hAnsi="宋体" w:cs="宋体"/>
                <w:b/>
                <w:bCs/>
                <w:color w:val="000000"/>
                <w:kern w:val="0"/>
                <w:sz w:val="32"/>
                <w:szCs w:val="32"/>
                <w:highlight w:val="none"/>
              </w:rPr>
              <w:t>项目支出绩效自评表</w:t>
            </w:r>
          </w:p>
        </w:tc>
      </w:tr>
      <w:tr>
        <w:tblPrEx>
          <w:tblCellMar>
            <w:top w:w="0" w:type="dxa"/>
            <w:left w:w="108" w:type="dxa"/>
            <w:bottom w:w="0" w:type="dxa"/>
            <w:right w:w="108" w:type="dxa"/>
          </w:tblCellMar>
        </w:tblPrEx>
        <w:trPr>
          <w:trHeight w:val="288" w:hRule="atLeast"/>
        </w:trPr>
        <w:tc>
          <w:tcPr>
            <w:tcW w:w="5000" w:type="pct"/>
            <w:gridSpan w:val="14"/>
            <w:tcBorders>
              <w:top w:val="nil"/>
              <w:left w:val="nil"/>
              <w:bottom w:val="nil"/>
              <w:right w:val="nil"/>
            </w:tcBorders>
            <w:noWrap w:val="0"/>
            <w:vAlign w:val="center"/>
          </w:tcPr>
          <w:p>
            <w:pPr>
              <w:widowControl/>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(2022年度)</w:t>
            </w:r>
          </w:p>
        </w:tc>
      </w:tr>
      <w:tr>
        <w:tblPrEx>
          <w:tblCellMar>
            <w:top w:w="0" w:type="dxa"/>
            <w:left w:w="108" w:type="dxa"/>
            <w:bottom w:w="0" w:type="dxa"/>
            <w:right w:w="108" w:type="dxa"/>
          </w:tblCellMar>
        </w:tblPrEx>
        <w:trPr>
          <w:trHeight w:val="396" w:hRule="atLeast"/>
        </w:trPr>
        <w:tc>
          <w:tcPr>
            <w:tcW w:w="67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项目名称</w:t>
            </w:r>
          </w:p>
        </w:tc>
        <w:tc>
          <w:tcPr>
            <w:tcW w:w="4327" w:type="pct"/>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与市幼教集团合作办园经费</w:t>
            </w:r>
          </w:p>
        </w:tc>
      </w:tr>
      <w:tr>
        <w:tblPrEx>
          <w:tblCellMar>
            <w:top w:w="0" w:type="dxa"/>
            <w:left w:w="108" w:type="dxa"/>
            <w:bottom w:w="0" w:type="dxa"/>
            <w:right w:w="108" w:type="dxa"/>
          </w:tblCellMar>
        </w:tblPrEx>
        <w:trPr>
          <w:trHeight w:val="396" w:hRule="atLeast"/>
        </w:trPr>
        <w:tc>
          <w:tcPr>
            <w:tcW w:w="67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主管部门</w:t>
            </w:r>
          </w:p>
        </w:tc>
        <w:tc>
          <w:tcPr>
            <w:tcW w:w="2541"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实施单位</w:t>
            </w:r>
          </w:p>
        </w:tc>
        <w:tc>
          <w:tcPr>
            <w:tcW w:w="1347"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乌鲁木齐市水磨沟区教育局</w:t>
            </w:r>
          </w:p>
        </w:tc>
      </w:tr>
      <w:tr>
        <w:tblPrEx>
          <w:tblCellMar>
            <w:top w:w="0" w:type="dxa"/>
            <w:left w:w="108" w:type="dxa"/>
            <w:bottom w:w="0" w:type="dxa"/>
            <w:right w:w="108" w:type="dxa"/>
          </w:tblCellMar>
        </w:tblPrEx>
        <w:trPr>
          <w:trHeight w:val="396" w:hRule="atLeast"/>
        </w:trPr>
        <w:tc>
          <w:tcPr>
            <w:tcW w:w="673"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项目资金</w:t>
            </w:r>
          </w:p>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（万元）</w:t>
            </w:r>
          </w:p>
        </w:tc>
        <w:tc>
          <w:tcPr>
            <w:tcW w:w="107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年初预算数</w:t>
            </w:r>
          </w:p>
        </w:tc>
        <w:tc>
          <w:tcPr>
            <w:tcW w:w="7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全年预算数</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全年执行数</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执行率</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r>
      <w:tr>
        <w:tblPrEx>
          <w:tblCellMar>
            <w:top w:w="0" w:type="dxa"/>
            <w:left w:w="108" w:type="dxa"/>
            <w:bottom w:w="0" w:type="dxa"/>
            <w:right w:w="108" w:type="dxa"/>
          </w:tblCellMar>
        </w:tblPrEx>
        <w:trPr>
          <w:trHeight w:val="396" w:hRule="atLeast"/>
        </w:trPr>
        <w:tc>
          <w:tcPr>
            <w:tcW w:w="67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7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年度资金总额</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200.00</w:t>
            </w:r>
          </w:p>
        </w:tc>
        <w:tc>
          <w:tcPr>
            <w:tcW w:w="7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0.10</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0.00分</w:t>
            </w:r>
          </w:p>
        </w:tc>
      </w:tr>
      <w:tr>
        <w:tblPrEx>
          <w:tblCellMar>
            <w:top w:w="0" w:type="dxa"/>
            <w:left w:w="108" w:type="dxa"/>
            <w:bottom w:w="0" w:type="dxa"/>
            <w:right w:w="108" w:type="dxa"/>
          </w:tblCellMar>
        </w:tblPrEx>
        <w:trPr>
          <w:trHeight w:val="396" w:hRule="atLeast"/>
        </w:trPr>
        <w:tc>
          <w:tcPr>
            <w:tcW w:w="67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7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其中：当年财政拨款</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200</w:t>
            </w:r>
          </w:p>
        </w:tc>
        <w:tc>
          <w:tcPr>
            <w:tcW w:w="7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0.1</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7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7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上年结转资金</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673"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07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xml:space="preserve">  其他资金</w:t>
            </w:r>
          </w:p>
        </w:tc>
        <w:tc>
          <w:tcPr>
            <w:tcW w:w="6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7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3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503"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46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r>
      <w:tr>
        <w:tblPrEx>
          <w:tblCellMar>
            <w:top w:w="0" w:type="dxa"/>
            <w:left w:w="108" w:type="dxa"/>
            <w:bottom w:w="0" w:type="dxa"/>
            <w:right w:w="108" w:type="dxa"/>
          </w:tblCellMar>
        </w:tblPrEx>
        <w:trPr>
          <w:trHeight w:val="396" w:hRule="atLeast"/>
        </w:trPr>
        <w:tc>
          <w:tcPr>
            <w:tcW w:w="3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年度总体目标</w:t>
            </w:r>
          </w:p>
        </w:tc>
        <w:tc>
          <w:tcPr>
            <w:tcW w:w="28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预期目标</w:t>
            </w:r>
          </w:p>
        </w:tc>
        <w:tc>
          <w:tcPr>
            <w:tcW w:w="1786"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实际完成情况</w:t>
            </w: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878"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坚持社会主义办学方向与党和国家的教育方针，深化教育体制改革，统筹兼顾、综合施策，破解制约学前教育发展的体制机制障碍，探索新的公办幼儿园运营模式和方法，推进公办学前教育集团化、专业化发展，进一步扩大水磨沟区内优质学前教育资源和公办园覆盖面。</w:t>
            </w:r>
          </w:p>
        </w:tc>
        <w:tc>
          <w:tcPr>
            <w:tcW w:w="1786"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由于水区财政库款紧张，造成此项目资金不能及时支付，没有完成与市幼教集团合作办园的工作。资金支付不及时，影响了部分学龄前儿童享受优质学前教育资源的机会，造成了部分孩子即家长的满意度不高，没有提升辖区优质学前教育资源的覆盖。</w:t>
            </w:r>
          </w:p>
        </w:tc>
      </w:tr>
      <w:tr>
        <w:tblPrEx>
          <w:tblCellMar>
            <w:top w:w="0" w:type="dxa"/>
            <w:left w:w="108" w:type="dxa"/>
            <w:bottom w:w="0" w:type="dxa"/>
            <w:right w:w="108" w:type="dxa"/>
          </w:tblCellMar>
        </w:tblPrEx>
        <w:trPr>
          <w:trHeight w:val="39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7"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5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72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670"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41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81"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c>
          <w:tcPr>
            <w:tcW w:w="227" w:type="pct"/>
            <w:tcBorders>
              <w:top w:val="single" w:color="000000" w:sz="4" w:space="0"/>
              <w:left w:val="single" w:color="000000" w:sz="4" w:space="0"/>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12"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44"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5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29"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236" w:type="pct"/>
            <w:tcBorders>
              <w:top w:val="single" w:color="000000" w:sz="4" w:space="0"/>
              <w:left w:val="nil"/>
              <w:bottom w:val="single" w:color="000000" w:sz="4" w:space="0"/>
              <w:right w:val="nil"/>
            </w:tcBorders>
            <w:noWrap w:val="0"/>
            <w:vAlign w:val="top"/>
          </w:tcPr>
          <w:p>
            <w:pPr>
              <w:widowControl/>
              <w:jc w:val="left"/>
              <w:rPr>
                <w:rFonts w:ascii="宋体" w:hAnsi="宋体" w:cs="宋体"/>
                <w:color w:val="000000"/>
                <w:kern w:val="0"/>
                <w:sz w:val="24"/>
                <w:highlight w:val="none"/>
              </w:rPr>
            </w:pPr>
          </w:p>
        </w:tc>
        <w:tc>
          <w:tcPr>
            <w:tcW w:w="379" w:type="pct"/>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一级指标</w:t>
            </w:r>
          </w:p>
        </w:tc>
        <w:tc>
          <w:tcPr>
            <w:tcW w:w="3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二级指标</w:t>
            </w:r>
          </w:p>
        </w:tc>
        <w:tc>
          <w:tcPr>
            <w:tcW w:w="180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三级指标</w:t>
            </w:r>
          </w:p>
        </w:tc>
        <w:tc>
          <w:tcPr>
            <w:tcW w:w="38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年度指标值</w:t>
            </w:r>
          </w:p>
        </w:tc>
        <w:tc>
          <w:tcPr>
            <w:tcW w:w="22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实际完成值</w:t>
            </w:r>
          </w:p>
        </w:tc>
        <w:tc>
          <w:tcPr>
            <w:tcW w:w="45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分值</w:t>
            </w:r>
          </w:p>
        </w:tc>
        <w:tc>
          <w:tcPr>
            <w:tcW w:w="488"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得分</w:t>
            </w:r>
          </w:p>
        </w:tc>
        <w:tc>
          <w:tcPr>
            <w:tcW w:w="615"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偏差原因分析及改进措施</w:t>
            </w: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180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5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488"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615"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年度绩效指标完成情况</w:t>
            </w:r>
          </w:p>
        </w:tc>
        <w:tc>
          <w:tcPr>
            <w:tcW w:w="3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产出指标</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水区享受托管幼儿园数</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=10所</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0所</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未能及时下拨经费，项目未开展</w:t>
            </w: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数量指标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水区享受托管幼儿园比例</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&gt;=15%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未能及时下拨经费，项目未开展</w:t>
            </w: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质量指标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受托管幼儿园正常运转率</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未能及时下拨经费保障幼儿园正常运转</w:t>
            </w: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时效指标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公用经费支付及时率</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由于水区财政库款紧张，造成项目资金不能及时支付。</w:t>
            </w: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成本指标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每生享受补贴数</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&gt;=200元</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0元</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未能及时下拨经费，项目未开展</w:t>
            </w: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效益指标</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经济效益指标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社会效益指标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提升辖区优质学前教育资源的覆盖率</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有效提升</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未达到预期效果</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30</w:t>
            </w: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未能及时下拨经费项目未开展</w:t>
            </w: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生态效益指标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可持续影响指标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3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满意度指标</w:t>
            </w:r>
          </w:p>
        </w:tc>
        <w:tc>
          <w:tcPr>
            <w:tcW w:w="1805"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辖区家长满意度</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&gt;=90%</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w:t>
            </w: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w:t>
            </w: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未能及时下拨经费，项目未开展</w:t>
            </w:r>
          </w:p>
        </w:tc>
      </w:tr>
      <w:tr>
        <w:tblPrEx>
          <w:tblCellMar>
            <w:top w:w="0" w:type="dxa"/>
            <w:left w:w="108" w:type="dxa"/>
            <w:bottom w:w="0" w:type="dxa"/>
            <w:right w:w="108" w:type="dxa"/>
          </w:tblCellMar>
        </w:tblPrEx>
        <w:trPr>
          <w:trHeight w:val="396" w:hRule="atLeast"/>
        </w:trPr>
        <w:tc>
          <w:tcPr>
            <w:tcW w:w="3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720"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670" w:type="pct"/>
            <w:tcBorders>
              <w:top w:val="single" w:color="000000" w:sz="4" w:space="0"/>
              <w:left w:val="nil"/>
              <w:bottom w:val="single" w:color="000000" w:sz="4" w:space="0"/>
              <w:right w:val="nil"/>
            </w:tcBorders>
            <w:noWrap w:val="0"/>
            <w:vAlign w:val="center"/>
          </w:tcPr>
          <w:p>
            <w:pPr>
              <w:widowControl/>
              <w:jc w:val="left"/>
              <w:rPr>
                <w:rFonts w:ascii="宋体" w:hAnsi="宋体" w:cs="宋体"/>
                <w:color w:val="000000"/>
                <w:kern w:val="0"/>
                <w:sz w:val="24"/>
                <w:highlight w:val="none"/>
              </w:rPr>
            </w:pPr>
          </w:p>
        </w:tc>
        <w:tc>
          <w:tcPr>
            <w:tcW w:w="414" w:type="pc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24"/>
                <w:highlight w:val="none"/>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12"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44"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59" w:type="pc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24"/>
                <w:highlight w:val="none"/>
              </w:rPr>
            </w:pPr>
          </w:p>
        </w:tc>
        <w:tc>
          <w:tcPr>
            <w:tcW w:w="229"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c>
          <w:tcPr>
            <w:tcW w:w="3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396" w:hRule="atLeast"/>
        </w:trPr>
        <w:tc>
          <w:tcPr>
            <w:tcW w:w="3441"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总分</w:t>
            </w:r>
          </w:p>
        </w:tc>
        <w:tc>
          <w:tcPr>
            <w:tcW w:w="456"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100</w:t>
            </w:r>
          </w:p>
        </w:tc>
        <w:tc>
          <w:tcPr>
            <w:tcW w:w="4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0.00分</w:t>
            </w:r>
          </w:p>
        </w:tc>
        <w:tc>
          <w:tcPr>
            <w:tcW w:w="61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24"/>
                <w:highlight w:val="none"/>
              </w:rPr>
            </w:pPr>
          </w:p>
        </w:tc>
      </w:tr>
    </w:tbl>
    <w:p>
      <w:pPr>
        <w:outlineLvl w:val="0"/>
        <w:rPr>
          <w:rFonts w:hint="eastAsia" w:ascii="宋体" w:hAnsi="宋体"/>
          <w:sz w:val="24"/>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p>
    <w:p>
      <w:pPr>
        <w:jc w:val="center"/>
        <w:outlineLvl w:val="0"/>
        <w:rPr>
          <w:rFonts w:hint="eastAsia" w:ascii="黑体" w:hAnsi="黑体" w:eastAsia="黑体"/>
          <w:sz w:val="32"/>
          <w:szCs w:val="32"/>
          <w:highlight w:val="none"/>
        </w:rPr>
      </w:pPr>
      <w:r>
        <w:rPr>
          <w:rFonts w:hint="eastAsia" w:ascii="黑体" w:hAnsi="黑体" w:eastAsia="黑体"/>
          <w:sz w:val="32"/>
          <w:szCs w:val="32"/>
          <w:highlight w:val="none"/>
        </w:rPr>
        <w:t>第三部分 专业名词解释</w:t>
      </w:r>
      <w:bookmarkEnd w:id="34"/>
      <w:bookmarkEnd w:id="35"/>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autoSpaceDE w:val="0"/>
        <w:autoSpaceDN w:val="0"/>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ind w:firstLine="640" w:firstLineChars="200"/>
        <w:jc w:val="center"/>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ind w:firstLine="640" w:firstLineChars="200"/>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ind w:firstLine="640" w:firstLineChars="200"/>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ind w:firstLine="640" w:firstLineChars="200"/>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ind w:firstLine="640" w:firstLineChars="200"/>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ind w:firstLine="640" w:firstLineChars="200"/>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ind w:firstLine="640" w:firstLineChars="200"/>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ind w:firstLine="640" w:firstLineChars="200"/>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ind w:firstLine="640" w:firstLineChars="200"/>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九、《国有资本经营预算财政拨款收入支出决算表》</w:t>
      </w:r>
    </w:p>
    <w:p>
      <w:pPr>
        <w:ind w:firstLine="640" w:firstLineChars="200"/>
        <w:outlineLvl w:val="1"/>
        <w:rPr>
          <w:rFonts w:hint="eastAsia" w:ascii="黑体" w:hAnsi="黑体" w:eastAsia="黑体" w:cs="宋体"/>
          <w:bCs/>
          <w:kern w:val="0"/>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MjFkY2Q4NWY2NjQ3NDkxYmU2MjJkZTRmZjc0MDkifQ=="/>
  </w:docVars>
  <w:rsids>
    <w:rsidRoot w:val="0038386E"/>
    <w:rsid w:val="000B0447"/>
    <w:rsid w:val="00115F04"/>
    <w:rsid w:val="001D421B"/>
    <w:rsid w:val="00203BFD"/>
    <w:rsid w:val="00204961"/>
    <w:rsid w:val="002420AF"/>
    <w:rsid w:val="002F76F1"/>
    <w:rsid w:val="0038386E"/>
    <w:rsid w:val="003A0B47"/>
    <w:rsid w:val="003C7914"/>
    <w:rsid w:val="0041394D"/>
    <w:rsid w:val="004229CD"/>
    <w:rsid w:val="00441B67"/>
    <w:rsid w:val="005205BE"/>
    <w:rsid w:val="00533136"/>
    <w:rsid w:val="00597F44"/>
    <w:rsid w:val="005A0023"/>
    <w:rsid w:val="006159CB"/>
    <w:rsid w:val="006407F8"/>
    <w:rsid w:val="00646D2A"/>
    <w:rsid w:val="00727F13"/>
    <w:rsid w:val="00777010"/>
    <w:rsid w:val="007A4C92"/>
    <w:rsid w:val="00860577"/>
    <w:rsid w:val="008C7B8F"/>
    <w:rsid w:val="00953825"/>
    <w:rsid w:val="009608A0"/>
    <w:rsid w:val="00A648A6"/>
    <w:rsid w:val="00AF162E"/>
    <w:rsid w:val="00B8552A"/>
    <w:rsid w:val="00B864E3"/>
    <w:rsid w:val="00BB5B1A"/>
    <w:rsid w:val="00BC3818"/>
    <w:rsid w:val="00C25714"/>
    <w:rsid w:val="00C31086"/>
    <w:rsid w:val="00C46F7D"/>
    <w:rsid w:val="00CB0C84"/>
    <w:rsid w:val="00D50F14"/>
    <w:rsid w:val="00E75C01"/>
    <w:rsid w:val="00E85699"/>
    <w:rsid w:val="00ED2491"/>
    <w:rsid w:val="00ED5D10"/>
    <w:rsid w:val="00F43295"/>
    <w:rsid w:val="00FE6149"/>
    <w:rsid w:val="02F73D26"/>
    <w:rsid w:val="033E7952"/>
    <w:rsid w:val="034D4FEF"/>
    <w:rsid w:val="040C2C40"/>
    <w:rsid w:val="043E5B56"/>
    <w:rsid w:val="06792773"/>
    <w:rsid w:val="07FA622B"/>
    <w:rsid w:val="0A7B4867"/>
    <w:rsid w:val="0B8C3ECC"/>
    <w:rsid w:val="0C7227A7"/>
    <w:rsid w:val="193463F1"/>
    <w:rsid w:val="1BEB598B"/>
    <w:rsid w:val="1DAF458D"/>
    <w:rsid w:val="1FED6C52"/>
    <w:rsid w:val="20517888"/>
    <w:rsid w:val="20DD6197"/>
    <w:rsid w:val="23BC04D2"/>
    <w:rsid w:val="24C04FDC"/>
    <w:rsid w:val="27CF2642"/>
    <w:rsid w:val="2A053397"/>
    <w:rsid w:val="2D1136DF"/>
    <w:rsid w:val="2D1D464F"/>
    <w:rsid w:val="2FD27414"/>
    <w:rsid w:val="31C63837"/>
    <w:rsid w:val="3914510A"/>
    <w:rsid w:val="3C261018"/>
    <w:rsid w:val="3C560B29"/>
    <w:rsid w:val="3D5275AC"/>
    <w:rsid w:val="40834692"/>
    <w:rsid w:val="46901EEE"/>
    <w:rsid w:val="469C74D2"/>
    <w:rsid w:val="4B4C0111"/>
    <w:rsid w:val="50DB5F45"/>
    <w:rsid w:val="52F92565"/>
    <w:rsid w:val="583059FA"/>
    <w:rsid w:val="5B94667D"/>
    <w:rsid w:val="5EB4317D"/>
    <w:rsid w:val="5F1F3C72"/>
    <w:rsid w:val="5FA17648"/>
    <w:rsid w:val="61A46A97"/>
    <w:rsid w:val="62DD7D21"/>
    <w:rsid w:val="65D97752"/>
    <w:rsid w:val="68DB0208"/>
    <w:rsid w:val="69AD798C"/>
    <w:rsid w:val="6B68175F"/>
    <w:rsid w:val="6E0F7A08"/>
    <w:rsid w:val="71473612"/>
    <w:rsid w:val="718F7F65"/>
    <w:rsid w:val="73FB6630"/>
    <w:rsid w:val="74E76DCD"/>
    <w:rsid w:val="759453A3"/>
    <w:rsid w:val="77ED6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autoRedefine/>
    <w:uiPriority w:val="0"/>
    <w:pPr>
      <w:ind w:left="420" w:leftChars="200"/>
    </w:pPr>
  </w:style>
  <w:style w:type="paragraph" w:styleId="8">
    <w:name w:val="Normal (Web)"/>
    <w:basedOn w:val="1"/>
    <w:autoRedefine/>
    <w:unhideWhenUsed/>
    <w:qFormat/>
    <w:uiPriority w:val="99"/>
    <w:pPr>
      <w:spacing w:before="100" w:beforeAutospacing="1" w:after="100" w:afterAutospacing="1"/>
      <w:jc w:val="left"/>
    </w:pPr>
    <w:rPr>
      <w:rFonts w:ascii="Calibri" w:hAnsi="Calibri"/>
      <w:sz w:val="24"/>
    </w:rPr>
  </w:style>
  <w:style w:type="paragraph" w:customStyle="1" w:styleId="11">
    <w:name w:val="WPSOffice手动目录 3"/>
    <w:qFormat/>
    <w:uiPriority w:val="0"/>
    <w:pPr>
      <w:ind w:leftChars="400"/>
    </w:pPr>
    <w:rPr>
      <w:rFonts w:ascii="Times New Roman" w:hAnsi="Times New Roman" w:eastAsia="宋体" w:cs="Times New Roman"/>
      <w:lang w:val="en-US" w:eastAsia="zh-CN" w:bidi="ar-SA"/>
    </w:rPr>
  </w:style>
  <w:style w:type="paragraph" w:customStyle="1" w:styleId="12">
    <w:name w:val="WPSOffice手动目录 2"/>
    <w:qFormat/>
    <w:uiPriority w:val="0"/>
    <w:pPr>
      <w:ind w:leftChars="200"/>
    </w:pPr>
    <w:rPr>
      <w:rFonts w:ascii="Times New Roman" w:hAnsi="Times New Roman" w:eastAsia="宋体" w:cs="Times New Roman"/>
      <w:lang w:val="en-US" w:eastAsia="zh-CN" w:bidi="ar-SA"/>
    </w:rPr>
  </w:style>
  <w:style w:type="paragraph" w:customStyle="1" w:styleId="13">
    <w:name w:val="WPSOffice手动目录 1"/>
    <w:autoRedefine/>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18799</Words>
  <Characters>21388</Characters>
  <Lines>188</Lines>
  <Paragraphs>53</Paragraphs>
  <TotalTime>0</TotalTime>
  <ScaleCrop>false</ScaleCrop>
  <LinksUpToDate>false</LinksUpToDate>
  <CharactersWithSpaces>21532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尘封</cp:lastModifiedBy>
  <dcterms:modified xsi:type="dcterms:W3CDTF">2024-02-07T07:43:23Z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85C30163428D476B8E6EA758F40ED4DE</vt:lpwstr>
  </property>
</Properties>
</file>