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乌鲁木齐市水磨沟区幼儿园</w:t>
      </w: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shd w:val="clear" w:color="auto" w:fill="FFFFFF"/>
        <w:autoSpaceDE w:val="0"/>
        <w:autoSpaceDN w:val="0"/>
        <w:adjustRightInd w:val="0"/>
        <w:spacing w:before="100" w:beforeLines="0" w:afterLines="0" w:line="360" w:lineRule="auto"/>
        <w:ind w:firstLine="640" w:firstLineChars="200"/>
        <w:rPr>
          <w:rFonts w:hint="eastAsia" w:ascii="仿宋_GB2312" w:eastAsia="仿宋_GB2312" w:cs="仿宋_GB2312"/>
          <w:kern w:val="0"/>
          <w:sz w:val="32"/>
          <w:szCs w:val="32"/>
          <w:highlight w:val="none"/>
        </w:rPr>
      </w:pPr>
      <w:bookmarkStart w:id="4" w:name="_Toc31238"/>
      <w:bookmarkStart w:id="5" w:name="_Toc2151"/>
      <w:r>
        <w:rPr>
          <w:rFonts w:hint="eastAsia" w:ascii="仿宋_GB2312" w:eastAsia="仿宋_GB2312" w:cs="仿宋_GB2312"/>
          <w:kern w:val="0"/>
          <w:sz w:val="32"/>
          <w:szCs w:val="32"/>
          <w:highlight w:val="none"/>
        </w:rPr>
        <w:t>乌鲁木齐市水磨沟区幼儿园主要职能是幼儿教育，幼儿保育，促进幼儿全方面身心发展。</w:t>
      </w:r>
    </w:p>
    <w:p>
      <w:pPr>
        <w:shd w:val="clear" w:color="auto" w:fill="FFFFFF"/>
        <w:autoSpaceDE w:val="0"/>
        <w:autoSpaceDN w:val="0"/>
        <w:adjustRightInd w:val="0"/>
        <w:spacing w:before="100" w:beforeLines="0" w:afterLines="0" w:line="360" w:lineRule="auto"/>
        <w:ind w:firstLine="640" w:firstLineChars="200"/>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贯彻党的教育方针，按照保育和教育结合的原则，对幼儿实施德、智、体、美诸方面全面发展的教育，促进其身心和谐发展。围绕家庭及家庭教育开展活动，面向幼儿家长提供科学育儿宣传指导。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乌鲁木齐市水磨沟区幼儿园成立于1985年，是一所隶属于水磨沟区教育局的公立一级幼儿园，地处于乌鲁木齐市水磨沟区温泉西路北一巷8号。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在国家、自治区、市委、区委政府的高度重视和大力支持下，水磨沟区幼儿园由最初的1所幼儿园发展为现在的7所，其余6所分别为乌鲁木齐市第十一幼儿园、乌鲁木齐市第十二幼儿园、乌鲁木齐市第二十一幼儿园、乌鲁木齐市水磨沟区石人子沟村幼儿园、乌鲁木齐市水磨沟区第三十幼儿园、乌鲁木齐市第二十九幼儿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乌鲁木齐市水磨沟区幼儿园的7个园所均是乌鲁木齐市级一级幼儿园，其中乌鲁木齐市第十一幼儿园、第十二幼儿园成为水磨沟区首批示范园。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乌鲁木齐市水磨沟区幼儿园</w:t>
      </w:r>
      <w:r>
        <w:rPr>
          <w:rFonts w:hint="eastAsia" w:ascii="仿宋_GB2312" w:eastAsia="仿宋_GB2312"/>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57</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51</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eastAsia="zh-CN"/>
        </w:rPr>
        <w:t>乌鲁木齐市水磨沟区幼儿园</w:t>
      </w:r>
      <w:r>
        <w:rPr>
          <w:rFonts w:hint="eastAsia" w:ascii="仿宋_GB2312" w:eastAsia="仿宋_GB2312"/>
          <w:sz w:val="32"/>
          <w:szCs w:val="32"/>
          <w:highlight w:val="none"/>
        </w:rPr>
        <w:t>部门决算包括：</w:t>
      </w:r>
      <w:r>
        <w:rPr>
          <w:rFonts w:hint="eastAsia" w:ascii="仿宋_GB2312" w:eastAsia="仿宋_GB2312"/>
          <w:sz w:val="32"/>
          <w:szCs w:val="32"/>
          <w:highlight w:val="none"/>
          <w:lang w:eastAsia="zh-CN"/>
        </w:rPr>
        <w:t>乌鲁木齐市水磨沟区幼儿园</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w:t>
      </w:r>
      <w:r>
        <w:rPr>
          <w:rFonts w:hint="eastAsia" w:ascii="仿宋_GB2312" w:eastAsia="仿宋_GB2312" w:cs="仿宋_GB2312"/>
          <w:kern w:val="0"/>
          <w:sz w:val="32"/>
          <w:szCs w:val="32"/>
          <w:highlight w:val="none"/>
          <w:lang w:val="zh-CN"/>
        </w:rPr>
        <w:t>下设</w:t>
      </w:r>
      <w:r>
        <w:rPr>
          <w:rFonts w:hint="eastAsia" w:ascii="仿宋_GB2312" w:eastAsia="仿宋_GB2312" w:cs="仿宋_GB2312"/>
          <w:kern w:val="0"/>
          <w:sz w:val="32"/>
          <w:szCs w:val="32"/>
          <w:highlight w:val="none"/>
        </w:rPr>
        <w:t>7</w:t>
      </w:r>
      <w:r>
        <w:rPr>
          <w:rFonts w:hint="eastAsia" w:ascii="仿宋_GB2312" w:eastAsia="仿宋_GB2312" w:cs="仿宋_GB2312"/>
          <w:kern w:val="0"/>
          <w:sz w:val="32"/>
          <w:szCs w:val="32"/>
          <w:highlight w:val="none"/>
          <w:lang w:val="zh-CN"/>
        </w:rPr>
        <w:t>个科室，分别是：</w:t>
      </w:r>
      <w:r>
        <w:rPr>
          <w:rFonts w:hint="eastAsia" w:ascii="仿宋_GB2312" w:hAnsi="黑体" w:eastAsia="仿宋_GB2312" w:cs="宋体"/>
          <w:kern w:val="0"/>
          <w:sz w:val="32"/>
          <w:szCs w:val="32"/>
          <w:highlight w:val="none"/>
        </w:rPr>
        <w:t>园办，总务后勤部，财务室，教研室，工会及档案室，安保室，保健室</w:t>
      </w:r>
      <w:r>
        <w:rPr>
          <w:rFonts w:hint="eastAsia" w:ascii="仿宋_GB2312" w:eastAsia="仿宋_GB2312" w:cs="仿宋_GB2312"/>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1588.33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其中：本年收入合计1531.24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57.09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1819.09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53.39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本年度项目收入减少、年初结转结余减少，本年临聘经费计入预拨经费，且财政资金紧张，年末将未使用资金收回。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总计1588.33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其中：本年支出合计1561.41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26.92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1819.09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53.39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本年度项目支出减少、年末结转结余减少，本年临聘经费计入预拨经费，且财政资金紧张，年末将未使用资金收回。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1531.24</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1531.12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0.12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1561.41</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685.83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43.92</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875.58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56.08</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总计1548.9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其中：年初财政拨款结转和结余17.78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财政拨款本年收入1531.12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1231.69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44.3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本年度项目收入减少、年初结转结余减少，本年临聘经费计入预拨经费，且财政资金紧张，年末将未使用资金收回。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总计1548.9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其中：年末财政拨款结转和结余8.16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财政拨款本年支出1540.74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1231.69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44.3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本年度项目支出减少、年末结转结余减少，本年临聘经费计入预拨经费，且财政资金紧张，年末将未使用资金收回。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2520.65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1548.9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-38.55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主要原因是：本年度项目收入减少、年初结转结余减少，本年临聘经费计入预拨经费，且财政资金紧张，年末将未使用资金收回。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2520.65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1548.9</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-38.55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主要原因是：本年度项目支出减少、年末结转结余减少，本年临聘经费计入预拨经费，且财政资金紧张，年末将未使用资金收回。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1540.74</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98.68</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1222.07</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44.23</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eastAsia="zh-CN"/>
        </w:rPr>
        <w:t>本年度项目支出减少、年末结转结余减少，本年临聘经费计入预拨经费，且财政资金紧张，年末将未使用资金收回。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1540.74万元，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100</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lang w:eastAsia="zh-CN"/>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eastAsia="zh-CN"/>
        </w:rPr>
        <w:t>普通教育</w:t>
      </w:r>
      <w:r>
        <w:rPr>
          <w:rFonts w:hint="eastAsia" w:ascii="仿宋_GB2312" w:hAnsi="仿宋_GB2312" w:eastAsia="仿宋_GB2312" w:cs="仿宋_GB2312"/>
          <w:kern w:val="0"/>
          <w:sz w:val="32"/>
          <w:szCs w:val="32"/>
          <w:highlight w:val="none"/>
        </w:rPr>
        <w:t>（款）</w:t>
      </w:r>
      <w:r>
        <w:rPr>
          <w:rFonts w:hint="eastAsia" w:ascii="仿宋_GB2312" w:hAnsi="Times New Roman" w:eastAsia="仿宋_GB2312" w:cs="仿宋_GB2312"/>
          <w:kern w:val="0"/>
          <w:sz w:val="32"/>
          <w:szCs w:val="32"/>
          <w:highlight w:val="none"/>
        </w:rPr>
        <w:t>学前教育</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1540.74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eastAsia="仿宋_GB2312"/>
          <w:spacing w:val="0"/>
          <w:sz w:val="32"/>
          <w:szCs w:val="32"/>
          <w:highlight w:val="none"/>
        </w:rPr>
        <w:t>减少</w:t>
      </w:r>
      <w:r>
        <w:rPr>
          <w:rFonts w:hint="eastAsia" w:ascii="仿宋_GB2312" w:eastAsia="仿宋_GB2312"/>
          <w:spacing w:val="0"/>
          <w:sz w:val="32"/>
          <w:szCs w:val="32"/>
          <w:highlight w:val="none"/>
          <w:lang w:val="en-US" w:eastAsia="zh-CN"/>
        </w:rPr>
        <w:t>1166.59</w:t>
      </w:r>
      <w:r>
        <w:rPr>
          <w:rFonts w:hint="eastAsia" w:ascii="仿宋_GB2312" w:hAnsi="仿宋_GB2312" w:eastAsia="仿宋_GB2312" w:cs="仿宋_GB2312"/>
          <w:kern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43.09</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本年度项目支出减少、年末结转结余减少，本年临聘经费计入预拨经费，且财政资金紧张，年末将未使用资金收回。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eastAsia="zh-CN"/>
        </w:rPr>
      </w:pPr>
      <w:r>
        <w:rPr>
          <w:rFonts w:hint="default" w:ascii="仿宋_GB2312" w:eastAsia="仿宋_GB2312"/>
          <w:sz w:val="32"/>
          <w:szCs w:val="32"/>
          <w:highlight w:val="none"/>
          <w:lang w:eastAsia="zh-CN"/>
        </w:rPr>
        <w:t>2.社会保障和就业支出（类）行政事业单位养老支出（款）机关事业单位基本养老保险缴费支出（项）:支出决算数为0万元，比上年决算减少50.5万元，下降100%，主要原因是：本年财政未将养老保险缴费支出安排在该款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eastAsia="zh-CN"/>
        </w:rPr>
      </w:pPr>
      <w:r>
        <w:rPr>
          <w:rFonts w:hint="default" w:ascii="仿宋_GB2312" w:eastAsia="仿宋_GB2312"/>
          <w:sz w:val="32"/>
          <w:szCs w:val="32"/>
          <w:highlight w:val="none"/>
          <w:lang w:eastAsia="zh-CN"/>
        </w:rPr>
        <w:t>3.城乡社区支出支出（类）城乡社区公共设施（款）其他城乡社区公共设施支出（项）:支出决算数为0万元，比上年决算减少4.99万元，下降100%，主要原因是：本年财政未安排该款项。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一般公共预算财政拨款基本支出685.71万元，其中：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679.38</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、退休费、其他对个人和家庭的补助。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6.33</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主要原因是：单位无此支出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主要原因是：单位无此支出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主要原因是：单位无此支出</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主要原因是：单位无此支出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：单位无此支出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：单位无此支出</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eastAsia="zh-CN"/>
        </w:rPr>
        <w:t>：单位无此支出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0.15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szCs w:val="24"/>
          <w:highlight w:val="none"/>
          <w:lang w:val="en-US" w:eastAsia="zh-CN"/>
        </w:rPr>
        <w:t>本年单位无</w:t>
      </w:r>
      <w:r>
        <w:rPr>
          <w:rFonts w:hint="default" w:eastAsia="Times New Roman"/>
          <w:kern w:val="0"/>
          <w:sz w:val="32"/>
          <w:szCs w:val="24"/>
          <w:highlight w:val="none"/>
          <w:lang w:val="en-US"/>
        </w:rPr>
        <w:t>“</w:t>
      </w:r>
      <w:r>
        <w:rPr>
          <w:rFonts w:hint="eastAsia" w:ascii="仿宋_GB2312" w:hAnsi="仿宋_GB2312" w:eastAsia="仿宋_GB2312"/>
          <w:kern w:val="0"/>
          <w:sz w:val="32"/>
          <w:szCs w:val="24"/>
          <w:highlight w:val="none"/>
          <w:lang w:val="en-US"/>
        </w:rPr>
        <w:t>三公</w:t>
      </w:r>
      <w:r>
        <w:rPr>
          <w:rFonts w:hint="default" w:eastAsia="Times New Roman"/>
          <w:kern w:val="0"/>
          <w:sz w:val="32"/>
          <w:szCs w:val="24"/>
          <w:highlight w:val="none"/>
          <w:lang w:val="en-US"/>
        </w:rPr>
        <w:t>”</w:t>
      </w:r>
      <w:r>
        <w:rPr>
          <w:rFonts w:hint="eastAsia" w:ascii="仿宋_GB2312" w:hAnsi="仿宋_GB2312" w:eastAsia="仿宋_GB2312"/>
          <w:kern w:val="0"/>
          <w:sz w:val="32"/>
          <w:szCs w:val="24"/>
          <w:highlight w:val="none"/>
          <w:lang w:val="en-US"/>
        </w:rPr>
        <w:t>经费</w:t>
      </w:r>
      <w:r>
        <w:rPr>
          <w:rFonts w:hint="eastAsia" w:ascii="仿宋_GB2312" w:hAnsi="仿宋_GB2312" w:eastAsia="仿宋_GB2312"/>
          <w:kern w:val="0"/>
          <w:sz w:val="32"/>
          <w:szCs w:val="24"/>
          <w:highlight w:val="none"/>
          <w:lang w:val="en-US" w:eastAsia="zh-CN"/>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szCs w:val="24"/>
          <w:highlight w:val="none"/>
          <w:lang w:val="en-US"/>
        </w:rPr>
        <w:t>本年单位无因公出国（境）费支出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szCs w:val="24"/>
          <w:highlight w:val="none"/>
          <w:lang w:val="en-US"/>
        </w:rPr>
        <w:t>本年单位无公务用车购置费支出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szCs w:val="24"/>
          <w:highlight w:val="none"/>
          <w:lang w:val="en-US"/>
        </w:rPr>
        <w:t>本年单位无公务用车运行费支出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0.15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szCs w:val="24"/>
          <w:highlight w:val="none"/>
          <w:lang w:val="en-US"/>
        </w:rPr>
        <w:t>本年单位</w:t>
      </w:r>
      <w:r>
        <w:rPr>
          <w:rFonts w:hint="eastAsia" w:ascii="仿宋_GB2312" w:hAnsi="仿宋_GB2312" w:eastAsia="仿宋_GB2312"/>
          <w:kern w:val="0"/>
          <w:sz w:val="32"/>
          <w:szCs w:val="24"/>
          <w:highlight w:val="none"/>
          <w:lang w:val="en-US" w:eastAsia="zh-CN"/>
        </w:rPr>
        <w:t>没有</w:t>
      </w:r>
      <w:r>
        <w:rPr>
          <w:rFonts w:hint="eastAsia" w:ascii="仿宋_GB2312" w:hAnsi="仿宋_GB2312" w:eastAsia="仿宋_GB2312"/>
          <w:kern w:val="0"/>
          <w:sz w:val="32"/>
          <w:szCs w:val="24"/>
          <w:highlight w:val="none"/>
          <w:lang w:val="en-US"/>
        </w:rPr>
        <w:t>公务接待费支出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乌鲁木齐市水磨沟区幼儿园公用经费</w:t>
      </w:r>
      <w:r>
        <w:rPr>
          <w:rFonts w:hint="eastAsia" w:ascii="仿宋_GB2312" w:eastAsia="仿宋_GB2312"/>
          <w:sz w:val="32"/>
          <w:szCs w:val="32"/>
          <w:highlight w:val="none"/>
          <w:lang w:val="en-US" w:eastAsia="zh-CN"/>
        </w:rPr>
        <w:t>6.33</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474.86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98.68</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：本年取消护校队，故无护校队支出，且本年安保经费在预拨经费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1.51</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1.51</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1.51</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1.51</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1172.98万元，房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幼儿园校车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全年预算数940.93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全年执行数855.03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预算绩效管理取得的成效：一是加强资金管理，严格执行审批程序和报账手续，资金按进度拨付，专款专用。涉及到重大事项 ，需支委会、园务会研究同意后方可开支。同时，财务部门根据批准的支出预算及制度规定，负责审核专项支出的真实性、合法性，对超越审批权限或超过审批范围、内容、支出标准和支出金额的，一律不报账支付。项目资金的管理科学合理、层次清晰、分工明确、覆盖全面。二是按规定编制完整、准确的财务报告，确保项目资金使用情况数据真实、完整。三是强化审核监督。所有项目资金全部实行国库集中支付，自觉接受财政部门的日常性监督。管理工作的公开、透明和制度化为我单位项目资金规范化提供了坚实的保障。发现的问题及原因：一是预算控制率有待提升。除政策性因素以外，由于部分临时、紧急或突发的工作任务导致年中追加预算；二是政府采购执行率有待提升。下一步改进措施：一是细化预算编制工作。进一步加强我单位预算管理意识，严格按照预算编制的相关制度和要求，进一步提高预算编制的科学性、合理性、严谨性和可控性。二是加强财务管理，严格财务审核。三是保障预算执行进度。加快项目实施进度的推进，加强项目开展进度的跟踪，开展项目绩效评价，确保项目绩效目标的完成，发挥资金的使用效益，压减年末结余资金规模，提高预算完成率。四是对相关人员加强培训，特别是针对《预算法》、《政府会计制度》等学习培训，规范部门预算收支核算，切实提高部门预算收支管理水平。</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黑体" w:eastAsia="黑体"/>
          <w:sz w:val="32"/>
          <w:szCs w:val="32"/>
          <w:highlight w:val="none"/>
        </w:rPr>
      </w:pPr>
      <w:bookmarkStart w:id="34" w:name="_Toc24143"/>
      <w:bookmarkStart w:id="35" w:name="_Toc3250"/>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drawing>
          <wp:inline distT="0" distB="0" distL="114300" distR="114300">
            <wp:extent cx="5267960" cy="5093335"/>
            <wp:effectExtent l="0" t="0" r="8890" b="12065"/>
            <wp:docPr id="1" name="图片 1" descr="QQ图片2023072815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728154126"/>
                    <pic:cNvPicPr>
                      <a:picLocks noChangeAspect="1"/>
                    </pic:cNvPicPr>
                  </pic:nvPicPr>
                  <pic:blipFill>
                    <a:blip r:embed="rId5"/>
                    <a:stretch>
                      <a:fillRect/>
                    </a:stretch>
                  </pic:blipFill>
                  <pic:spPr>
                    <a:xfrm>
                      <a:off x="0" y="0"/>
                      <a:ext cx="5267960" cy="50933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drawing>
          <wp:inline distT="0" distB="0" distL="114300" distR="114300">
            <wp:extent cx="5267960" cy="5793105"/>
            <wp:effectExtent l="0" t="0" r="8890" b="17145"/>
            <wp:docPr id="2" name="图片 2" descr="QQ图片2023072815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30728154427"/>
                    <pic:cNvPicPr>
                      <a:picLocks noChangeAspect="1"/>
                    </pic:cNvPicPr>
                  </pic:nvPicPr>
                  <pic:blipFill>
                    <a:blip r:embed="rId6"/>
                    <a:stretch>
                      <a:fillRect/>
                    </a:stretch>
                  </pic:blipFill>
                  <pic:spPr>
                    <a:xfrm>
                      <a:off x="0" y="0"/>
                      <a:ext cx="5267960" cy="5793105"/>
                    </a:xfrm>
                    <a:prstGeom prst="rect">
                      <a:avLst/>
                    </a:prstGeom>
                    <a:noFill/>
                    <a:ln>
                      <a:noFill/>
                    </a:ln>
                  </pic:spPr>
                </pic:pic>
              </a:graphicData>
            </a:graphic>
          </wp:inline>
        </w:drawing>
      </w:r>
    </w:p>
    <w:p>
      <w:pPr>
        <w:bidi w:val="0"/>
        <w:jc w:val="left"/>
        <w:rPr>
          <w:rFonts w:hint="eastAsia" w:ascii="黑体" w:hAnsi="黑体" w:eastAsia="黑体"/>
          <w:sz w:val="32"/>
          <w:szCs w:val="32"/>
          <w:highlight w:val="none"/>
        </w:rPr>
      </w:pPr>
    </w:p>
    <w:p>
      <w:pPr>
        <w:bidi w:val="0"/>
        <w:jc w:val="left"/>
        <w:rPr>
          <w:rFonts w:hint="eastAsia" w:ascii="黑体" w:hAnsi="黑体" w:eastAsia="黑体"/>
          <w:sz w:val="32"/>
          <w:szCs w:val="32"/>
          <w:highlight w:val="none"/>
        </w:rPr>
      </w:pPr>
      <w:r>
        <w:rPr>
          <w:rFonts w:hint="eastAsia" w:ascii="黑体" w:hAnsi="黑体" w:eastAsia="黑体"/>
          <w:sz w:val="32"/>
          <w:szCs w:val="32"/>
          <w:highlight w:val="none"/>
        </w:rPr>
        <w:drawing>
          <wp:inline distT="0" distB="0" distL="114300" distR="114300">
            <wp:extent cx="5267325" cy="4761865"/>
            <wp:effectExtent l="0" t="0" r="9525" b="635"/>
            <wp:docPr id="3" name="图片 3" descr="QQ图片2023072815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30728154708"/>
                    <pic:cNvPicPr>
                      <a:picLocks noChangeAspect="1"/>
                    </pic:cNvPicPr>
                  </pic:nvPicPr>
                  <pic:blipFill>
                    <a:blip r:embed="rId7"/>
                    <a:stretch>
                      <a:fillRect/>
                    </a:stretch>
                  </pic:blipFill>
                  <pic:spPr>
                    <a:xfrm>
                      <a:off x="0" y="0"/>
                      <a:ext cx="5267325" cy="4761865"/>
                    </a:xfrm>
                    <a:prstGeom prst="rect">
                      <a:avLst/>
                    </a:prstGeom>
                    <a:noFill/>
                    <a:ln>
                      <a:noFill/>
                    </a:ln>
                  </pic:spPr>
                </pic:pic>
              </a:graphicData>
            </a:graphic>
          </wp:inline>
        </w:drawing>
      </w:r>
    </w:p>
    <w:p>
      <w:pPr>
        <w:bidi w:val="0"/>
        <w:jc w:val="left"/>
        <w:rPr>
          <w:rFonts w:hint="eastAsia" w:ascii="黑体" w:hAnsi="黑体" w:eastAsia="黑体"/>
          <w:sz w:val="32"/>
          <w:szCs w:val="32"/>
          <w:highlight w:val="none"/>
        </w:rPr>
      </w:pPr>
    </w:p>
    <w:p>
      <w:pPr>
        <w:bidi w:val="0"/>
        <w:jc w:val="left"/>
        <w:rPr>
          <w:rFonts w:hint="eastAsia" w:ascii="黑体" w:hAnsi="黑体" w:eastAsia="黑体"/>
          <w:sz w:val="32"/>
          <w:szCs w:val="32"/>
          <w:highlight w:val="none"/>
        </w:rPr>
      </w:pPr>
      <w:r>
        <w:rPr>
          <w:rFonts w:hint="eastAsia" w:ascii="黑体" w:hAnsi="黑体" w:eastAsia="黑体"/>
          <w:sz w:val="32"/>
          <w:szCs w:val="32"/>
          <w:highlight w:val="none"/>
        </w:rPr>
        <w:drawing>
          <wp:inline distT="0" distB="0" distL="114300" distR="114300">
            <wp:extent cx="5269230" cy="4520565"/>
            <wp:effectExtent l="0" t="0" r="7620" b="13335"/>
            <wp:docPr id="4" name="图片 4" descr="QQ图片2023072815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30728155221"/>
                    <pic:cNvPicPr>
                      <a:picLocks noChangeAspect="1"/>
                    </pic:cNvPicPr>
                  </pic:nvPicPr>
                  <pic:blipFill>
                    <a:blip r:embed="rId8"/>
                    <a:stretch>
                      <a:fillRect/>
                    </a:stretch>
                  </pic:blipFill>
                  <pic:spPr>
                    <a:xfrm>
                      <a:off x="0" y="0"/>
                      <a:ext cx="5269230" cy="4520565"/>
                    </a:xfrm>
                    <a:prstGeom prst="rect">
                      <a:avLst/>
                    </a:prstGeom>
                    <a:noFill/>
                    <a:ln>
                      <a:noFill/>
                    </a:ln>
                  </pic:spPr>
                </pic:pic>
              </a:graphicData>
            </a:graphic>
          </wp:inline>
        </w:drawing>
      </w:r>
    </w:p>
    <w:p>
      <w:pPr>
        <w:bidi w:val="0"/>
        <w:jc w:val="left"/>
        <w:rPr>
          <w:rFonts w:hint="eastAsia" w:ascii="黑体" w:hAnsi="黑体" w:eastAsia="黑体"/>
          <w:sz w:val="32"/>
          <w:szCs w:val="32"/>
          <w:highlight w:val="none"/>
        </w:rPr>
      </w:pPr>
    </w:p>
    <w:p>
      <w:pPr>
        <w:bidi w:val="0"/>
        <w:jc w:val="left"/>
        <w:rPr>
          <w:rFonts w:hint="eastAsia" w:ascii="黑体" w:hAnsi="黑体" w:eastAsia="黑体"/>
          <w:sz w:val="32"/>
          <w:szCs w:val="32"/>
          <w:highlight w:val="none"/>
        </w:rPr>
      </w:pPr>
      <w:r>
        <w:rPr>
          <w:rFonts w:hint="eastAsia" w:ascii="黑体" w:hAnsi="黑体" w:eastAsia="黑体"/>
          <w:sz w:val="32"/>
          <w:szCs w:val="32"/>
          <w:highlight w:val="none"/>
        </w:rPr>
        <w:drawing>
          <wp:inline distT="0" distB="0" distL="114300" distR="114300">
            <wp:extent cx="5273675" cy="4479290"/>
            <wp:effectExtent l="0" t="0" r="3175" b="16510"/>
            <wp:docPr id="5" name="图片 5" descr="QQ图片2023072815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30728155407"/>
                    <pic:cNvPicPr>
                      <a:picLocks noChangeAspect="1"/>
                    </pic:cNvPicPr>
                  </pic:nvPicPr>
                  <pic:blipFill>
                    <a:blip r:embed="rId9"/>
                    <a:stretch>
                      <a:fillRect/>
                    </a:stretch>
                  </pic:blipFill>
                  <pic:spPr>
                    <a:xfrm>
                      <a:off x="0" y="0"/>
                      <a:ext cx="5273675" cy="4479290"/>
                    </a:xfrm>
                    <a:prstGeom prst="rect">
                      <a:avLst/>
                    </a:prstGeom>
                    <a:noFill/>
                    <a:ln>
                      <a:noFill/>
                    </a:ln>
                  </pic:spPr>
                </pic:pic>
              </a:graphicData>
            </a:graphic>
          </wp:inline>
        </w:drawing>
      </w:r>
    </w:p>
    <w:p>
      <w:pPr>
        <w:bidi w:val="0"/>
        <w:rPr>
          <w:rFonts w:hint="eastAsia" w:ascii="黑体" w:hAnsi="黑体" w:eastAsia="黑体"/>
          <w:sz w:val="32"/>
          <w:szCs w:val="32"/>
          <w:highlight w:val="none"/>
        </w:rPr>
      </w:pPr>
    </w:p>
    <w:p>
      <w:pPr>
        <w:bidi w:val="0"/>
        <w:jc w:val="left"/>
        <w:rPr>
          <w:rFonts w:hint="eastAsia" w:ascii="黑体" w:hAnsi="黑体" w:eastAsia="黑体"/>
          <w:sz w:val="32"/>
          <w:szCs w:val="32"/>
          <w:highlight w:val="none"/>
        </w:rPr>
      </w:pPr>
      <w:bookmarkStart w:id="54" w:name="_GoBack"/>
      <w:r>
        <w:rPr>
          <w:rFonts w:hint="eastAsia" w:ascii="黑体" w:hAnsi="黑体" w:eastAsia="黑体"/>
          <w:sz w:val="32"/>
          <w:szCs w:val="32"/>
          <w:highlight w:val="none"/>
        </w:rPr>
        <w:drawing>
          <wp:inline distT="0" distB="0" distL="114300" distR="114300">
            <wp:extent cx="5272405" cy="5318760"/>
            <wp:effectExtent l="0" t="0" r="4445" b="15240"/>
            <wp:docPr id="6" name="图片 6" descr="QQ图片20230728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30728155635"/>
                    <pic:cNvPicPr>
                      <a:picLocks noChangeAspect="1"/>
                    </pic:cNvPicPr>
                  </pic:nvPicPr>
                  <pic:blipFill>
                    <a:blip r:embed="rId10"/>
                    <a:stretch>
                      <a:fillRect/>
                    </a:stretch>
                  </pic:blipFill>
                  <pic:spPr>
                    <a:xfrm>
                      <a:off x="0" y="0"/>
                      <a:ext cx="5272405" cy="5318760"/>
                    </a:xfrm>
                    <a:prstGeom prst="rect">
                      <a:avLst/>
                    </a:prstGeom>
                    <a:noFill/>
                    <a:ln>
                      <a:noFill/>
                    </a:ln>
                  </pic:spPr>
                </pic:pic>
              </a:graphicData>
            </a:graphic>
          </wp:inline>
        </w:drawing>
      </w:r>
      <w:bookmarkEnd w:id="54"/>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_GBK">
    <w:altName w:val="汉仪书宋二KW"/>
    <w:panose1 w:val="03000509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DCwFnA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TVhNmMyMzY0NmM4M2YxMTUwOTEzM2FmMjljNjEifQ=="/>
  </w:docVars>
  <w:rsids>
    <w:rsidRoot w:val="00000000"/>
    <w:rsid w:val="013B33FF"/>
    <w:rsid w:val="01C93F59"/>
    <w:rsid w:val="021134BC"/>
    <w:rsid w:val="0222247E"/>
    <w:rsid w:val="02F73D26"/>
    <w:rsid w:val="034D4FEF"/>
    <w:rsid w:val="043E5B56"/>
    <w:rsid w:val="06792773"/>
    <w:rsid w:val="0A7B4867"/>
    <w:rsid w:val="0B8C3ECC"/>
    <w:rsid w:val="0C6064B2"/>
    <w:rsid w:val="0C7227A7"/>
    <w:rsid w:val="10F24FE2"/>
    <w:rsid w:val="114E06C3"/>
    <w:rsid w:val="15D84ADA"/>
    <w:rsid w:val="197D38C3"/>
    <w:rsid w:val="1ABE1BBC"/>
    <w:rsid w:val="1AE8269A"/>
    <w:rsid w:val="1B3C0D97"/>
    <w:rsid w:val="1DAF458D"/>
    <w:rsid w:val="1E545CE6"/>
    <w:rsid w:val="1FB900A0"/>
    <w:rsid w:val="2003289A"/>
    <w:rsid w:val="20DD6197"/>
    <w:rsid w:val="23BC04D2"/>
    <w:rsid w:val="23D74B92"/>
    <w:rsid w:val="2466699A"/>
    <w:rsid w:val="27CF2642"/>
    <w:rsid w:val="29693E94"/>
    <w:rsid w:val="2A053397"/>
    <w:rsid w:val="2C7F3B71"/>
    <w:rsid w:val="2CC217A5"/>
    <w:rsid w:val="2D1136DF"/>
    <w:rsid w:val="2FA1311B"/>
    <w:rsid w:val="2FD27414"/>
    <w:rsid w:val="31C63837"/>
    <w:rsid w:val="33B95DE0"/>
    <w:rsid w:val="33BE760C"/>
    <w:rsid w:val="3914510A"/>
    <w:rsid w:val="39C00FA5"/>
    <w:rsid w:val="3BE21EAB"/>
    <w:rsid w:val="3C5D5C10"/>
    <w:rsid w:val="3D5275AC"/>
    <w:rsid w:val="3DE24A80"/>
    <w:rsid w:val="40834692"/>
    <w:rsid w:val="42072EE9"/>
    <w:rsid w:val="42D9273F"/>
    <w:rsid w:val="442C420E"/>
    <w:rsid w:val="45134932"/>
    <w:rsid w:val="46901EEE"/>
    <w:rsid w:val="469C74D2"/>
    <w:rsid w:val="4B193E22"/>
    <w:rsid w:val="4B4C0111"/>
    <w:rsid w:val="4D996FB7"/>
    <w:rsid w:val="4E834EF3"/>
    <w:rsid w:val="50DB5F45"/>
    <w:rsid w:val="52F92565"/>
    <w:rsid w:val="55FF1299"/>
    <w:rsid w:val="583059FA"/>
    <w:rsid w:val="58F509F1"/>
    <w:rsid w:val="598A1C85"/>
    <w:rsid w:val="5FA17648"/>
    <w:rsid w:val="61A46A97"/>
    <w:rsid w:val="620C5A67"/>
    <w:rsid w:val="62DD7D21"/>
    <w:rsid w:val="63D4748A"/>
    <w:rsid w:val="65D97752"/>
    <w:rsid w:val="664B4CAB"/>
    <w:rsid w:val="675706AB"/>
    <w:rsid w:val="68DB0208"/>
    <w:rsid w:val="69846A0E"/>
    <w:rsid w:val="69AD798C"/>
    <w:rsid w:val="69DA5A83"/>
    <w:rsid w:val="6A1769DF"/>
    <w:rsid w:val="6ABC4DCC"/>
    <w:rsid w:val="6B3E2873"/>
    <w:rsid w:val="6B68175F"/>
    <w:rsid w:val="6E0F7A08"/>
    <w:rsid w:val="6EEB3366"/>
    <w:rsid w:val="71473612"/>
    <w:rsid w:val="718F7F65"/>
    <w:rsid w:val="73FB6630"/>
    <w:rsid w:val="74E76DCD"/>
    <w:rsid w:val="75084583"/>
    <w:rsid w:val="77ED6F44"/>
    <w:rsid w:val="78497EA0"/>
    <w:rsid w:val="78612D7D"/>
    <w:rsid w:val="7A8C2B0C"/>
    <w:rsid w:val="7D2F7E0B"/>
    <w:rsid w:val="7EFF40F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5252</Words>
  <Characters>5622</Characters>
  <Lines>0</Lines>
  <Paragraphs>0</Paragraphs>
  <TotalTime>0</TotalTime>
  <ScaleCrop>false</ScaleCrop>
  <LinksUpToDate>false</LinksUpToDate>
  <CharactersWithSpaces>5633</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GXR</dc:creator>
  <cp:lastModifiedBy>故事</cp:lastModifiedBy>
  <dcterms:modified xsi:type="dcterms:W3CDTF">2024-02-07T18:36:37Z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FBCE0C06156F4CFB9048D55237BA23EF</vt:lpwstr>
  </property>
</Properties>
</file>