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乌鲁木齐市第五十三小学2022</w:t>
      </w:r>
      <w:r>
        <w:rPr>
          <w:rFonts w:hint="eastAsia" w:ascii="方正小标宋_GBK" w:hAnsi="宋体" w:eastAsia="方正小标宋_GBK"/>
          <w:sz w:val="44"/>
          <w:szCs w:val="44"/>
          <w:highlight w:val="none"/>
        </w:rPr>
        <w:t>年度</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24028"/>
      <w:bookmarkStart w:id="1" w:name="_Toc32314"/>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kern w:val="0"/>
          <w:sz w:val="32"/>
          <w:highlight w:val="none"/>
          <w:lang w:val="en-US"/>
        </w:rPr>
      </w:pPr>
      <w:bookmarkStart w:id="4" w:name="_Toc31238"/>
      <w:bookmarkStart w:id="5" w:name="_Toc2151"/>
      <w:r>
        <w:rPr>
          <w:rFonts w:hint="eastAsia" w:ascii="仿宋_GB2312" w:hAnsi="仿宋_GB2312" w:eastAsia="仿宋_GB2312"/>
          <w:kern w:val="0"/>
          <w:sz w:val="32"/>
          <w:highlight w:val="none"/>
          <w:shd w:val="clear"/>
          <w:lang w:val="en-US" w:eastAsia="zh-CN"/>
        </w:rPr>
        <w:t>乌鲁木齐市第五十三小学</w:t>
      </w:r>
      <w:r>
        <w:rPr>
          <w:rFonts w:hint="eastAsia" w:ascii="仿宋_GB2312" w:hAnsi="仿宋_GB2312" w:eastAsia="仿宋_GB2312"/>
          <w:kern w:val="0"/>
          <w:sz w:val="32"/>
          <w:highlight w:val="none"/>
          <w:shd w:val="clear"/>
          <w:lang w:val="en-US"/>
        </w:rPr>
        <w:t>系</w:t>
      </w:r>
      <w:r>
        <w:rPr>
          <w:rFonts w:hint="eastAsia" w:ascii="仿宋_GB2312" w:hAnsi="仿宋_GB2312" w:eastAsia="仿宋_GB2312"/>
          <w:kern w:val="0"/>
          <w:sz w:val="32"/>
          <w:highlight w:val="none"/>
          <w:lang w:val="en-US"/>
        </w:rPr>
        <w:t>水磨沟区区属小学，属于全额拨款事业单位。在校学生数11</w:t>
      </w:r>
      <w:r>
        <w:rPr>
          <w:rFonts w:hint="default" w:ascii="仿宋_GB2312" w:hAnsi="仿宋_GB2312" w:eastAsia="仿宋_GB2312"/>
          <w:kern w:val="0"/>
          <w:sz w:val="32"/>
          <w:highlight w:val="none"/>
          <w:lang w:val="en-US"/>
        </w:rPr>
        <w:t>45</w:t>
      </w:r>
      <w:r>
        <w:rPr>
          <w:rFonts w:hint="eastAsia" w:ascii="仿宋_GB2312" w:hAnsi="仿宋_GB2312" w:eastAsia="仿宋_GB2312"/>
          <w:kern w:val="0"/>
          <w:sz w:val="32"/>
          <w:highlight w:val="none"/>
          <w:lang w:val="en-US"/>
        </w:rPr>
        <w:t>人，主要职能是实施小学义务教育，促进基础教育发展,小学学历教育。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kern w:val="0"/>
          <w:sz w:val="32"/>
          <w:highlight w:val="none"/>
          <w:lang w:val="en-US"/>
        </w:rPr>
      </w:pPr>
      <w:r>
        <w:rPr>
          <w:rFonts w:hint="eastAsia" w:ascii="仿宋_GB2312" w:hAnsi="仿宋_GB2312" w:eastAsia="仿宋_GB2312"/>
          <w:kern w:val="0"/>
          <w:sz w:val="32"/>
          <w:highlight w:val="none"/>
          <w:lang w:val="en-US"/>
        </w:rPr>
        <w:t>负责科学管理、合理使用学校的设施和经费。负责维护学校、师生的合法权益。依法接受各级教育行政部门的检查指导和人民群众的监督。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kern w:val="0"/>
          <w:sz w:val="32"/>
          <w:highlight w:val="none"/>
          <w:lang w:val="en-US"/>
        </w:rPr>
      </w:pPr>
      <w:r>
        <w:rPr>
          <w:rFonts w:hint="eastAsia" w:ascii="仿宋_GB2312" w:hAnsi="仿宋_GB2312" w:eastAsia="仿宋_GB2312"/>
          <w:kern w:val="0"/>
          <w:sz w:val="32"/>
          <w:highlight w:val="none"/>
          <w:lang w:val="en-US"/>
        </w:rPr>
        <w:t>负责贯彻党的教育方针，坚持社会主义办学方向，对学生进行德育、智育、体育、美育和劳动教育等方面的教育。负责配合各级人民政府依法动员适龄儿童、少年入学，依法保证适龄儿童、少年接受九年义务教育。</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kern w:val="0"/>
          <w:sz w:val="32"/>
          <w:highlight w:val="none"/>
          <w:lang w:val="en-US"/>
        </w:rPr>
      </w:pPr>
      <w:r>
        <w:rPr>
          <w:rFonts w:hint="eastAsia" w:ascii="仿宋_GB2312" w:hAnsi="仿宋_GB2312" w:eastAsia="仿宋_GB2312"/>
          <w:kern w:val="0"/>
          <w:sz w:val="32"/>
          <w:highlight w:val="none"/>
          <w:lang w:val="en-US"/>
        </w:rPr>
        <w:t>负责制定学校教育发展规划，并抓好组织实施和落实工作。负责按照教育主管部门发布的指导性教学计划、教学大纲，组织实施教育教学活动。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kern w:val="0"/>
          <w:sz w:val="32"/>
          <w:highlight w:val="none"/>
          <w:lang w:val="en-US"/>
        </w:rPr>
      </w:pPr>
      <w:r>
        <w:rPr>
          <w:rFonts w:hint="eastAsia" w:ascii="仿宋_GB2312" w:hAnsi="仿宋_GB2312" w:eastAsia="仿宋_GB2312"/>
          <w:kern w:val="0"/>
          <w:sz w:val="32"/>
          <w:highlight w:val="none"/>
          <w:lang w:val="en-US"/>
        </w:rPr>
        <w:t>负责依据国家主管部门有关教学计划、课程设置等方面的规定，决定和实施本校的教学计划，组织教学评比、集体备课，对学生进行统一考核、考试等。负责学籍管理。负责聘任、培训、考核教师，依法奖励或处分有关教师和职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yellow"/>
          <w:lang w:val="en-US" w:eastAsia="zh-CN"/>
        </w:rPr>
      </w:pPr>
      <w:r>
        <w:rPr>
          <w:rFonts w:hint="eastAsia" w:ascii="仿宋_GB2312" w:hAnsi="仿宋_GB2312" w:eastAsia="仿宋_GB2312"/>
          <w:kern w:val="0"/>
          <w:sz w:val="32"/>
          <w:highlight w:val="none"/>
          <w:lang w:val="en-US"/>
        </w:rPr>
        <w:t>乌鲁木齐市第五十三小学202</w:t>
      </w:r>
      <w:r>
        <w:rPr>
          <w:rFonts w:hint="default" w:ascii="仿宋_GB2312" w:hAnsi="仿宋_GB2312" w:eastAsia="仿宋_GB2312"/>
          <w:kern w:val="0"/>
          <w:sz w:val="32"/>
          <w:highlight w:val="none"/>
          <w:lang w:val="en-US"/>
        </w:rPr>
        <w:t>2</w:t>
      </w:r>
      <w:r>
        <w:rPr>
          <w:rFonts w:hint="eastAsia" w:ascii="仿宋_GB2312" w:hAnsi="仿宋_GB2312" w:eastAsia="仿宋_GB2312"/>
          <w:kern w:val="0"/>
          <w:sz w:val="32"/>
          <w:highlight w:val="none"/>
          <w:lang w:val="en-US"/>
        </w:rPr>
        <w:t>年度，实有人数</w:t>
      </w:r>
      <w:r>
        <w:rPr>
          <w:rFonts w:hint="eastAsia" w:ascii="仿宋_GB2312" w:hAnsi="仿宋_GB2312" w:eastAsia="仿宋_GB2312"/>
          <w:kern w:val="0"/>
          <w:sz w:val="32"/>
          <w:highlight w:val="none"/>
          <w:lang w:val="en-US" w:eastAsia="zh-CN"/>
        </w:rPr>
        <w:t>92</w:t>
      </w:r>
      <w:r>
        <w:rPr>
          <w:rFonts w:hint="eastAsia" w:ascii="仿宋_GB2312" w:hAnsi="仿宋_GB2312" w:eastAsia="仿宋_GB2312"/>
          <w:kern w:val="0"/>
          <w:sz w:val="32"/>
          <w:highlight w:val="none"/>
          <w:lang w:val="en-US"/>
        </w:rPr>
        <w:t>人，其中：在职人员</w:t>
      </w:r>
      <w:r>
        <w:rPr>
          <w:rFonts w:hint="default" w:ascii="仿宋_GB2312" w:hAnsi="仿宋_GB2312" w:eastAsia="仿宋_GB2312"/>
          <w:kern w:val="0"/>
          <w:sz w:val="32"/>
          <w:highlight w:val="none"/>
          <w:lang w:val="en-US"/>
        </w:rPr>
        <w:t>6</w:t>
      </w:r>
      <w:r>
        <w:rPr>
          <w:rFonts w:hint="eastAsia" w:ascii="仿宋_GB2312" w:hAnsi="仿宋_GB2312" w:eastAsia="仿宋_GB2312"/>
          <w:kern w:val="0"/>
          <w:sz w:val="32"/>
          <w:highlight w:val="none"/>
          <w:lang w:val="en-US" w:eastAsia="zh-CN"/>
        </w:rPr>
        <w:t>6</w:t>
      </w:r>
      <w:r>
        <w:rPr>
          <w:rFonts w:hint="eastAsia" w:ascii="仿宋_GB2312" w:hAnsi="仿宋_GB2312" w:eastAsia="仿宋_GB2312"/>
          <w:kern w:val="0"/>
          <w:sz w:val="32"/>
          <w:highlight w:val="none"/>
          <w:lang w:val="en-US"/>
        </w:rPr>
        <w:t>人，离休人员0人，退休人员2</w:t>
      </w:r>
      <w:r>
        <w:rPr>
          <w:rFonts w:hint="eastAsia" w:ascii="仿宋_GB2312" w:hAnsi="仿宋_GB2312" w:eastAsia="仿宋_GB2312"/>
          <w:kern w:val="0"/>
          <w:sz w:val="32"/>
          <w:highlight w:val="none"/>
          <w:lang w:val="en-US" w:eastAsia="zh-CN"/>
        </w:rPr>
        <w:t>6</w:t>
      </w:r>
      <w:r>
        <w:rPr>
          <w:rFonts w:hint="eastAsia" w:ascii="仿宋_GB2312" w:hAnsi="仿宋_GB2312" w:eastAsia="仿宋_GB2312"/>
          <w:kern w:val="0"/>
          <w:sz w:val="32"/>
          <w:highlight w:val="none"/>
          <w:lang w:val="en-US"/>
        </w:rPr>
        <w:t>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黑体" w:hAnsi="黑体" w:eastAsia="黑体"/>
          <w:sz w:val="32"/>
          <w:szCs w:val="32"/>
          <w:highlight w:val="none"/>
        </w:rPr>
      </w:pPr>
      <w:r>
        <w:rPr>
          <w:rFonts w:hint="eastAsia" w:ascii="仿宋_GB2312" w:hAnsi="仿宋_GB2312" w:eastAsia="仿宋_GB2312"/>
          <w:kern w:val="0"/>
          <w:sz w:val="32"/>
          <w:highlight w:val="none"/>
          <w:lang w:val="en-US"/>
        </w:rPr>
        <w:t>从部门决算单位构成看，乌鲁木齐市第五十三小学部门决算包括：乌鲁木齐市第五十三小学</w:t>
      </w:r>
      <w:r>
        <w:rPr>
          <w:rFonts w:hint="eastAsia" w:ascii="仿宋_GB2312" w:hAnsi="仿宋_GB2312" w:eastAsia="仿宋_GB2312"/>
          <w:kern w:val="0"/>
          <w:sz w:val="32"/>
          <w:highlight w:val="none"/>
          <w:lang w:val="zh-CN"/>
        </w:rPr>
        <w:t>决算。单位无下属预算单位，下设</w:t>
      </w:r>
      <w:r>
        <w:rPr>
          <w:rFonts w:hint="eastAsia" w:ascii="仿宋_GB2312" w:hAnsi="仿宋_GB2312" w:eastAsia="仿宋_GB2312"/>
          <w:kern w:val="0"/>
          <w:sz w:val="32"/>
          <w:highlight w:val="none"/>
          <w:lang w:val="en-US" w:eastAsia="zh-CN"/>
        </w:rPr>
        <w:t>12</w:t>
      </w:r>
      <w:r>
        <w:rPr>
          <w:rFonts w:hint="eastAsia" w:ascii="仿宋_GB2312" w:hAnsi="仿宋_GB2312" w:eastAsia="仿宋_GB2312"/>
          <w:kern w:val="0"/>
          <w:sz w:val="32"/>
          <w:highlight w:val="none"/>
          <w:lang w:val="zh-CN"/>
        </w:rPr>
        <w:t>个科室，分别是：</w:t>
      </w:r>
      <w:r>
        <w:rPr>
          <w:rFonts w:hint="eastAsia" w:ascii="仿宋_GB2312" w:hAnsi="仿宋_GB2312" w:eastAsia="仿宋_GB2312"/>
          <w:kern w:val="0"/>
          <w:sz w:val="32"/>
          <w:highlight w:val="none"/>
          <w:lang w:val="en-US"/>
        </w:rPr>
        <w:t>书记室、校长室、副校长办公室、行政办公室、教导处、教科研室、财务室、档案室、保卫科办公室、保健室、大队部、德育处</w:t>
      </w:r>
      <w:r>
        <w:rPr>
          <w:rFonts w:hint="eastAsia" w:ascii="仿宋_GB2312" w:hAnsi="仿宋_GB2312" w:eastAsia="仿宋_GB2312"/>
          <w:kern w:val="0"/>
          <w:sz w:val="32"/>
          <w:highlight w:val="none"/>
          <w:lang w:val="zh-CN"/>
        </w:rPr>
        <w:t>。</w:t>
      </w:r>
      <w:bookmarkStart w:id="6" w:name="_Toc29374"/>
      <w:bookmarkStart w:id="7" w:name="_Toc309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shd w:val="clear"/>
          <w:lang w:eastAsia="zh-CN"/>
        </w:rPr>
      </w:pPr>
      <w:r>
        <w:rPr>
          <w:rFonts w:hint="default" w:ascii="仿宋_GB2312" w:eastAsia="仿宋_GB2312"/>
          <w:spacing w:val="0"/>
          <w:sz w:val="32"/>
          <w:szCs w:val="32"/>
          <w:highlight w:val="none"/>
          <w:lang w:val="en-US"/>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default" w:ascii="仿宋_GB2312" w:eastAsia="仿宋_GB2312"/>
          <w:sz w:val="32"/>
          <w:szCs w:val="32"/>
          <w:highlight w:val="none"/>
          <w:lang w:val="en-US"/>
        </w:rPr>
        <w:t>1381.26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w:t>
      </w:r>
      <w:r>
        <w:rPr>
          <w:rFonts w:hint="default" w:ascii="仿宋_GB2312" w:eastAsia="仿宋_GB2312"/>
          <w:sz w:val="32"/>
          <w:szCs w:val="32"/>
          <w:highlight w:val="none"/>
          <w:lang w:val="en-US"/>
        </w:rPr>
        <w:t>1236.19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default"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rPr>
        <w:t>145.07万元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减少133.11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减少8.79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shd w:val="clear"/>
          <w:lang w:val="en-US" w:eastAsia="zh-CN"/>
        </w:rPr>
        <w:t>2022年未安排食堂操作间改造经费等项目支出，收入减少</w:t>
      </w:r>
      <w:r>
        <w:rPr>
          <w:rFonts w:hint="eastAsia" w:ascii="仿宋_GB2312" w:eastAsia="仿宋_GB2312"/>
          <w:sz w:val="32"/>
          <w:szCs w:val="32"/>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shd w:val="clear"/>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default" w:ascii="仿宋_GB2312" w:eastAsia="仿宋_GB2312"/>
          <w:sz w:val="32"/>
          <w:szCs w:val="32"/>
          <w:highlight w:val="none"/>
          <w:lang w:val="en-US"/>
        </w:rPr>
        <w:t>1381.26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rPr>
        <w:t>1281.51万元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rPr>
        <w:t>99.75万元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减少133.11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减少8.79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shd w:val="clear"/>
          <w:lang w:val="en-US" w:eastAsia="zh-CN"/>
        </w:rPr>
        <w:t>2022年未安排食堂操作间改造经费等项目支出，支出减少</w:t>
      </w:r>
      <w:r>
        <w:rPr>
          <w:rFonts w:hint="eastAsia" w:ascii="仿宋_GB2312" w:eastAsia="仿宋_GB2312"/>
          <w:sz w:val="32"/>
          <w:szCs w:val="32"/>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default" w:ascii="仿宋_GB2312" w:eastAsia="仿宋_GB2312"/>
          <w:sz w:val="32"/>
          <w:szCs w:val="32"/>
          <w:highlight w:val="none"/>
          <w:lang w:val="en-US"/>
        </w:rPr>
        <w:t>1236.19</w:t>
      </w:r>
      <w:r>
        <w:rPr>
          <w:rFonts w:hint="eastAsia" w:ascii="仿宋_GB2312" w:eastAsia="仿宋_GB2312"/>
          <w:sz w:val="32"/>
          <w:szCs w:val="32"/>
          <w:highlight w:val="none"/>
        </w:rPr>
        <w:t>万元，其中：财政拨款收入</w:t>
      </w:r>
      <w:r>
        <w:rPr>
          <w:rFonts w:hint="default" w:ascii="仿宋_GB2312" w:eastAsia="仿宋_GB2312"/>
          <w:sz w:val="32"/>
          <w:szCs w:val="32"/>
          <w:highlight w:val="none"/>
          <w:lang w:val="en-US"/>
        </w:rPr>
        <w:t>123</w:t>
      </w:r>
      <w:r>
        <w:rPr>
          <w:rFonts w:hint="eastAsia" w:ascii="仿宋_GB2312" w:eastAsia="仿宋_GB2312"/>
          <w:sz w:val="32"/>
          <w:szCs w:val="32"/>
          <w:highlight w:val="none"/>
          <w:lang w:val="en-US" w:eastAsia="zh-CN"/>
        </w:rPr>
        <w:t>5.8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99.97</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0.38</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0.03</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13201"/>
      <w:bookmarkStart w:id="13" w:name="_Toc2796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本年支出1281.51万元，其中：基本支出1218.44万元，占</w:t>
      </w:r>
      <w:r>
        <w:rPr>
          <w:rFonts w:hint="eastAsia" w:ascii="仿宋_GB2312" w:eastAsia="仿宋_GB2312"/>
          <w:sz w:val="32"/>
          <w:szCs w:val="32"/>
          <w:highlight w:val="none"/>
          <w:lang w:val="en-US" w:eastAsia="zh-CN"/>
        </w:rPr>
        <w:t>95.08</w:t>
      </w:r>
      <w:r>
        <w:rPr>
          <w:rFonts w:hint="eastAsia" w:ascii="仿宋_GB2312" w:eastAsia="仿宋_GB2312"/>
          <w:sz w:val="32"/>
          <w:szCs w:val="32"/>
          <w:highlight w:val="none"/>
        </w:rPr>
        <w:t>%；项目支出63.06万元，占</w:t>
      </w:r>
      <w:r>
        <w:rPr>
          <w:rFonts w:hint="eastAsia" w:ascii="仿宋_GB2312" w:eastAsia="仿宋_GB2312"/>
          <w:sz w:val="32"/>
          <w:szCs w:val="32"/>
          <w:highlight w:val="none"/>
          <w:lang w:val="en-US" w:eastAsia="zh-CN"/>
        </w:rPr>
        <w:t>4.92</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shd w:val="clear"/>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shd w:val="clear"/>
          <w:lang w:val="en-US" w:eastAsia="zh-CN"/>
        </w:rPr>
        <w:t>1334.02</w:t>
      </w:r>
      <w:r>
        <w:rPr>
          <w:rFonts w:hint="eastAsia" w:ascii="仿宋_GB2312" w:eastAsia="仿宋_GB2312"/>
          <w:sz w:val="32"/>
          <w:szCs w:val="32"/>
          <w:highlight w:val="none"/>
          <w:shd w:val="clear"/>
        </w:rPr>
        <w:t>万元，</w:t>
      </w:r>
      <w:r>
        <w:rPr>
          <w:rFonts w:hint="eastAsia" w:ascii="仿宋_GB2312" w:eastAsia="仿宋_GB2312"/>
          <w:sz w:val="32"/>
          <w:szCs w:val="32"/>
          <w:highlight w:val="none"/>
          <w:shd w:val="clear"/>
          <w:lang w:val="en-US" w:eastAsia="zh-CN"/>
        </w:rPr>
        <w:t>其中：年初财政拨款结转和结余</w:t>
      </w:r>
      <w:r>
        <w:rPr>
          <w:rFonts w:hint="eastAsia" w:ascii="仿宋_GB2312" w:eastAsia="仿宋_GB2312"/>
          <w:sz w:val="32"/>
          <w:szCs w:val="32"/>
          <w:highlight w:val="none"/>
          <w:shd w:val="clear"/>
        </w:rPr>
        <w:t>98.22万元</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lang w:val="en-US" w:eastAsia="zh-CN"/>
        </w:rPr>
        <w:t>财政拨款本年收入</w:t>
      </w:r>
      <w:r>
        <w:rPr>
          <w:rFonts w:hint="eastAsia" w:ascii="仿宋_GB2312" w:eastAsia="仿宋_GB2312"/>
          <w:sz w:val="32"/>
          <w:szCs w:val="32"/>
          <w:highlight w:val="none"/>
          <w:shd w:val="clear"/>
        </w:rPr>
        <w:t>1235.8</w:t>
      </w:r>
      <w:r>
        <w:rPr>
          <w:rFonts w:hint="eastAsia" w:ascii="仿宋_GB2312" w:eastAsia="仿宋_GB2312"/>
          <w:sz w:val="32"/>
          <w:szCs w:val="32"/>
          <w:highlight w:val="none"/>
          <w:shd w:val="clear"/>
          <w:lang w:val="en-US" w:eastAsia="zh-CN"/>
        </w:rPr>
        <w:t>0</w:t>
      </w:r>
      <w:r>
        <w:rPr>
          <w:rFonts w:hint="eastAsia" w:ascii="仿宋_GB2312" w:eastAsia="仿宋_GB2312"/>
          <w:sz w:val="32"/>
          <w:szCs w:val="32"/>
          <w:highlight w:val="none"/>
          <w:shd w:val="clear"/>
        </w:rPr>
        <w:t>万元</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财政拨款收入</w:t>
      </w:r>
      <w:r>
        <w:rPr>
          <w:rFonts w:hint="eastAsia" w:ascii="仿宋_GB2312" w:eastAsia="仿宋_GB2312"/>
          <w:sz w:val="32"/>
          <w:szCs w:val="32"/>
          <w:highlight w:val="none"/>
          <w:shd w:val="clear"/>
          <w:lang w:val="en-US" w:eastAsia="zh-CN"/>
        </w:rPr>
        <w:t>总计</w:t>
      </w:r>
      <w:r>
        <w:rPr>
          <w:rFonts w:hint="eastAsia" w:ascii="仿宋_GB2312" w:eastAsia="仿宋_GB2312"/>
          <w:sz w:val="32"/>
          <w:szCs w:val="32"/>
          <w:highlight w:val="none"/>
          <w:shd w:val="clear"/>
        </w:rPr>
        <w:t>与上年相比，</w:t>
      </w:r>
      <w:r>
        <w:rPr>
          <w:rFonts w:hint="eastAsia" w:ascii="仿宋_GB2312" w:eastAsia="仿宋_GB2312"/>
          <w:sz w:val="32"/>
          <w:szCs w:val="32"/>
          <w:highlight w:val="none"/>
          <w:shd w:val="clear"/>
          <w:lang w:val="en-US" w:eastAsia="zh-CN"/>
        </w:rPr>
        <w:t>减少79.15</w:t>
      </w:r>
      <w:r>
        <w:rPr>
          <w:rFonts w:hint="eastAsia" w:ascii="仿宋_GB2312" w:eastAsia="仿宋_GB2312"/>
          <w:sz w:val="32"/>
          <w:szCs w:val="32"/>
          <w:highlight w:val="none"/>
          <w:shd w:val="clear"/>
        </w:rPr>
        <w:t>万元，</w:t>
      </w:r>
      <w:r>
        <w:rPr>
          <w:rFonts w:hint="eastAsia" w:ascii="仿宋_GB2312" w:eastAsia="仿宋_GB2312"/>
          <w:sz w:val="32"/>
          <w:szCs w:val="32"/>
          <w:highlight w:val="none"/>
          <w:shd w:val="clear"/>
          <w:lang w:val="en-US" w:eastAsia="zh-CN"/>
        </w:rPr>
        <w:t>减</w:t>
      </w:r>
      <w:r>
        <w:rPr>
          <w:rFonts w:hint="eastAsia" w:ascii="仿宋_GB2312" w:eastAsia="仿宋_GB2312"/>
          <w:sz w:val="32"/>
          <w:szCs w:val="32"/>
          <w:highlight w:val="none"/>
          <w:lang w:val="en-US" w:eastAsia="zh-CN"/>
        </w:rPr>
        <w:t>少5.6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shd w:val="clear"/>
          <w:lang w:eastAsia="zh-CN"/>
        </w:rPr>
        <w:t>主要原因是</w:t>
      </w:r>
      <w:r>
        <w:rPr>
          <w:rFonts w:hint="eastAsia" w:ascii="仿宋_GB2312" w:eastAsia="仿宋_GB2312"/>
          <w:sz w:val="32"/>
          <w:szCs w:val="32"/>
          <w:highlight w:val="none"/>
          <w:shd w:val="clear"/>
        </w:rPr>
        <w:t>：</w:t>
      </w:r>
      <w:r>
        <w:rPr>
          <w:rFonts w:hint="eastAsia" w:ascii="仿宋_GB2312" w:eastAsia="仿宋_GB2312"/>
          <w:sz w:val="32"/>
          <w:szCs w:val="32"/>
          <w:highlight w:val="none"/>
          <w:shd w:val="clear"/>
          <w:lang w:val="en-US" w:eastAsia="zh-CN"/>
        </w:rPr>
        <w:t>2022年食堂操作间改造经费、立伟天街顶部漏水修复经费未安排项目支出，收入减少</w:t>
      </w:r>
      <w:r>
        <w:rPr>
          <w:rFonts w:hint="eastAsia" w:ascii="仿宋_GB2312" w:eastAsia="仿宋_GB2312"/>
          <w:sz w:val="32"/>
          <w:szCs w:val="32"/>
          <w:highlight w:val="none"/>
          <w:shd w:val="clear"/>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1334.03万元，</w:t>
      </w:r>
      <w:r>
        <w:rPr>
          <w:rFonts w:hint="eastAsia" w:ascii="仿宋_GB2312" w:eastAsia="仿宋_GB2312"/>
          <w:sz w:val="32"/>
          <w:szCs w:val="32"/>
          <w:highlight w:val="none"/>
          <w:lang w:val="en-US" w:eastAsia="zh-CN"/>
        </w:rPr>
        <w:t>其中：年末财政拨款结转和结余</w:t>
      </w:r>
      <w:r>
        <w:rPr>
          <w:rFonts w:hint="eastAsia" w:ascii="仿宋_GB2312" w:eastAsia="仿宋_GB2312"/>
          <w:sz w:val="32"/>
          <w:szCs w:val="32"/>
          <w:highlight w:val="none"/>
        </w:rPr>
        <w:t>54.37万元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w:t>
      </w:r>
      <w:r>
        <w:rPr>
          <w:rFonts w:hint="eastAsia" w:ascii="仿宋_GB2312" w:eastAsia="仿宋_GB2312"/>
          <w:sz w:val="32"/>
          <w:szCs w:val="32"/>
          <w:highlight w:val="none"/>
        </w:rPr>
        <w:t>1279.66万元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val="en-US" w:eastAsia="zh-CN"/>
        </w:rPr>
        <w:t>减少79.15</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减少5.6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r>
        <w:rPr>
          <w:rFonts w:hint="eastAsia" w:ascii="仿宋_GB2312" w:eastAsia="仿宋_GB2312"/>
          <w:sz w:val="32"/>
          <w:szCs w:val="32"/>
          <w:highlight w:val="none"/>
          <w:shd w:val="clear"/>
          <w:lang w:eastAsia="zh-CN"/>
        </w:rPr>
        <w:t>主要原因是</w:t>
      </w:r>
      <w:r>
        <w:rPr>
          <w:rFonts w:hint="eastAsia" w:ascii="仿宋_GB2312" w:eastAsia="仿宋_GB2312"/>
          <w:sz w:val="32"/>
          <w:szCs w:val="32"/>
          <w:highlight w:val="none"/>
          <w:shd w:val="clear"/>
        </w:rPr>
        <w:t>：</w:t>
      </w:r>
      <w:r>
        <w:rPr>
          <w:rFonts w:hint="eastAsia" w:ascii="仿宋_GB2312" w:eastAsia="仿宋_GB2312"/>
          <w:sz w:val="32"/>
          <w:szCs w:val="32"/>
          <w:highlight w:val="none"/>
          <w:shd w:val="clear"/>
          <w:lang w:val="en-US" w:eastAsia="zh-CN"/>
        </w:rPr>
        <w:t>2022年食堂操作间改造经费、立伟天街顶部漏水修复经费未安排项目支出，支出减少</w:t>
      </w:r>
      <w:r>
        <w:rPr>
          <w:rFonts w:hint="eastAsia" w:ascii="仿宋_GB2312" w:eastAsia="仿宋_GB2312"/>
          <w:sz w:val="32"/>
          <w:szCs w:val="32"/>
          <w:highlight w:val="none"/>
          <w:shd w:val="clear"/>
        </w:rPr>
        <w:t>。</w:t>
      </w:r>
    </w:p>
    <w:p>
      <w:pPr>
        <w:keepNext w:val="0"/>
        <w:keepLines w:val="0"/>
        <w:pageBreakBefore w:val="0"/>
        <w:widowControl w:val="0"/>
        <w:shd w:val="clea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shd w:val="clear"/>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1,221.43万元，决算数</w:t>
      </w:r>
      <w:r>
        <w:rPr>
          <w:rFonts w:hint="eastAsia" w:ascii="仿宋_GB2312" w:eastAsia="仿宋_GB2312"/>
          <w:sz w:val="32"/>
          <w:szCs w:val="32"/>
          <w:highlight w:val="none"/>
          <w:lang w:val="en-US" w:eastAsia="zh-CN"/>
        </w:rPr>
        <w:t>1334.03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9.22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shd w:val="clear"/>
          <w:lang w:val="en-US" w:eastAsia="zh-CN"/>
        </w:rPr>
        <w:t>社保、公积金基数调整；调入3人，新招录4人，人员变动工资增加</w:t>
      </w:r>
      <w:r>
        <w:rPr>
          <w:rFonts w:hint="eastAsia" w:ascii="仿宋_GB2312" w:eastAsia="仿宋_GB2312"/>
          <w:sz w:val="32"/>
          <w:szCs w:val="32"/>
          <w:highlight w:val="none"/>
          <w:shd w:val="clear"/>
        </w:rPr>
        <w:t>。</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1,221.43万元，决算数</w:t>
      </w:r>
      <w:r>
        <w:rPr>
          <w:rFonts w:hint="eastAsia" w:ascii="仿宋_GB2312" w:eastAsia="仿宋_GB2312"/>
          <w:sz w:val="32"/>
          <w:szCs w:val="32"/>
          <w:highlight w:val="none"/>
          <w:lang w:val="en-US" w:eastAsia="zh-CN"/>
        </w:rPr>
        <w:t>1334.03</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9.22</w:t>
      </w:r>
      <w:r>
        <w:rPr>
          <w:rFonts w:hint="eastAsia" w:ascii="仿宋_GB2312" w:eastAsia="仿宋_GB2312"/>
          <w:sz w:val="32"/>
          <w:szCs w:val="32"/>
          <w:highlight w:val="none"/>
        </w:rPr>
        <w:t>%，</w:t>
      </w:r>
      <w:r>
        <w:rPr>
          <w:rFonts w:hint="eastAsia" w:ascii="仿宋_GB2312" w:eastAsia="仿宋_GB2312"/>
          <w:sz w:val="32"/>
          <w:szCs w:val="32"/>
          <w:highlight w:val="none"/>
          <w:shd w:val="clear"/>
          <w:lang w:eastAsia="zh-CN"/>
        </w:rPr>
        <w:t>主要原因是：</w:t>
      </w:r>
      <w:r>
        <w:rPr>
          <w:rFonts w:hint="eastAsia" w:ascii="仿宋_GB2312" w:eastAsia="仿宋_GB2312"/>
          <w:sz w:val="32"/>
          <w:szCs w:val="32"/>
          <w:highlight w:val="none"/>
          <w:shd w:val="clear"/>
          <w:lang w:val="en-US" w:eastAsia="zh-CN"/>
        </w:rPr>
        <w:t>社保、公积金基数增加；调入3人，新招录4人，人员变动工资增加。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20360"/>
      <w:bookmarkStart w:id="17" w:name="_Toc13833"/>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pacing w:val="0"/>
          <w:sz w:val="32"/>
          <w:szCs w:val="32"/>
          <w:highlight w:val="none"/>
          <w:shd w:val="clear"/>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年度一般公共预算财政拨款支出</w:t>
      </w:r>
      <w:r>
        <w:rPr>
          <w:rFonts w:hint="eastAsia" w:ascii="仿宋_GB2312" w:eastAsia="仿宋_GB2312"/>
          <w:spacing w:val="0"/>
          <w:sz w:val="32"/>
          <w:szCs w:val="32"/>
          <w:highlight w:val="none"/>
          <w:lang w:val="en-US" w:eastAsia="zh-CN"/>
        </w:rPr>
        <w:t>1279.66</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99.86</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35.29</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2.68</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color w:val="000000"/>
          <w:sz w:val="32"/>
          <w:szCs w:val="32"/>
          <w:highlight w:val="none"/>
          <w:shd w:val="clear"/>
          <w:lang w:val="en-US" w:eastAsia="zh-CN"/>
        </w:rPr>
        <w:t>严格控制事业单位机关运行费等一般性支出，</w:t>
      </w:r>
      <w:r>
        <w:rPr>
          <w:rFonts w:hint="eastAsia" w:ascii="仿宋_GB2312" w:eastAsia="仿宋_GB2312"/>
          <w:spacing w:val="0"/>
          <w:sz w:val="32"/>
          <w:szCs w:val="32"/>
          <w:highlight w:val="none"/>
          <w:shd w:val="clear"/>
          <w:lang w:val="en-US" w:eastAsia="zh-CN"/>
        </w:rPr>
        <w:t>压减基本支出。53小综合教学楼建设经费等项目支出减少</w:t>
      </w:r>
      <w:r>
        <w:rPr>
          <w:rFonts w:hint="eastAsia" w:ascii="仿宋_GB2312" w:eastAsia="仿宋_GB2312"/>
          <w:spacing w:val="0"/>
          <w:sz w:val="32"/>
          <w:szCs w:val="32"/>
          <w:highlight w:val="none"/>
          <w:shd w:val="clear"/>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教育支出（类）</w:t>
      </w:r>
      <w:r>
        <w:rPr>
          <w:rFonts w:hint="eastAsia" w:ascii="仿宋_GB2312" w:hAnsi="仿宋_GB2312" w:eastAsia="仿宋_GB2312" w:cs="仿宋_GB2312"/>
          <w:sz w:val="32"/>
          <w:szCs w:val="32"/>
          <w:highlight w:val="none"/>
          <w:lang w:eastAsia="zh-CN"/>
        </w:rPr>
        <w:t>：</w:t>
      </w:r>
      <w:r>
        <w:rPr>
          <w:rFonts w:hint="eastAsia" w:ascii="仿宋_GB2312" w:eastAsia="仿宋_GB2312"/>
          <w:spacing w:val="0"/>
          <w:sz w:val="32"/>
          <w:szCs w:val="32"/>
          <w:highlight w:val="none"/>
        </w:rPr>
        <w:t>127</w:t>
      </w:r>
      <w:r>
        <w:rPr>
          <w:rFonts w:hint="eastAsia" w:ascii="仿宋_GB2312" w:eastAsia="仿宋_GB2312"/>
          <w:spacing w:val="0"/>
          <w:sz w:val="32"/>
          <w:szCs w:val="32"/>
          <w:highlight w:val="none"/>
          <w:lang w:val="en-US" w:eastAsia="zh-CN"/>
        </w:rPr>
        <w:t>9.66</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100</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shd w:val="clear"/>
          <w:lang w:eastAsia="zh-CN"/>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kern w:val="0"/>
          <w:sz w:val="32"/>
          <w:szCs w:val="32"/>
          <w:highlight w:val="none"/>
          <w:lang w:val="en-US"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普通教育</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小学教育</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1273.21</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45.64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3.72</w:t>
      </w:r>
      <w:r>
        <w:rPr>
          <w:rFonts w:hint="eastAsia" w:ascii="仿宋_GB2312" w:hAnsi="仿宋_GB2312" w:eastAsia="仿宋_GB2312" w:cs="仿宋_GB2312"/>
          <w:kern w:val="0"/>
          <w:sz w:val="32"/>
          <w:szCs w:val="32"/>
          <w:highlight w:val="none"/>
        </w:rPr>
        <w:t>%，主要原因是：</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shd w:val="clear"/>
          <w:lang w:val="en-US" w:eastAsia="zh-CN"/>
        </w:rPr>
        <w:t>年社保、公积金基数调整；调入3人，新招录4人，人员变动工资增加。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kern w:val="0"/>
          <w:sz w:val="32"/>
          <w:szCs w:val="32"/>
          <w:highlight w:val="none"/>
          <w:lang w:val="en-US" w:eastAsia="zh-CN"/>
        </w:rPr>
        <w:t>教育支出</w:t>
      </w:r>
      <w:r>
        <w:rPr>
          <w:rFonts w:hint="eastAsia" w:ascii="仿宋_GB2312" w:hAnsi="仿宋_GB2312" w:eastAsia="仿宋_GB2312" w:cs="仿宋_GB2312"/>
          <w:kern w:val="0"/>
          <w:sz w:val="32"/>
          <w:szCs w:val="32"/>
          <w:highlight w:val="none"/>
        </w:rPr>
        <w:t>（类）</w:t>
      </w:r>
      <w:r>
        <w:rPr>
          <w:rFonts w:hint="eastAsia" w:ascii="仿宋_GB2312" w:hAnsi="仿宋_GB2312" w:eastAsia="仿宋_GB2312" w:cs="仿宋_GB2312"/>
          <w:kern w:val="0"/>
          <w:sz w:val="32"/>
          <w:szCs w:val="32"/>
          <w:highlight w:val="none"/>
          <w:lang w:val="en-US" w:eastAsia="zh-CN"/>
        </w:rPr>
        <w:t>教育费附加安排的支出</w:t>
      </w:r>
      <w:r>
        <w:rPr>
          <w:rFonts w:hint="eastAsia" w:ascii="仿宋_GB2312" w:hAnsi="仿宋_GB2312" w:eastAsia="仿宋_GB2312" w:cs="仿宋_GB2312"/>
          <w:kern w:val="0"/>
          <w:sz w:val="32"/>
          <w:szCs w:val="32"/>
          <w:highlight w:val="none"/>
        </w:rPr>
        <w:t>（款）</w:t>
      </w:r>
      <w:r>
        <w:rPr>
          <w:rFonts w:hint="eastAsia" w:ascii="仿宋_GB2312" w:hAnsi="仿宋_GB2312" w:eastAsia="仿宋_GB2312" w:cs="仿宋_GB2312"/>
          <w:kern w:val="0"/>
          <w:sz w:val="32"/>
          <w:szCs w:val="32"/>
          <w:highlight w:val="none"/>
          <w:lang w:val="en-US" w:eastAsia="zh-CN"/>
        </w:rPr>
        <w:t>城市中小学教学设施</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6.45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6.45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特色学校建设经费在2022年形成支出</w:t>
      </w:r>
      <w:r>
        <w:rPr>
          <w:rFonts w:hint="eastAsia" w:ascii="仿宋_GB2312" w:hAnsi="仿宋_GB2312" w:eastAsia="仿宋_GB2312" w:cs="仿宋_GB2312"/>
          <w:kern w:val="0"/>
          <w:sz w:val="32"/>
          <w:szCs w:val="32"/>
          <w:highlight w:val="none"/>
          <w:lang w:eastAsia="zh-CN"/>
        </w:rPr>
        <w:t>。</w:t>
      </w:r>
    </w:p>
    <w:p>
      <w:pPr>
        <w:spacing w:line="600" w:lineRule="exact"/>
        <w:ind w:firstLine="640" w:firstLineChars="200"/>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highlight w:val="none"/>
          <w:lang w:val="en-US" w:eastAsia="zh-CN"/>
        </w:rPr>
        <w:t>3.教育支出（类）普通教育（款）其他教育费附加安排的支出（项）：支出决算数为0万元，比上年决算减少2.71万元，下降100%，主要原因是：</w:t>
      </w:r>
      <w:r>
        <w:rPr>
          <w:rFonts w:hint="eastAsia" w:ascii="仿宋_GB2312" w:hAnsi="仿宋_GB2312" w:eastAsia="仿宋_GB2312" w:cs="仿宋_GB2312"/>
          <w:kern w:val="0"/>
          <w:sz w:val="32"/>
          <w:szCs w:val="32"/>
          <w:lang w:val="en-US" w:eastAsia="zh-CN"/>
        </w:rPr>
        <w:t>2022年单位无其他教育费附加安排的支出项目。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4.社会保障和就业支出（类）行政事业单位养老支出（款）机关事业单位基本养老保险缴费支出（项）：支出决算数为0万元，比上年决算减少84.68万元，下降100%，主要原因是：</w:t>
      </w:r>
      <w:r>
        <w:rPr>
          <w:rFonts w:hint="eastAsia" w:ascii="仿宋_GB2312" w:hAnsi="仿宋_GB2312" w:eastAsia="仿宋_GB2312" w:cs="仿宋_GB2312"/>
          <w:kern w:val="0"/>
          <w:sz w:val="32"/>
          <w:szCs w:val="32"/>
          <w:lang w:val="en-US" w:eastAsia="zh-CN"/>
        </w:rPr>
        <w:t>2022年单位无</w:t>
      </w:r>
      <w:r>
        <w:rPr>
          <w:rFonts w:hint="default" w:ascii="仿宋_GB2312" w:hAnsi="仿宋_GB2312" w:eastAsia="仿宋_GB2312" w:cs="仿宋_GB2312"/>
          <w:kern w:val="0"/>
          <w:sz w:val="32"/>
          <w:szCs w:val="32"/>
        </w:rPr>
        <w:t xml:space="preserve">养老保险缴费支出安排在该款项。 </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8" w:name="_Toc30870"/>
      <w:bookmarkStart w:id="19" w:name="_Toc11146"/>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1218.06</w:t>
      </w:r>
      <w:r>
        <w:rPr>
          <w:rFonts w:hint="eastAsia" w:ascii="仿宋_GB2312" w:eastAsia="仿宋_GB2312"/>
          <w:sz w:val="32"/>
          <w:szCs w:val="32"/>
          <w:highlight w:val="none"/>
        </w:rPr>
        <w:t>万元，其中：</w:t>
      </w:r>
    </w:p>
    <w:p>
      <w:pPr>
        <w:keepNext w:val="0"/>
        <w:keepLines w:val="0"/>
        <w:pageBreakBefore w:val="0"/>
        <w:widowControl w:val="0"/>
        <w:shd w:val="clear"/>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shd w:val="clear"/>
          <w:lang w:val="en-US" w:eastAsia="zh-CN"/>
        </w:rPr>
      </w:pPr>
      <w:r>
        <w:rPr>
          <w:rFonts w:hint="eastAsia" w:ascii="仿宋_GB2312" w:eastAsia="仿宋_GB2312"/>
          <w:sz w:val="32"/>
          <w:szCs w:val="32"/>
          <w:highlight w:val="none"/>
        </w:rPr>
        <w:t>人员经费1190.1万元，包括：</w:t>
      </w:r>
      <w:r>
        <w:rPr>
          <w:rFonts w:hint="eastAsia" w:ascii="仿宋_GB2312" w:eastAsia="仿宋_GB2312"/>
          <w:sz w:val="32"/>
          <w:szCs w:val="32"/>
          <w:highlight w:val="none"/>
          <w:shd w:val="clear"/>
        </w:rPr>
        <w:t>基本工资</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津贴补贴</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奖金</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绩效工资</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机关事业单位基本养老保险缴费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职工基本医疗保险缴费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公务员医疗补助缴费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其他社会保障缴费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住房公积金</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其他工资福利支出</w:t>
      </w:r>
      <w:r>
        <w:rPr>
          <w:rFonts w:hint="eastAsia" w:ascii="仿宋_GB2312" w:eastAsia="仿宋_GB2312"/>
          <w:sz w:val="32"/>
          <w:szCs w:val="32"/>
          <w:highlight w:val="none"/>
          <w:shd w:val="clear"/>
          <w:lang w:eastAsia="zh-CN"/>
        </w:rPr>
        <w:t>、退休费、助学金、奖励金、其他对个人和家庭的补助。</w:t>
      </w:r>
    </w:p>
    <w:p>
      <w:pPr>
        <w:keepNext w:val="0"/>
        <w:keepLines w:val="0"/>
        <w:pageBreakBefore w:val="0"/>
        <w:widowControl w:val="0"/>
        <w:shd w:val="clear"/>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shd w:val="clear"/>
          <w:lang w:eastAsia="zh-CN"/>
        </w:rPr>
      </w:pPr>
      <w:r>
        <w:rPr>
          <w:rFonts w:hint="eastAsia" w:ascii="仿宋_GB2312" w:eastAsia="仿宋_GB2312"/>
          <w:sz w:val="32"/>
          <w:szCs w:val="32"/>
          <w:highlight w:val="none"/>
        </w:rPr>
        <w:t>公用经费27.96万元，包括：</w:t>
      </w:r>
      <w:r>
        <w:rPr>
          <w:rFonts w:hint="eastAsia" w:ascii="仿宋_GB2312" w:eastAsia="仿宋_GB2312"/>
          <w:sz w:val="32"/>
          <w:szCs w:val="32"/>
          <w:highlight w:val="none"/>
          <w:shd w:val="clear"/>
        </w:rPr>
        <w:t>办公费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手续费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水费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电费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邮电费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物业管理费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维修（护）费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培训费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专用材料费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工会经费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rPr>
        <w:t>福利费</w:t>
      </w:r>
      <w:r>
        <w:rPr>
          <w:rFonts w:hint="eastAsia" w:ascii="仿宋_GB2312" w:eastAsia="仿宋_GB2312"/>
          <w:sz w:val="32"/>
          <w:szCs w:val="32"/>
          <w:highlight w:val="none"/>
          <w:shd w:val="clear"/>
          <w:lang w:eastAsia="zh-CN"/>
        </w:rPr>
        <w:t>、</w:t>
      </w:r>
      <w:r>
        <w:rPr>
          <w:rFonts w:hint="eastAsia" w:ascii="仿宋_GB2312" w:eastAsia="仿宋_GB2312"/>
          <w:sz w:val="32"/>
          <w:szCs w:val="32"/>
          <w:highlight w:val="none"/>
          <w:shd w:val="clear"/>
          <w:lang w:val="en-US" w:eastAsia="zh-CN"/>
        </w:rPr>
        <w:t>其他交通费用、</w:t>
      </w:r>
      <w:r>
        <w:rPr>
          <w:rFonts w:hint="eastAsia" w:ascii="仿宋_GB2312" w:eastAsia="仿宋_GB2312"/>
          <w:sz w:val="32"/>
          <w:szCs w:val="32"/>
          <w:highlight w:val="none"/>
          <w:shd w:val="clear"/>
        </w:rPr>
        <w:t>其他商品和服务支出</w:t>
      </w:r>
      <w:r>
        <w:rPr>
          <w:rFonts w:hint="eastAsia" w:ascii="仿宋_GB2312" w:eastAsia="仿宋_GB2312"/>
          <w:sz w:val="32"/>
          <w:szCs w:val="32"/>
          <w:highlight w:val="none"/>
          <w:shd w:val="clear"/>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7190"/>
      <w:bookmarkStart w:id="21" w:name="_Toc21518"/>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w:t>
      </w:r>
      <w:r>
        <w:rPr>
          <w:rFonts w:hint="eastAsia" w:ascii="仿宋_GB2312" w:hAnsi="仿宋_GB2312" w:eastAsia="仿宋_GB2312"/>
          <w:kern w:val="0"/>
          <w:sz w:val="32"/>
          <w:highlight w:val="none"/>
          <w:shd w:val="clear"/>
          <w:lang w:val="en-US"/>
        </w:rPr>
        <w:t>无</w:t>
      </w:r>
      <w:r>
        <w:rPr>
          <w:rFonts w:hint="eastAsia" w:ascii="仿宋_GB2312" w:eastAsia="仿宋_GB2312"/>
          <w:sz w:val="32"/>
          <w:szCs w:val="32"/>
          <w:highlight w:val="none"/>
        </w:rPr>
        <w:t>“三公”经费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eastAsia="仿宋_GB2312"/>
          <w:sz w:val="32"/>
          <w:szCs w:val="32"/>
          <w:highlight w:val="none"/>
        </w:rPr>
        <w:t>因公出国（境）费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eastAsia="仿宋_GB2312"/>
          <w:sz w:val="32"/>
          <w:szCs w:val="32"/>
          <w:highlight w:val="none"/>
        </w:rPr>
        <w:t>“三公”经费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eastAsia="仿宋_GB2312"/>
          <w:sz w:val="32"/>
          <w:szCs w:val="32"/>
          <w:highlight w:val="none"/>
        </w:rPr>
        <w:t>“三公”经费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开支内容包括</w:t>
      </w:r>
      <w:r>
        <w:rPr>
          <w:rFonts w:hint="eastAsia" w:ascii="仿宋_GB2312" w:eastAsia="仿宋_GB2312"/>
          <w:sz w:val="32"/>
          <w:szCs w:val="32"/>
          <w:highlight w:val="none"/>
          <w:lang w:eastAsia="zh-CN"/>
        </w:rPr>
        <w:t>：</w:t>
      </w:r>
      <w:r>
        <w:rPr>
          <w:rFonts w:hint="eastAsia" w:ascii="仿宋_GB2312" w:hAnsi="仿宋_GB2312" w:eastAsia="仿宋_GB2312"/>
          <w:kern w:val="0"/>
          <w:sz w:val="32"/>
          <w:highlight w:val="none"/>
          <w:lang w:val="en-US"/>
        </w:rPr>
        <w:t>本年单位无因公出国（境）费支出</w:t>
      </w:r>
      <w:r>
        <w:rPr>
          <w:rFonts w:hint="eastAsia" w:ascii="仿宋_GB2312" w:eastAsia="仿宋_GB2312"/>
          <w:sz w:val="32"/>
          <w:szCs w:val="32"/>
          <w:highlight w:val="none"/>
        </w:rPr>
        <w:t>。单位全年安排的因公出国（境）团组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万元。公务用车运行维护费开支内容包括</w:t>
      </w:r>
      <w:r>
        <w:rPr>
          <w:rFonts w:hint="eastAsia" w:ascii="仿宋_GB2312" w:eastAsia="仿宋_GB2312"/>
          <w:sz w:val="32"/>
          <w:szCs w:val="32"/>
          <w:highlight w:val="none"/>
          <w:lang w:eastAsia="zh-CN"/>
        </w:rPr>
        <w:t>：</w:t>
      </w:r>
      <w:r>
        <w:rPr>
          <w:rFonts w:hint="eastAsia" w:ascii="仿宋_GB2312" w:hAnsi="仿宋_GB2312" w:eastAsia="仿宋_GB2312"/>
          <w:kern w:val="0"/>
          <w:sz w:val="32"/>
          <w:highlight w:val="none"/>
          <w:lang w:val="en-US"/>
        </w:rPr>
        <w:t>公务用车燃油费、保险费、过路费等</w:t>
      </w:r>
      <w:r>
        <w:rPr>
          <w:rFonts w:hint="eastAsia" w:ascii="仿宋_GB2312" w:eastAsia="仿宋_GB2312"/>
          <w:sz w:val="32"/>
          <w:szCs w:val="32"/>
          <w:highlight w:val="none"/>
        </w:rPr>
        <w:t>。公务用车购置数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万元，开支内容包括</w:t>
      </w:r>
      <w:r>
        <w:rPr>
          <w:rFonts w:hint="eastAsia" w:ascii="仿宋_GB2312" w:eastAsia="仿宋_GB2312"/>
          <w:sz w:val="32"/>
          <w:szCs w:val="32"/>
          <w:highlight w:val="none"/>
          <w:lang w:eastAsia="zh-CN"/>
        </w:rPr>
        <w:t>：</w:t>
      </w:r>
      <w:r>
        <w:rPr>
          <w:rFonts w:hint="eastAsia" w:ascii="仿宋_GB2312" w:hAnsi="仿宋_GB2312" w:eastAsia="仿宋_GB2312"/>
          <w:kern w:val="0"/>
          <w:sz w:val="32"/>
          <w:highlight w:val="none"/>
          <w:lang w:val="en-US"/>
        </w:rPr>
        <w:t>本单位无</w:t>
      </w:r>
      <w:r>
        <w:rPr>
          <w:rFonts w:hint="eastAsia" w:ascii="仿宋_GB2312" w:eastAsia="仿宋_GB2312"/>
          <w:sz w:val="32"/>
          <w:szCs w:val="32"/>
          <w:highlight w:val="none"/>
        </w:rPr>
        <w:t>公务接待费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0.56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eastAsia="仿宋_GB2312"/>
          <w:sz w:val="32"/>
          <w:szCs w:val="32"/>
          <w:highlight w:val="none"/>
        </w:rPr>
        <w:t>“三公”经费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hAnsi="宋体" w:eastAsia="仿宋_GB2312" w:cs="宋体"/>
          <w:kern w:val="0"/>
          <w:sz w:val="32"/>
          <w:szCs w:val="32"/>
          <w:highlight w:val="none"/>
        </w:rPr>
        <w:t>因公出国（境）费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hAnsi="宋体" w:eastAsia="仿宋_GB2312" w:cs="宋体"/>
          <w:kern w:val="0"/>
          <w:sz w:val="32"/>
          <w:szCs w:val="32"/>
          <w:highlight w:val="none"/>
        </w:rPr>
        <w:t>公务用车运行费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0.56</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hAnsi="仿宋_GB2312" w:eastAsia="仿宋_GB2312"/>
          <w:kern w:val="0"/>
          <w:sz w:val="32"/>
          <w:highlight w:val="none"/>
          <w:lang w:val="en-US"/>
        </w:rPr>
        <w:t>本单位无</w:t>
      </w:r>
      <w:r>
        <w:rPr>
          <w:rFonts w:hint="eastAsia" w:ascii="仿宋_GB2312" w:hAnsi="宋体" w:eastAsia="仿宋_GB2312" w:cs="宋体"/>
          <w:kern w:val="0"/>
          <w:sz w:val="32"/>
          <w:szCs w:val="32"/>
          <w:highlight w:val="none"/>
        </w:rPr>
        <w:t>公务接待费</w:t>
      </w:r>
      <w:r>
        <w:rPr>
          <w:rFonts w:hint="eastAsia" w:ascii="仿宋_GB2312" w:hAnsi="仿宋_GB2312" w:eastAsia="仿宋_GB2312"/>
          <w:kern w:val="0"/>
          <w:sz w:val="32"/>
          <w:highlight w:val="none"/>
          <w:lang w:val="en-US"/>
        </w:rPr>
        <w:t>支出</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1235"/>
      <w:bookmarkStart w:id="25" w:name="_Toc7314"/>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val="en-US" w:eastAsia="zh-CN"/>
        </w:rPr>
        <w:t>乌鲁木齐市第五十三小学</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事业单位</w:t>
      </w:r>
      <w:r>
        <w:rPr>
          <w:rFonts w:hint="eastAsia" w:ascii="仿宋_GB2312" w:eastAsia="仿宋_GB2312"/>
          <w:color w:val="auto"/>
          <w:sz w:val="32"/>
          <w:szCs w:val="32"/>
          <w:highlight w:val="none"/>
          <w:lang w:eastAsia="zh-CN"/>
        </w:rPr>
        <w:t>）</w:t>
      </w:r>
      <w:r>
        <w:rPr>
          <w:rFonts w:hint="eastAsia" w:ascii="仿宋_GB2312" w:eastAsia="仿宋_GB2312"/>
          <w:sz w:val="32"/>
          <w:szCs w:val="32"/>
          <w:highlight w:val="none"/>
          <w:lang w:eastAsia="zh-CN"/>
        </w:rPr>
        <w:t>公用经费</w:t>
      </w:r>
      <w:r>
        <w:rPr>
          <w:rFonts w:hint="eastAsia" w:ascii="仿宋_GB2312" w:eastAsia="仿宋_GB2312"/>
          <w:sz w:val="32"/>
          <w:szCs w:val="32"/>
          <w:highlight w:val="none"/>
          <w:lang w:val="en-US" w:eastAsia="zh-CN"/>
        </w:rPr>
        <w:t>27.96</w:t>
      </w:r>
      <w:r>
        <w:rPr>
          <w:rFonts w:hint="eastAsia" w:ascii="仿宋_GB2312" w:eastAsia="仿宋_GB2312"/>
          <w:sz w:val="32"/>
          <w:szCs w:val="32"/>
          <w:highlight w:val="none"/>
        </w:rPr>
        <w:t>万元，比上年减少</w:t>
      </w:r>
      <w:r>
        <w:rPr>
          <w:rFonts w:hint="eastAsia" w:ascii="仿宋_GB2312" w:eastAsia="仿宋_GB2312"/>
          <w:sz w:val="32"/>
          <w:szCs w:val="32"/>
          <w:highlight w:val="none"/>
          <w:lang w:val="en-US" w:eastAsia="zh-CN"/>
        </w:rPr>
        <w:t>99.13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78</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color w:val="auto"/>
          <w:sz w:val="32"/>
          <w:szCs w:val="32"/>
          <w:highlight w:val="none"/>
        </w:rPr>
        <w:t>本年度</w:t>
      </w:r>
      <w:r>
        <w:rPr>
          <w:rFonts w:hint="eastAsia" w:ascii="仿宋_GB2312" w:eastAsia="仿宋_GB2312"/>
          <w:color w:val="auto"/>
          <w:sz w:val="32"/>
          <w:szCs w:val="32"/>
          <w:highlight w:val="none"/>
          <w:lang w:val="en-US" w:eastAsia="zh-CN"/>
        </w:rPr>
        <w:t>受不可抗力因素，线上授课，公用支出减少</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1155.14万元，房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3183.4</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286.74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无其他车辆</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435"/>
      <w:bookmarkStart w:id="33" w:name="_Toc11283"/>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w:t>
      </w:r>
      <w:r>
        <w:rPr>
          <w:rFonts w:hint="default" w:ascii="仿宋_GB2312" w:eastAsia="仿宋_GB2312"/>
          <w:sz w:val="32"/>
          <w:szCs w:val="32"/>
          <w:highlight w:val="none"/>
          <w:lang w:val="en-US" w:eastAsia="zh-CN"/>
        </w:rPr>
        <w:t>94.58</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w:t>
      </w:r>
      <w:r>
        <w:rPr>
          <w:rFonts w:hint="default" w:ascii="仿宋_GB2312" w:eastAsia="仿宋_GB2312"/>
          <w:sz w:val="32"/>
          <w:szCs w:val="32"/>
          <w:highlight w:val="none"/>
          <w:lang w:val="en-US" w:eastAsia="zh-CN"/>
        </w:rPr>
        <w:t>50.01</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w:t>
      </w:r>
      <w:r>
        <w:rPr>
          <w:rFonts w:hint="eastAsia" w:ascii="仿宋_GB2312" w:hAnsi="仿宋_GB2312" w:eastAsia="仿宋_GB2312"/>
          <w:color w:val="auto"/>
          <w:kern w:val="0"/>
          <w:sz w:val="32"/>
          <w:highlight w:val="none"/>
          <w:lang w:val="en-US"/>
        </w:rPr>
        <w:t>预算绩效管理取得的成效：一是拨付的经费为学校各项工作的运转奠定了良好的基础，保证了学校教育教学工作的正常开展；二是为校园绿化提供了资金，改善美化了校园环境，为师生和教职工提供了优美的工作和学习环境。发现的问题及原因：一是资金使用因项目开展的具体情况，存在支付相对延迟的现象；二是由于项目需求大，而资金少存在资金紧张的情况。下一步改进措施：</w:t>
      </w:r>
      <w:r>
        <w:rPr>
          <w:rFonts w:hint="eastAsia" w:ascii="仿宋" w:hAnsi="仿宋" w:eastAsia="仿宋"/>
          <w:kern w:val="0"/>
          <w:sz w:val="32"/>
          <w:highlight w:val="none"/>
        </w:rPr>
        <w:t>一是</w:t>
      </w:r>
      <w:r>
        <w:rPr>
          <w:rFonts w:hint="eastAsia" w:ascii="仿宋_GB2312" w:hAnsi="仿宋_GB2312" w:eastAsia="仿宋_GB2312"/>
          <w:color w:val="auto"/>
          <w:kern w:val="0"/>
          <w:sz w:val="32"/>
          <w:highlight w:val="none"/>
          <w:lang w:val="en-US"/>
        </w:rPr>
        <w:t>继续加强相关经费的使用和管理，健全单位的财务管理制度体系，规范单位的财务行为；</w:t>
      </w:r>
      <w:r>
        <w:rPr>
          <w:rFonts w:hint="eastAsia" w:ascii="仿宋" w:hAnsi="仿宋" w:eastAsia="仿宋"/>
          <w:sz w:val="32"/>
          <w:highlight w:val="none"/>
        </w:rPr>
        <w:t>二是</w:t>
      </w:r>
      <w:r>
        <w:rPr>
          <w:rFonts w:hint="eastAsia" w:ascii="仿宋_GB2312" w:hAnsi="仿宋_GB2312" w:eastAsia="仿宋_GB2312"/>
          <w:color w:val="auto"/>
          <w:kern w:val="0"/>
          <w:sz w:val="32"/>
          <w:highlight w:val="none"/>
          <w:lang w:val="en-US"/>
        </w:rPr>
        <w:t>保障预算的执行进度，加快项目实施进度的推进，加强项目开展进度的跟踪，开展项目绩效评价，确保项目绩效目标的完成，发挥资金的使用效益，压减年末结余资金规模，提高预算完成率。</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p>
    <w:tbl>
      <w:tblPr>
        <w:tblStyle w:val="9"/>
        <w:tblW w:w="8440" w:type="dxa"/>
        <w:tblInd w:w="0" w:type="dxa"/>
        <w:tblLayout w:type="autofit"/>
        <w:tblCellMar>
          <w:top w:w="0" w:type="dxa"/>
          <w:left w:w="0" w:type="dxa"/>
          <w:bottom w:w="0" w:type="dxa"/>
          <w:right w:w="0" w:type="dxa"/>
        </w:tblCellMar>
      </w:tblPr>
      <w:tblGrid>
        <w:gridCol w:w="625"/>
        <w:gridCol w:w="74"/>
        <w:gridCol w:w="419"/>
        <w:gridCol w:w="239"/>
        <w:gridCol w:w="130"/>
        <w:gridCol w:w="492"/>
        <w:gridCol w:w="863"/>
        <w:gridCol w:w="68"/>
        <w:gridCol w:w="1214"/>
        <w:gridCol w:w="319"/>
        <w:gridCol w:w="182"/>
        <w:gridCol w:w="468"/>
        <w:gridCol w:w="103"/>
        <w:gridCol w:w="477"/>
        <w:gridCol w:w="282"/>
        <w:gridCol w:w="85"/>
        <w:gridCol w:w="442"/>
        <w:gridCol w:w="93"/>
        <w:gridCol w:w="127"/>
        <w:gridCol w:w="253"/>
        <w:gridCol w:w="3"/>
        <w:gridCol w:w="212"/>
        <w:gridCol w:w="197"/>
        <w:gridCol w:w="209"/>
        <w:gridCol w:w="209"/>
        <w:gridCol w:w="124"/>
        <w:gridCol w:w="511"/>
        <w:gridCol w:w="20"/>
      </w:tblGrid>
      <w:tr>
        <w:tblPrEx>
          <w:tblCellMar>
            <w:top w:w="0" w:type="dxa"/>
            <w:left w:w="0" w:type="dxa"/>
            <w:bottom w:w="0" w:type="dxa"/>
            <w:right w:w="0" w:type="dxa"/>
          </w:tblCellMar>
        </w:tblPrEx>
        <w:trPr>
          <w:gridAfter w:val="1"/>
          <w:wAfter w:w="20" w:type="dxa"/>
          <w:trHeight w:val="633" w:hRule="atLeast"/>
        </w:trPr>
        <w:tc>
          <w:tcPr>
            <w:tcW w:w="8420" w:type="dxa"/>
            <w:gridSpan w:val="2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6"/>
                <w:szCs w:val="16"/>
                <w:u w:val="none"/>
              </w:rPr>
            </w:pPr>
            <w:bookmarkStart w:id="34" w:name="_Toc24143"/>
            <w:bookmarkStart w:id="35" w:name="_Toc3250"/>
            <w:r>
              <w:rPr>
                <w:rFonts w:hint="eastAsia" w:ascii="宋体" w:hAnsi="宋体" w:eastAsia="宋体" w:cs="宋体"/>
                <w:b/>
                <w:i w:val="0"/>
                <w:color w:val="000000"/>
                <w:kern w:val="0"/>
                <w:sz w:val="16"/>
                <w:szCs w:val="16"/>
                <w:u w:val="none"/>
                <w:lang w:val="en-US" w:eastAsia="zh-CN" w:bidi="ar"/>
              </w:rPr>
              <w:t>项目支出绩效自评表</w:t>
            </w:r>
          </w:p>
        </w:tc>
      </w:tr>
      <w:tr>
        <w:tblPrEx>
          <w:tblCellMar>
            <w:top w:w="0" w:type="dxa"/>
            <w:left w:w="0" w:type="dxa"/>
            <w:bottom w:w="0" w:type="dxa"/>
            <w:right w:w="0" w:type="dxa"/>
          </w:tblCellMar>
        </w:tblPrEx>
        <w:trPr>
          <w:gridAfter w:val="1"/>
          <w:wAfter w:w="20" w:type="dxa"/>
          <w:trHeight w:val="333" w:hRule="atLeast"/>
        </w:trPr>
        <w:tc>
          <w:tcPr>
            <w:tcW w:w="8420" w:type="dxa"/>
            <w:gridSpan w:val="27"/>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CellMar>
            <w:top w:w="0" w:type="dxa"/>
            <w:left w:w="0" w:type="dxa"/>
            <w:bottom w:w="0" w:type="dxa"/>
            <w:right w:w="0" w:type="dxa"/>
          </w:tblCellMar>
        </w:tblPrEx>
        <w:trPr>
          <w:gridAfter w:val="1"/>
          <w:wAfter w:w="20" w:type="dxa"/>
          <w:trHeight w:val="654" w:hRule="atLeast"/>
        </w:trPr>
        <w:tc>
          <w:tcPr>
            <w:tcW w:w="111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302" w:type="dxa"/>
            <w:gridSpan w:val="2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乌财科教【2021】96号关于提前下达2022年城乡义务教育项目直达资金的通知（公用经费）</w:t>
            </w:r>
          </w:p>
        </w:tc>
      </w:tr>
      <w:tr>
        <w:tblPrEx>
          <w:tblCellMar>
            <w:top w:w="0" w:type="dxa"/>
            <w:left w:w="0" w:type="dxa"/>
            <w:bottom w:w="0" w:type="dxa"/>
            <w:right w:w="0" w:type="dxa"/>
          </w:tblCellMar>
        </w:tblPrEx>
        <w:trPr>
          <w:gridAfter w:val="1"/>
          <w:wAfter w:w="20" w:type="dxa"/>
          <w:trHeight w:val="431" w:hRule="atLeast"/>
        </w:trPr>
        <w:tc>
          <w:tcPr>
            <w:tcW w:w="111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4837"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1718"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r>
      <w:tr>
        <w:tblPrEx>
          <w:tblCellMar>
            <w:top w:w="0" w:type="dxa"/>
            <w:left w:w="0" w:type="dxa"/>
            <w:bottom w:w="0" w:type="dxa"/>
            <w:right w:w="0" w:type="dxa"/>
          </w:tblCellMar>
        </w:tblPrEx>
        <w:trPr>
          <w:gridAfter w:val="1"/>
          <w:wAfter w:w="20" w:type="dxa"/>
          <w:trHeight w:val="654" w:hRule="atLeast"/>
        </w:trPr>
        <w:tc>
          <w:tcPr>
            <w:tcW w:w="1118"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60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4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73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gridAfter w:val="1"/>
          <w:wAfter w:w="20" w:type="dxa"/>
          <w:trHeight w:val="431" w:hRule="atLeast"/>
        </w:trPr>
        <w:tc>
          <w:tcPr>
            <w:tcW w:w="111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60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75.62</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44.62</w:t>
            </w:r>
          </w:p>
        </w:tc>
        <w:tc>
          <w:tcPr>
            <w:tcW w:w="4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73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59.01%</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5.90分</w:t>
            </w:r>
          </w:p>
        </w:tc>
      </w:tr>
      <w:tr>
        <w:tblPrEx>
          <w:tblCellMar>
            <w:top w:w="0" w:type="dxa"/>
            <w:left w:w="0" w:type="dxa"/>
            <w:bottom w:w="0" w:type="dxa"/>
            <w:right w:w="0" w:type="dxa"/>
          </w:tblCellMar>
        </w:tblPrEx>
        <w:trPr>
          <w:gridAfter w:val="1"/>
          <w:wAfter w:w="20" w:type="dxa"/>
          <w:trHeight w:val="431" w:hRule="atLeast"/>
        </w:trPr>
        <w:tc>
          <w:tcPr>
            <w:tcW w:w="111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60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75.62</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44.62</w:t>
            </w:r>
          </w:p>
        </w:tc>
        <w:tc>
          <w:tcPr>
            <w:tcW w:w="4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0" w:type="dxa"/>
          <w:trHeight w:val="431" w:hRule="atLeast"/>
        </w:trPr>
        <w:tc>
          <w:tcPr>
            <w:tcW w:w="111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60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0" w:type="dxa"/>
          <w:trHeight w:val="431" w:hRule="atLeast"/>
        </w:trPr>
        <w:tc>
          <w:tcPr>
            <w:tcW w:w="111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601"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512"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74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468"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739"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gridAfter w:val="1"/>
          <w:wAfter w:w="20" w:type="dxa"/>
          <w:trHeight w:val="431" w:hRule="atLeast"/>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5330" w:type="dxa"/>
            <w:gridSpan w:val="1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2465"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gridAfter w:val="1"/>
          <w:wAfter w:w="20" w:type="dxa"/>
          <w:trHeight w:val="431"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330" w:type="dxa"/>
            <w:gridSpan w:val="1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义务教育阶段学校正常运转，完成教育教学活动和其他日常工作任务等方面的支出，该经费的具体开支范围是：教学业务与管理，教学竞赛，教学质量提升及第三方评价的政府购买服务，办公，教师培训，实验实习，文体活动，水电，邮电，校园绿化美化，学生健康体检。提高基本教育保障，进一步推进义务教育均衡发展水平。</w:t>
            </w:r>
          </w:p>
        </w:tc>
        <w:tc>
          <w:tcPr>
            <w:tcW w:w="2465"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服务人数达到小学生1142人，资金使用完全合规合法，资金有结余，该项经费用于办公费、水电费、学校教学业务与管理、教师培训、文体活动、水电、取暖、交通差旅、仪器设备及图书资料等购置、房屋建筑物仪器设备的日常维修等相关开支。购置办公用品合格率很高，参加培训的教师都能合格结业。合理合规完的完成当年资金的支出，有效保障了学校正常运转，完成了教育教学活动和其他日常工作任务等。从而实现了该项目的社会效益，提高了学校教学水平、改善了办学条件。</w:t>
            </w:r>
          </w:p>
        </w:tc>
      </w:tr>
      <w:tr>
        <w:tblPrEx>
          <w:tblCellMar>
            <w:top w:w="0" w:type="dxa"/>
            <w:left w:w="0" w:type="dxa"/>
            <w:bottom w:w="0" w:type="dxa"/>
            <w:right w:w="0" w:type="dxa"/>
          </w:tblCellMar>
        </w:tblPrEx>
        <w:trPr>
          <w:gridAfter w:val="1"/>
          <w:wAfter w:w="20" w:type="dxa"/>
          <w:trHeight w:val="431" w:hRule="atLeast"/>
        </w:trPr>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369"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1355"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1601" w:type="dxa"/>
            <w:gridSpan w:val="3"/>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650"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127"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253"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215"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06"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333"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511" w:type="dxa"/>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431" w:hRule="atLeast"/>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369"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3606" w:type="dxa"/>
            <w:gridSpan w:val="7"/>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862"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620"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38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621"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844"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gridAfter w:val="1"/>
          <w:wAfter w:w="20" w:type="dxa"/>
          <w:trHeight w:val="55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06" w:type="dxa"/>
            <w:gridSpan w:val="7"/>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62"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1"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4"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493"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开展活动次数</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&gt;=2次</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2次</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零星维修次数</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&gt;=5次</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培训教师人数次</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&gt;=5次</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5次</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购买教育教学用品种类</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&gt;=4类</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4类</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制作宣传版面次数</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&gt;=6次</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6次</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零星维修质量达标率</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活动完成率</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培训结业率</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购买用品合格率</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每次开展活动成本</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&lt;=5000元</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4650元</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每次教师培训成本</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&lt;=700元</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600元</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每次维修成本</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&lt;=50000元</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8060元</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每次制作宣传版面的成本</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&lt;=10000元</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1000元</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665"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其他公用经费支出项成本</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&lt;=45万元</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38.82万元</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986"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1263"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提高学校教学水平，改善办学条件</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有效提高</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基本达到预期效果</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30</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986"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1308"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986"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教师满意度</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986" w:hRule="atLeast"/>
        </w:trPr>
        <w:tc>
          <w:tcPr>
            <w:tcW w:w="625"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3606" w:type="dxa"/>
            <w:gridSpan w:val="7"/>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学生满意度</w:t>
            </w: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431" w:hRule="atLeast"/>
        </w:trPr>
        <w:tc>
          <w:tcPr>
            <w:tcW w:w="62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9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355"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1601" w:type="dxa"/>
            <w:gridSpan w:val="3"/>
            <w:tcBorders>
              <w:top w:val="single" w:color="000000" w:sz="4" w:space="0"/>
              <w:left w:val="nil"/>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650"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862"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0"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7"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53"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15"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06"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3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1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431" w:hRule="atLeast"/>
        </w:trPr>
        <w:tc>
          <w:tcPr>
            <w:tcW w:w="6575" w:type="dxa"/>
            <w:gridSpan w:val="1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38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621"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95.90分</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431" w:hRule="atLeast"/>
        </w:trPr>
        <w:tc>
          <w:tcPr>
            <w:tcW w:w="1118" w:type="dxa"/>
            <w:gridSpan w:val="3"/>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w:t>
            </w:r>
          </w:p>
        </w:tc>
        <w:tc>
          <w:tcPr>
            <w:tcW w:w="3325" w:type="dxa"/>
            <w:gridSpan w:val="7"/>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杜红芳</w:t>
            </w:r>
          </w:p>
        </w:tc>
        <w:tc>
          <w:tcPr>
            <w:tcW w:w="2259" w:type="dxa"/>
            <w:gridSpan w:val="9"/>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1718" w:type="dxa"/>
            <w:gridSpan w:val="8"/>
            <w:tcBorders>
              <w:top w:val="single" w:color="000000" w:sz="4" w:space="0"/>
              <w:left w:val="nil"/>
              <w:bottom w:val="nil"/>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gridAfter w:val="1"/>
          <w:wAfter w:w="20" w:type="dxa"/>
          <w:trHeight w:val="411" w:hRule="atLeast"/>
        </w:trPr>
        <w:tc>
          <w:tcPr>
            <w:tcW w:w="1118" w:type="dxa"/>
            <w:gridSpan w:val="3"/>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 办 人：</w:t>
            </w:r>
          </w:p>
        </w:tc>
        <w:tc>
          <w:tcPr>
            <w:tcW w:w="3325"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张楠</w:t>
            </w:r>
          </w:p>
        </w:tc>
        <w:tc>
          <w:tcPr>
            <w:tcW w:w="2259" w:type="dxa"/>
            <w:gridSpan w:val="9"/>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1718" w:type="dxa"/>
            <w:gridSpan w:val="8"/>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18199986602</w:t>
            </w:r>
          </w:p>
        </w:tc>
      </w:tr>
      <w:tr>
        <w:tblPrEx>
          <w:tblCellMar>
            <w:top w:w="0" w:type="dxa"/>
            <w:left w:w="0" w:type="dxa"/>
            <w:bottom w:w="0" w:type="dxa"/>
            <w:right w:w="0" w:type="dxa"/>
          </w:tblCellMar>
        </w:tblPrEx>
        <w:trPr>
          <w:trHeight w:val="632" w:hRule="atLeast"/>
        </w:trPr>
        <w:tc>
          <w:tcPr>
            <w:tcW w:w="8440" w:type="dxa"/>
            <w:gridSpan w:val="28"/>
            <w:tcBorders>
              <w:top w:val="nil"/>
              <w:left w:val="nil"/>
              <w:bottom w:val="nil"/>
              <w:right w:val="nil"/>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321" w:firstLineChars="200"/>
              <w:jc w:val="center"/>
              <w:textAlignment w:val="auto"/>
              <w:outlineLvl w:val="0"/>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项目支出绩效自评表</w:t>
            </w:r>
          </w:p>
        </w:tc>
      </w:tr>
      <w:tr>
        <w:tblPrEx>
          <w:tblCellMar>
            <w:top w:w="0" w:type="dxa"/>
            <w:left w:w="0" w:type="dxa"/>
            <w:bottom w:w="0" w:type="dxa"/>
            <w:right w:w="0" w:type="dxa"/>
          </w:tblCellMar>
        </w:tblPrEx>
        <w:trPr>
          <w:trHeight w:val="322" w:hRule="atLeast"/>
        </w:trPr>
        <w:tc>
          <w:tcPr>
            <w:tcW w:w="8440" w:type="dxa"/>
            <w:gridSpan w:val="28"/>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(2022年度)</w:t>
            </w:r>
          </w:p>
        </w:tc>
      </w:tr>
      <w:tr>
        <w:tblPrEx>
          <w:tblCellMar>
            <w:top w:w="0" w:type="dxa"/>
            <w:left w:w="0" w:type="dxa"/>
            <w:bottom w:w="0" w:type="dxa"/>
            <w:right w:w="0" w:type="dxa"/>
          </w:tblCellMar>
        </w:tblPrEx>
        <w:trPr>
          <w:trHeight w:val="642" w:hRule="atLeast"/>
        </w:trPr>
        <w:tc>
          <w:tcPr>
            <w:tcW w:w="13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083" w:type="dxa"/>
            <w:gridSpan w:val="2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乌财科教【2021】96号关于提前下达2022年城乡义务教育项目直达资金的通知（困难生补助）</w:t>
            </w:r>
          </w:p>
        </w:tc>
      </w:tr>
      <w:tr>
        <w:tblPrEx>
          <w:tblCellMar>
            <w:top w:w="0" w:type="dxa"/>
            <w:left w:w="0" w:type="dxa"/>
            <w:bottom w:w="0" w:type="dxa"/>
            <w:right w:w="0" w:type="dxa"/>
          </w:tblCellMar>
        </w:tblPrEx>
        <w:trPr>
          <w:trHeight w:val="416" w:hRule="atLeast"/>
        </w:trPr>
        <w:tc>
          <w:tcPr>
            <w:tcW w:w="135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839" w:type="dxa"/>
            <w:gridSpan w:val="9"/>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400"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r>
      <w:tr>
        <w:tblPrEx>
          <w:tblCellMar>
            <w:top w:w="0" w:type="dxa"/>
            <w:left w:w="0" w:type="dxa"/>
            <w:bottom w:w="0" w:type="dxa"/>
            <w:right w:w="0" w:type="dxa"/>
          </w:tblCellMar>
        </w:tblPrEx>
        <w:trPr>
          <w:trHeight w:val="642" w:hRule="atLeast"/>
        </w:trPr>
        <w:tc>
          <w:tcPr>
            <w:tcW w:w="1357" w:type="dxa"/>
            <w:gridSpan w:val="4"/>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5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107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91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416" w:hRule="atLeast"/>
        </w:trPr>
        <w:tc>
          <w:tcPr>
            <w:tcW w:w="1357"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2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107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6.18</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5.39</w:t>
            </w:r>
          </w:p>
        </w:tc>
        <w:tc>
          <w:tcPr>
            <w:tcW w:w="91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87.22%</w:t>
            </w: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8.72分</w:t>
            </w:r>
          </w:p>
        </w:tc>
      </w:tr>
      <w:tr>
        <w:tblPrEx>
          <w:tblCellMar>
            <w:top w:w="0" w:type="dxa"/>
            <w:left w:w="0" w:type="dxa"/>
            <w:bottom w:w="0" w:type="dxa"/>
            <w:right w:w="0" w:type="dxa"/>
          </w:tblCellMar>
        </w:tblPrEx>
        <w:trPr>
          <w:trHeight w:val="642" w:hRule="atLeast"/>
        </w:trPr>
        <w:tc>
          <w:tcPr>
            <w:tcW w:w="1357"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2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07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6.18</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5.39</w:t>
            </w:r>
          </w:p>
        </w:tc>
        <w:tc>
          <w:tcPr>
            <w:tcW w:w="91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642" w:hRule="atLeast"/>
        </w:trPr>
        <w:tc>
          <w:tcPr>
            <w:tcW w:w="1357"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2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07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1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16" w:hRule="atLeast"/>
        </w:trPr>
        <w:tc>
          <w:tcPr>
            <w:tcW w:w="1357" w:type="dxa"/>
            <w:gridSpan w:val="4"/>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53"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21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072"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44"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18"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27"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16" w:hRule="atLeast"/>
        </w:trPr>
        <w:tc>
          <w:tcPr>
            <w:tcW w:w="699"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497" w:type="dxa"/>
            <w:gridSpan w:val="1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244" w:type="dxa"/>
            <w:gridSpan w:val="1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312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497" w:type="dxa"/>
            <w:gridSpan w:val="11"/>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该项目按照相关要求向我校符合条件的困难学生发放补助，减轻家庭经济负担。项目的实施做到公平、公正、公开，极大解决众多家庭困难学生的生活费，缓解困难家庭经济压力，保证家庭经济困难学生公平接受义务教育的权利，为推进社会公平，阻断贫困代际传递发挥积极作用。</w:t>
            </w:r>
          </w:p>
        </w:tc>
        <w:tc>
          <w:tcPr>
            <w:tcW w:w="3244" w:type="dxa"/>
            <w:gridSpan w:val="1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按照相关要求向我校符合条件的173名困难学生发放补助，补助发放很及时，覆盖了全部符合补助政策的学生，完全符合补助发放的政策要求，减轻了家庭经济负担。极大解决众多家庭经济困难学生的生活费，缓解困难家庭经济压力，保证家庭经济困难学生公平接受义务教育的权利，为推进社会公平，阻断贫困代际传递发挥积极作用，促进我校教育事业的稳定、健康发展。</w:t>
            </w:r>
          </w:p>
        </w:tc>
      </w:tr>
      <w:tr>
        <w:tblPrEx>
          <w:tblCellMar>
            <w:top w:w="0" w:type="dxa"/>
            <w:left w:w="0" w:type="dxa"/>
            <w:bottom w:w="0" w:type="dxa"/>
            <w:right w:w="0" w:type="dxa"/>
          </w:tblCellMar>
        </w:tblPrEx>
        <w:trPr>
          <w:trHeight w:val="416" w:hRule="atLeast"/>
        </w:trPr>
        <w:tc>
          <w:tcPr>
            <w:tcW w:w="69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622"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931"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1214"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501"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571"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77" w:type="dxa"/>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367"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42"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76" w:type="dxa"/>
            <w:gridSpan w:val="4"/>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09"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18" w:type="dxa"/>
            <w:gridSpan w:val="2"/>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655" w:type="dxa"/>
            <w:gridSpan w:val="3"/>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16" w:hRule="atLeast"/>
        </w:trPr>
        <w:tc>
          <w:tcPr>
            <w:tcW w:w="699"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22"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646"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571"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47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809"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85" w:type="dxa"/>
            <w:gridSpan w:val="6"/>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073" w:type="dxa"/>
            <w:gridSpan w:val="5"/>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537"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646"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71"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09"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5" w:type="dxa"/>
            <w:gridSpan w:val="6"/>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073" w:type="dxa"/>
            <w:gridSpan w:val="5"/>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882" w:hRule="atLeast"/>
        </w:trPr>
        <w:tc>
          <w:tcPr>
            <w:tcW w:w="699"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5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资助困难学生人数</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&gt;=33人</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173人</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严格把控发放困难生补助标准，认真仔细筛选符合发放标准学生。</w:t>
            </w: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每年发放困难生补助次数</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&gt;=2次</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2次</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符合补助政策学生覆盖率</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补助发放符合度</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补助发放及时性</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95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小学非寄宿生生均补助标准</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=312.5元/生/学期</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312.5元/生/学期</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6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降低家庭困难学生失学率</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有效降低</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完全达到预期效果</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6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提高学生体质健康</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有效提高</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完全达到预期效果</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学生满意度</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642" w:hRule="atLeast"/>
        </w:trPr>
        <w:tc>
          <w:tcPr>
            <w:tcW w:w="699"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2646" w:type="dxa"/>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家长满意度</w:t>
            </w: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16" w:hRule="atLeast"/>
        </w:trPr>
        <w:tc>
          <w:tcPr>
            <w:tcW w:w="69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931"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1214" w:type="dxa"/>
            <w:tcBorders>
              <w:top w:val="single" w:color="000000" w:sz="4" w:space="0"/>
              <w:left w:val="nil"/>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501"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57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67" w:type="dxa"/>
            <w:gridSpan w:val="2"/>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4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6" w:type="dxa"/>
            <w:gridSpan w:val="4"/>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09" w:type="dxa"/>
            <w:gridSpan w:val="2"/>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1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55"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16" w:hRule="atLeast"/>
        </w:trPr>
        <w:tc>
          <w:tcPr>
            <w:tcW w:w="5673" w:type="dxa"/>
            <w:gridSpan w:val="1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809" w:type="dxa"/>
            <w:gridSpan w:val="3"/>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885"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98.72分</w:t>
            </w:r>
          </w:p>
        </w:tc>
        <w:tc>
          <w:tcPr>
            <w:tcW w:w="107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16" w:hRule="atLeast"/>
        </w:trPr>
        <w:tc>
          <w:tcPr>
            <w:tcW w:w="1357" w:type="dxa"/>
            <w:gridSpan w:val="4"/>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项目负责人：</w:t>
            </w:r>
          </w:p>
        </w:tc>
        <w:tc>
          <w:tcPr>
            <w:tcW w:w="2767" w:type="dxa"/>
            <w:gridSpan w:val="5"/>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马晶</w:t>
            </w:r>
          </w:p>
        </w:tc>
        <w:tc>
          <w:tcPr>
            <w:tcW w:w="1916" w:type="dxa"/>
            <w:gridSpan w:val="7"/>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2400" w:type="dxa"/>
            <w:gridSpan w:val="12"/>
            <w:tcBorders>
              <w:top w:val="single" w:color="000000" w:sz="4" w:space="0"/>
              <w:left w:val="nil"/>
              <w:bottom w:val="nil"/>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06" w:hRule="atLeast"/>
        </w:trPr>
        <w:tc>
          <w:tcPr>
            <w:tcW w:w="1357" w:type="dxa"/>
            <w:gridSpan w:val="4"/>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 办 人：</w:t>
            </w:r>
          </w:p>
        </w:tc>
        <w:tc>
          <w:tcPr>
            <w:tcW w:w="2767"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张楠</w:t>
            </w:r>
          </w:p>
        </w:tc>
        <w:tc>
          <w:tcPr>
            <w:tcW w:w="1916" w:type="dxa"/>
            <w:gridSpan w:val="7"/>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联系电话：</w:t>
            </w:r>
          </w:p>
        </w:tc>
        <w:tc>
          <w:tcPr>
            <w:tcW w:w="2400" w:type="dxa"/>
            <w:gridSpan w:val="12"/>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18199986602</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tbl>
      <w:tblPr>
        <w:tblStyle w:val="9"/>
        <w:tblW w:w="8430" w:type="dxa"/>
        <w:tblInd w:w="0" w:type="dxa"/>
        <w:tblLayout w:type="autofit"/>
        <w:tblCellMar>
          <w:top w:w="0" w:type="dxa"/>
          <w:left w:w="0" w:type="dxa"/>
          <w:bottom w:w="0" w:type="dxa"/>
          <w:right w:w="0" w:type="dxa"/>
        </w:tblCellMar>
      </w:tblPr>
      <w:tblGrid>
        <w:gridCol w:w="704"/>
        <w:gridCol w:w="686"/>
        <w:gridCol w:w="672"/>
        <w:gridCol w:w="850"/>
        <w:gridCol w:w="1116"/>
        <w:gridCol w:w="472"/>
        <w:gridCol w:w="487"/>
        <w:gridCol w:w="391"/>
        <w:gridCol w:w="409"/>
        <w:gridCol w:w="472"/>
        <w:gridCol w:w="523"/>
        <w:gridCol w:w="404"/>
        <w:gridCol w:w="439"/>
        <w:gridCol w:w="805"/>
      </w:tblGrid>
      <w:tr>
        <w:tblPrEx>
          <w:tblCellMar>
            <w:top w:w="0" w:type="dxa"/>
            <w:left w:w="0" w:type="dxa"/>
            <w:bottom w:w="0" w:type="dxa"/>
            <w:right w:w="0" w:type="dxa"/>
          </w:tblCellMar>
        </w:tblPrEx>
        <w:trPr>
          <w:trHeight w:val="651" w:hRule="atLeast"/>
        </w:trPr>
        <w:tc>
          <w:tcPr>
            <w:tcW w:w="8430" w:type="dxa"/>
            <w:gridSpan w:val="14"/>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项目支出绩效自评表</w:t>
            </w:r>
          </w:p>
        </w:tc>
      </w:tr>
      <w:tr>
        <w:tblPrEx>
          <w:tblCellMar>
            <w:top w:w="0" w:type="dxa"/>
            <w:left w:w="0" w:type="dxa"/>
            <w:bottom w:w="0" w:type="dxa"/>
            <w:right w:w="0" w:type="dxa"/>
          </w:tblCellMar>
        </w:tblPrEx>
        <w:trPr>
          <w:trHeight w:val="343" w:hRule="atLeast"/>
        </w:trPr>
        <w:tc>
          <w:tcPr>
            <w:tcW w:w="8430" w:type="dxa"/>
            <w:gridSpan w:val="14"/>
            <w:tcBorders>
              <w:top w:val="nil"/>
              <w:left w:val="nil"/>
              <w:bottom w:val="nil"/>
              <w:right w:val="nil"/>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1"/>
                <w:szCs w:val="11"/>
                <w:u w:val="none"/>
              </w:rPr>
            </w:pPr>
            <w:r>
              <w:rPr>
                <w:rFonts w:hint="eastAsia" w:ascii="宋体" w:hAnsi="宋体" w:eastAsia="宋体" w:cs="宋体"/>
                <w:i w:val="0"/>
                <w:color w:val="000000"/>
                <w:kern w:val="0"/>
                <w:sz w:val="11"/>
                <w:szCs w:val="11"/>
                <w:u w:val="none"/>
                <w:lang w:val="en-US" w:eastAsia="zh-CN" w:bidi="ar"/>
              </w:rPr>
              <w:t>(2022年度)</w:t>
            </w:r>
          </w:p>
        </w:tc>
      </w:tr>
      <w:tr>
        <w:tblPrEx>
          <w:tblCellMar>
            <w:top w:w="0" w:type="dxa"/>
            <w:left w:w="0" w:type="dxa"/>
            <w:bottom w:w="0" w:type="dxa"/>
            <w:right w:w="0" w:type="dxa"/>
          </w:tblCellMar>
        </w:tblPrEx>
        <w:trPr>
          <w:trHeight w:val="681" w:hRule="atLeast"/>
        </w:trPr>
        <w:tc>
          <w:tcPr>
            <w:tcW w:w="139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项目名称</w:t>
            </w:r>
          </w:p>
        </w:tc>
        <w:tc>
          <w:tcPr>
            <w:tcW w:w="7040" w:type="dxa"/>
            <w:gridSpan w:val="1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乌财科教【2022】45号关于拨付2022年中小学和幼儿园自聘教师补助资金的通知（转移支付）</w:t>
            </w:r>
          </w:p>
        </w:tc>
      </w:tr>
      <w:tr>
        <w:tblPrEx>
          <w:tblCellMar>
            <w:top w:w="0" w:type="dxa"/>
            <w:left w:w="0" w:type="dxa"/>
            <w:bottom w:w="0" w:type="dxa"/>
            <w:right w:w="0" w:type="dxa"/>
          </w:tblCellMar>
        </w:tblPrEx>
        <w:trPr>
          <w:trHeight w:val="456" w:hRule="atLeast"/>
        </w:trPr>
        <w:tc>
          <w:tcPr>
            <w:tcW w:w="139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主管部门</w:t>
            </w:r>
          </w:p>
        </w:tc>
        <w:tc>
          <w:tcPr>
            <w:tcW w:w="3597"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实施单位</w:t>
            </w:r>
          </w:p>
        </w:tc>
        <w:tc>
          <w:tcPr>
            <w:tcW w:w="2643" w:type="dxa"/>
            <w:gridSpan w:val="5"/>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乌鲁木齐市第五十三小学</w:t>
            </w:r>
          </w:p>
        </w:tc>
      </w:tr>
      <w:tr>
        <w:tblPrEx>
          <w:tblCellMar>
            <w:top w:w="0" w:type="dxa"/>
            <w:left w:w="0" w:type="dxa"/>
            <w:bottom w:w="0" w:type="dxa"/>
            <w:right w:w="0" w:type="dxa"/>
          </w:tblCellMar>
        </w:tblPrEx>
        <w:trPr>
          <w:trHeight w:val="681" w:hRule="atLeast"/>
        </w:trPr>
        <w:tc>
          <w:tcPr>
            <w:tcW w:w="1390"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项目资金</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（万元）</w:t>
            </w:r>
          </w:p>
        </w:tc>
        <w:tc>
          <w:tcPr>
            <w:tcW w:w="15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年初预算数</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全年预算数</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全年执行数</w:t>
            </w:r>
          </w:p>
        </w:tc>
        <w:tc>
          <w:tcPr>
            <w:tcW w:w="9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r>
      <w:tr>
        <w:tblPrEx>
          <w:tblCellMar>
            <w:top w:w="0" w:type="dxa"/>
            <w:left w:w="0" w:type="dxa"/>
            <w:bottom w:w="0" w:type="dxa"/>
            <w:right w:w="0" w:type="dxa"/>
          </w:tblCellMar>
        </w:tblPrEx>
        <w:trPr>
          <w:trHeight w:val="456"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年度资金总额</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12.78</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9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0.00分</w:t>
            </w:r>
          </w:p>
        </w:tc>
      </w:tr>
      <w:tr>
        <w:tblPrEx>
          <w:tblCellMar>
            <w:top w:w="0" w:type="dxa"/>
            <w:left w:w="0" w:type="dxa"/>
            <w:bottom w:w="0" w:type="dxa"/>
            <w:right w:w="0" w:type="dxa"/>
          </w:tblCellMar>
        </w:tblPrEx>
        <w:trPr>
          <w:trHeight w:val="681"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其中：当年财政拨款</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12.78</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681"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上年结转资金</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56" w:hRule="atLeast"/>
        </w:trPr>
        <w:tc>
          <w:tcPr>
            <w:tcW w:w="1390"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52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 xml:space="preserve">  其他资金</w:t>
            </w:r>
          </w:p>
        </w:tc>
        <w:tc>
          <w:tcPr>
            <w:tcW w:w="11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59"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00"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995"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43"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56" w:hRule="atLeast"/>
        </w:trPr>
        <w:tc>
          <w:tcPr>
            <w:tcW w:w="7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年度总体目标</w:t>
            </w:r>
          </w:p>
        </w:tc>
        <w:tc>
          <w:tcPr>
            <w:tcW w:w="4283"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预期目标</w:t>
            </w:r>
          </w:p>
        </w:tc>
        <w:tc>
          <w:tcPr>
            <w:tcW w:w="344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实际完成情况</w:t>
            </w:r>
          </w:p>
        </w:tc>
      </w:tr>
      <w:tr>
        <w:tblPrEx>
          <w:tblCellMar>
            <w:top w:w="0" w:type="dxa"/>
            <w:left w:w="0" w:type="dxa"/>
            <w:bottom w:w="0" w:type="dxa"/>
            <w:right w:w="0" w:type="dxa"/>
          </w:tblCellMar>
        </w:tblPrEx>
        <w:trPr>
          <w:trHeight w:val="2216"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283" w:type="dxa"/>
            <w:gridSpan w:val="6"/>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项目资金用于向自聘教师发放正常工资和社会保障缴费等补助；全面帮助学校提升教育教学质量，改善学校办学管理水平，进一步提升教师队伍素质，切实推进新疆基础教育事业发展；及时组织协调解决问题，密切跟进项目落实情况，确保项目有组织、有计划、有步骤地推进；力争年度内基本完成各项指标设定值，从而实现该项目的社会效益。</w:t>
            </w:r>
          </w:p>
        </w:tc>
        <w:tc>
          <w:tcPr>
            <w:tcW w:w="3443" w:type="dxa"/>
            <w:gridSpan w:val="7"/>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项目未实施</w:t>
            </w:r>
          </w:p>
        </w:tc>
      </w:tr>
      <w:tr>
        <w:tblPrEx>
          <w:tblCellMar>
            <w:top w:w="0" w:type="dxa"/>
            <w:left w:w="0" w:type="dxa"/>
            <w:bottom w:w="0" w:type="dxa"/>
            <w:right w:w="0" w:type="dxa"/>
          </w:tblCellMar>
        </w:tblPrEx>
        <w:trPr>
          <w:trHeight w:val="456" w:hRule="atLeast"/>
        </w:trPr>
        <w:tc>
          <w:tcPr>
            <w:tcW w:w="7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672"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850"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1116"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72"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87" w:type="dxa"/>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391" w:type="dxa"/>
            <w:tcBorders>
              <w:top w:val="single" w:color="000000" w:sz="4" w:space="0"/>
              <w:left w:val="single" w:color="000000" w:sz="4" w:space="0"/>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09"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72"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523"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04"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439" w:type="dxa"/>
            <w:tcBorders>
              <w:top w:val="single" w:color="000000" w:sz="4" w:space="0"/>
              <w:left w:val="nil"/>
              <w:bottom w:val="single" w:color="000000" w:sz="4" w:space="0"/>
              <w:right w:val="nil"/>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c>
          <w:tcPr>
            <w:tcW w:w="805" w:type="dxa"/>
            <w:tcBorders>
              <w:top w:val="single" w:color="000000" w:sz="4" w:space="0"/>
              <w:left w:val="nil"/>
              <w:bottom w:val="single" w:color="000000" w:sz="4" w:space="0"/>
              <w:right w:val="single" w:color="000000" w:sz="4" w:space="0"/>
            </w:tcBorders>
            <w:noWrap w:val="0"/>
            <w:tcMar>
              <w:top w:w="12" w:type="dxa"/>
              <w:left w:w="12" w:type="dxa"/>
              <w:right w:w="12" w:type="dxa"/>
            </w:tcMar>
            <w:vAlign w:val="top"/>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56" w:hRule="atLeast"/>
        </w:trPr>
        <w:tc>
          <w:tcPr>
            <w:tcW w:w="7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一级指标</w:t>
            </w:r>
          </w:p>
        </w:tc>
        <w:tc>
          <w:tcPr>
            <w:tcW w:w="672"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二级指标</w:t>
            </w:r>
          </w:p>
        </w:tc>
        <w:tc>
          <w:tcPr>
            <w:tcW w:w="2438" w:type="dxa"/>
            <w:gridSpan w:val="3"/>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三级指标</w:t>
            </w:r>
          </w:p>
        </w:tc>
        <w:tc>
          <w:tcPr>
            <w:tcW w:w="48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年度指标值</w:t>
            </w:r>
          </w:p>
        </w:tc>
        <w:tc>
          <w:tcPr>
            <w:tcW w:w="391"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实际完成值</w:t>
            </w:r>
          </w:p>
        </w:tc>
        <w:tc>
          <w:tcPr>
            <w:tcW w:w="881"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分值</w:t>
            </w:r>
          </w:p>
        </w:tc>
        <w:tc>
          <w:tcPr>
            <w:tcW w:w="927"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得分</w:t>
            </w:r>
          </w:p>
        </w:tc>
        <w:tc>
          <w:tcPr>
            <w:tcW w:w="1244" w:type="dxa"/>
            <w:gridSpan w:val="2"/>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偏差原因分析及改进措施</w:t>
            </w:r>
          </w:p>
        </w:tc>
      </w:tr>
      <w:tr>
        <w:tblPrEx>
          <w:tblCellMar>
            <w:top w:w="0" w:type="dxa"/>
            <w:left w:w="0" w:type="dxa"/>
            <w:bottom w:w="0" w:type="dxa"/>
            <w:right w:w="0" w:type="dxa"/>
          </w:tblCellMar>
        </w:tblPrEx>
        <w:trPr>
          <w:trHeight w:val="576"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2438" w:type="dxa"/>
            <w:gridSpan w:val="3"/>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8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91"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1"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927"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4" w:type="dxa"/>
            <w:gridSpan w:val="2"/>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94" w:hRule="atLeast"/>
        </w:trPr>
        <w:tc>
          <w:tcPr>
            <w:tcW w:w="70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年度绩效指标完成情况</w:t>
            </w:r>
          </w:p>
        </w:tc>
        <w:tc>
          <w:tcPr>
            <w:tcW w:w="68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产出指标</w:t>
            </w: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发放补助人数</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&gt;=10人</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0人</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1294"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发放补助次数</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&gt;=4次</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0次</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1294"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临聘教师补助资金使用合规率</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1294"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补助发放及时率</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1294"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发放补助成本</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=3195元/人/次</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0元/人/次</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681"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效益指标</w:t>
            </w: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97"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提高学校教学水平</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显著提高</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未达到预期效果</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681"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1297"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保障学校教学正常运转</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有效保障</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未达到预期效果</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1294" w:hRule="atLeast"/>
        </w:trPr>
        <w:tc>
          <w:tcPr>
            <w:tcW w:w="70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临聘教师满意度</w:t>
            </w: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&gt;=95%</w:t>
            </w: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highlight w:val="none"/>
                <w:u w:val="none"/>
              </w:rPr>
            </w:pPr>
            <w:r>
              <w:rPr>
                <w:rFonts w:hint="eastAsia" w:ascii="宋体" w:hAnsi="宋体" w:eastAsia="宋体" w:cs="宋体"/>
                <w:i w:val="0"/>
                <w:color w:val="000000"/>
                <w:kern w:val="0"/>
                <w:sz w:val="16"/>
                <w:szCs w:val="16"/>
                <w:highlight w:val="none"/>
                <w:u w:val="none"/>
                <w:lang w:val="en-US" w:eastAsia="zh-CN" w:bidi="ar"/>
              </w:rPr>
              <w:t>年中预算追加较晚，受</w:t>
            </w:r>
            <w:r>
              <w:rPr>
                <w:rFonts w:hint="eastAsia" w:ascii="宋体" w:hAnsi="宋体" w:cs="宋体"/>
                <w:i w:val="0"/>
                <w:color w:val="000000"/>
                <w:kern w:val="0"/>
                <w:sz w:val="16"/>
                <w:szCs w:val="16"/>
                <w:highlight w:val="none"/>
                <w:u w:val="none"/>
                <w:lang w:val="en-US" w:eastAsia="zh-CN" w:bidi="ar"/>
              </w:rPr>
              <w:t>时间</w:t>
            </w:r>
            <w:r>
              <w:rPr>
                <w:rFonts w:hint="eastAsia" w:ascii="宋体" w:hAnsi="宋体" w:eastAsia="宋体" w:cs="宋体"/>
                <w:i w:val="0"/>
                <w:color w:val="000000"/>
                <w:kern w:val="0"/>
                <w:sz w:val="16"/>
                <w:szCs w:val="16"/>
                <w:highlight w:val="none"/>
                <w:u w:val="none"/>
                <w:lang w:val="en-US" w:eastAsia="zh-CN" w:bidi="ar"/>
              </w:rPr>
              <w:t>影响，项目未实施。</w:t>
            </w:r>
          </w:p>
        </w:tc>
      </w:tr>
      <w:tr>
        <w:tblPrEx>
          <w:tblCellMar>
            <w:top w:w="0" w:type="dxa"/>
            <w:left w:w="0" w:type="dxa"/>
            <w:bottom w:w="0" w:type="dxa"/>
            <w:right w:w="0" w:type="dxa"/>
          </w:tblCellMar>
        </w:tblPrEx>
        <w:trPr>
          <w:trHeight w:val="456" w:hRule="atLeast"/>
        </w:trPr>
        <w:tc>
          <w:tcPr>
            <w:tcW w:w="7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8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67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50"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1116" w:type="dxa"/>
            <w:tcBorders>
              <w:top w:val="single" w:color="000000" w:sz="4" w:space="0"/>
              <w:left w:val="nil"/>
              <w:bottom w:val="single" w:color="000000" w:sz="4" w:space="0"/>
              <w:right w:val="nil"/>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7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left"/>
              <w:rPr>
                <w:rFonts w:hint="eastAsia" w:ascii="宋体" w:hAnsi="宋体" w:eastAsia="宋体" w:cs="宋体"/>
                <w:i w:val="0"/>
                <w:color w:val="000000"/>
                <w:sz w:val="16"/>
                <w:szCs w:val="16"/>
                <w:u w:val="none"/>
              </w:rPr>
            </w:pPr>
          </w:p>
        </w:tc>
        <w:tc>
          <w:tcPr>
            <w:tcW w:w="48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391"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09"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72"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523" w:type="dxa"/>
            <w:tcBorders>
              <w:top w:val="single" w:color="000000" w:sz="4" w:space="0"/>
              <w:left w:val="single" w:color="000000" w:sz="4" w:space="0"/>
              <w:bottom w:val="single" w:color="000000" w:sz="4" w:space="0"/>
              <w:right w:val="nil"/>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04" w:type="dxa"/>
            <w:tcBorders>
              <w:top w:val="single" w:color="000000" w:sz="4" w:space="0"/>
              <w:left w:val="nil"/>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43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c>
          <w:tcPr>
            <w:tcW w:w="8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56" w:hRule="atLeast"/>
        </w:trPr>
        <w:tc>
          <w:tcPr>
            <w:tcW w:w="5378" w:type="dxa"/>
            <w:gridSpan w:val="8"/>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总分</w:t>
            </w:r>
          </w:p>
        </w:tc>
        <w:tc>
          <w:tcPr>
            <w:tcW w:w="881"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927"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0.00分</w:t>
            </w:r>
          </w:p>
        </w:tc>
        <w:tc>
          <w:tcPr>
            <w:tcW w:w="124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i w:val="0"/>
                <w:color w:val="000000"/>
                <w:sz w:val="16"/>
                <w:szCs w:val="16"/>
                <w:u w:val="none"/>
              </w:rPr>
            </w:pPr>
          </w:p>
        </w:tc>
      </w:tr>
      <w:tr>
        <w:tblPrEx>
          <w:tblCellMar>
            <w:top w:w="0" w:type="dxa"/>
            <w:left w:w="0" w:type="dxa"/>
            <w:bottom w:w="0" w:type="dxa"/>
            <w:right w:w="0" w:type="dxa"/>
          </w:tblCellMar>
        </w:tblPrEx>
        <w:trPr>
          <w:trHeight w:val="456" w:hRule="atLeast"/>
        </w:trPr>
        <w:tc>
          <w:tcPr>
            <w:tcW w:w="1390" w:type="dxa"/>
            <w:gridSpan w:val="2"/>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项目负责人：</w:t>
            </w:r>
          </w:p>
        </w:tc>
        <w:tc>
          <w:tcPr>
            <w:tcW w:w="2638" w:type="dxa"/>
            <w:gridSpan w:val="3"/>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杜红芳</w:t>
            </w:r>
          </w:p>
        </w:tc>
        <w:tc>
          <w:tcPr>
            <w:tcW w:w="1759" w:type="dxa"/>
            <w:gridSpan w:val="4"/>
            <w:tcBorders>
              <w:top w:val="single" w:color="000000" w:sz="4" w:space="0"/>
              <w:left w:val="nil"/>
              <w:bottom w:val="nil"/>
              <w:right w:val="nil"/>
            </w:tcBorders>
            <w:noWrap w:val="0"/>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联系电话：</w:t>
            </w:r>
          </w:p>
        </w:tc>
        <w:tc>
          <w:tcPr>
            <w:tcW w:w="2643" w:type="dxa"/>
            <w:gridSpan w:val="5"/>
            <w:tcBorders>
              <w:top w:val="single" w:color="000000" w:sz="4" w:space="0"/>
              <w:left w:val="nil"/>
              <w:bottom w:val="nil"/>
              <w:right w:val="nil"/>
            </w:tcBorders>
            <w:noWrap w:val="0"/>
            <w:tcMar>
              <w:top w:w="12" w:type="dxa"/>
              <w:left w:w="12" w:type="dxa"/>
              <w:right w:w="12" w:type="dxa"/>
            </w:tcMar>
            <w:vAlign w:val="center"/>
          </w:tcPr>
          <w:p>
            <w:pPr>
              <w:jc w:val="left"/>
              <w:rPr>
                <w:rFonts w:hint="eastAsia" w:ascii="宋体" w:hAnsi="宋体" w:eastAsia="宋体" w:cs="宋体"/>
                <w:i w:val="0"/>
                <w:color w:val="000000"/>
                <w:sz w:val="15"/>
                <w:szCs w:val="15"/>
                <w:u w:val="none"/>
              </w:rPr>
            </w:pPr>
          </w:p>
        </w:tc>
      </w:tr>
      <w:tr>
        <w:tblPrEx>
          <w:tblCellMar>
            <w:top w:w="0" w:type="dxa"/>
            <w:left w:w="0" w:type="dxa"/>
            <w:bottom w:w="0" w:type="dxa"/>
            <w:right w:w="0" w:type="dxa"/>
          </w:tblCellMar>
        </w:tblPrEx>
        <w:trPr>
          <w:trHeight w:val="426" w:hRule="atLeast"/>
        </w:trPr>
        <w:tc>
          <w:tcPr>
            <w:tcW w:w="0" w:type="auto"/>
            <w:gridSpan w:val="2"/>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经 办 人：</w:t>
            </w:r>
          </w:p>
        </w:tc>
        <w:tc>
          <w:tcPr>
            <w:tcW w:w="0" w:type="auto"/>
            <w:gridSpan w:val="3"/>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潘超</w:t>
            </w:r>
          </w:p>
        </w:tc>
        <w:tc>
          <w:tcPr>
            <w:tcW w:w="0" w:type="auto"/>
            <w:gridSpan w:val="4"/>
            <w:tcBorders>
              <w:top w:val="nil"/>
              <w:left w:val="nil"/>
              <w:bottom w:val="nil"/>
              <w:right w:val="nil"/>
            </w:tcBorders>
            <w:noWrap/>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联系电话：</w:t>
            </w:r>
          </w:p>
        </w:tc>
        <w:tc>
          <w:tcPr>
            <w:tcW w:w="2643" w:type="dxa"/>
            <w:gridSpan w:val="5"/>
            <w:tcBorders>
              <w:top w:val="nil"/>
              <w:left w:val="nil"/>
              <w:bottom w:val="nil"/>
              <w:right w:val="nil"/>
            </w:tcBorders>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15"/>
                <w:szCs w:val="15"/>
                <w:u w:val="none"/>
              </w:rPr>
            </w:pPr>
            <w:r>
              <w:rPr>
                <w:rFonts w:hint="eastAsia" w:ascii="宋体" w:hAnsi="宋体" w:eastAsia="宋体" w:cs="宋体"/>
                <w:i w:val="0"/>
                <w:color w:val="000000"/>
                <w:kern w:val="0"/>
                <w:sz w:val="15"/>
                <w:szCs w:val="15"/>
                <w:u w:val="none"/>
                <w:lang w:val="en-US" w:eastAsia="zh-CN" w:bidi="ar"/>
              </w:rPr>
              <w:t>13209931386</w:t>
            </w:r>
          </w:p>
        </w:tc>
      </w:tr>
    </w:tbl>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6062"/>
      <w:bookmarkStart w:id="39" w:name="_Toc2183"/>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29106"/>
      <w:bookmarkStart w:id="51" w:name="_Toc32663"/>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5453"/>
      <w:bookmarkStart w:id="53" w:name="_Toc764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0637155"/>
    <w:rsid w:val="007D3B3A"/>
    <w:rsid w:val="02B53C09"/>
    <w:rsid w:val="02F73D26"/>
    <w:rsid w:val="034D4FEF"/>
    <w:rsid w:val="035276C6"/>
    <w:rsid w:val="043E5B56"/>
    <w:rsid w:val="056D30AA"/>
    <w:rsid w:val="06792773"/>
    <w:rsid w:val="06E974B9"/>
    <w:rsid w:val="0A7B4867"/>
    <w:rsid w:val="0B8C3ECC"/>
    <w:rsid w:val="0C7227A7"/>
    <w:rsid w:val="0D7471CD"/>
    <w:rsid w:val="10412701"/>
    <w:rsid w:val="13003021"/>
    <w:rsid w:val="169A52DA"/>
    <w:rsid w:val="18333546"/>
    <w:rsid w:val="1C1553FF"/>
    <w:rsid w:val="1CF53A4F"/>
    <w:rsid w:val="1D70476B"/>
    <w:rsid w:val="1DAD6772"/>
    <w:rsid w:val="1DAF458D"/>
    <w:rsid w:val="203A2569"/>
    <w:rsid w:val="20DD6197"/>
    <w:rsid w:val="20FB5A46"/>
    <w:rsid w:val="21890371"/>
    <w:rsid w:val="22440C4E"/>
    <w:rsid w:val="22D55CD6"/>
    <w:rsid w:val="23BC04D2"/>
    <w:rsid w:val="24F84776"/>
    <w:rsid w:val="26DB60FD"/>
    <w:rsid w:val="27A60658"/>
    <w:rsid w:val="27CF2642"/>
    <w:rsid w:val="2802244F"/>
    <w:rsid w:val="28AB1862"/>
    <w:rsid w:val="29897145"/>
    <w:rsid w:val="2A053397"/>
    <w:rsid w:val="2BC16B4E"/>
    <w:rsid w:val="2CED7733"/>
    <w:rsid w:val="2D1136DF"/>
    <w:rsid w:val="2E424CB4"/>
    <w:rsid w:val="2FD27414"/>
    <w:rsid w:val="30B01BD9"/>
    <w:rsid w:val="31C63837"/>
    <w:rsid w:val="32E4458C"/>
    <w:rsid w:val="333E5366"/>
    <w:rsid w:val="33A46055"/>
    <w:rsid w:val="344B620B"/>
    <w:rsid w:val="35F7040C"/>
    <w:rsid w:val="366E32EF"/>
    <w:rsid w:val="3914510A"/>
    <w:rsid w:val="399A3BF6"/>
    <w:rsid w:val="3D5275AC"/>
    <w:rsid w:val="3E3C34CE"/>
    <w:rsid w:val="404448BC"/>
    <w:rsid w:val="40834692"/>
    <w:rsid w:val="428248B5"/>
    <w:rsid w:val="43375148"/>
    <w:rsid w:val="444035EC"/>
    <w:rsid w:val="46901EEE"/>
    <w:rsid w:val="469C74D2"/>
    <w:rsid w:val="472D60AA"/>
    <w:rsid w:val="476B5398"/>
    <w:rsid w:val="486A0A26"/>
    <w:rsid w:val="4B4C0111"/>
    <w:rsid w:val="50570962"/>
    <w:rsid w:val="50AD2009"/>
    <w:rsid w:val="50B47C8D"/>
    <w:rsid w:val="50DB5F45"/>
    <w:rsid w:val="51BE7110"/>
    <w:rsid w:val="52F92565"/>
    <w:rsid w:val="55943798"/>
    <w:rsid w:val="568E6E54"/>
    <w:rsid w:val="583059FA"/>
    <w:rsid w:val="59360753"/>
    <w:rsid w:val="5E45145C"/>
    <w:rsid w:val="5F1A3426"/>
    <w:rsid w:val="5FA17648"/>
    <w:rsid w:val="5FC944BD"/>
    <w:rsid w:val="60E173AB"/>
    <w:rsid w:val="617A7CE6"/>
    <w:rsid w:val="61A46A97"/>
    <w:rsid w:val="61AB7E9F"/>
    <w:rsid w:val="61FC52CC"/>
    <w:rsid w:val="62DD7D21"/>
    <w:rsid w:val="65136487"/>
    <w:rsid w:val="656D4FAB"/>
    <w:rsid w:val="65D97752"/>
    <w:rsid w:val="665651F7"/>
    <w:rsid w:val="68DB0208"/>
    <w:rsid w:val="69846A0E"/>
    <w:rsid w:val="69AD798C"/>
    <w:rsid w:val="69E66EDE"/>
    <w:rsid w:val="6A8D4CA2"/>
    <w:rsid w:val="6B68175F"/>
    <w:rsid w:val="6C7E0B56"/>
    <w:rsid w:val="6D11736B"/>
    <w:rsid w:val="6D352509"/>
    <w:rsid w:val="6E0F7A08"/>
    <w:rsid w:val="70C057B1"/>
    <w:rsid w:val="71473612"/>
    <w:rsid w:val="718F7F65"/>
    <w:rsid w:val="725D51E5"/>
    <w:rsid w:val="727662A7"/>
    <w:rsid w:val="73684FBD"/>
    <w:rsid w:val="73FB6630"/>
    <w:rsid w:val="74A94712"/>
    <w:rsid w:val="74E76DCD"/>
    <w:rsid w:val="75F419BD"/>
    <w:rsid w:val="760E180A"/>
    <w:rsid w:val="76F633E3"/>
    <w:rsid w:val="76FD5F32"/>
    <w:rsid w:val="77ED6F44"/>
    <w:rsid w:val="7C1818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Autospacing="0"/>
    </w:pPr>
  </w:style>
  <w:style w:type="paragraph" w:styleId="3">
    <w:name w:val="annotation text"/>
    <w:basedOn w:val="1"/>
    <w:uiPriority w:val="0"/>
    <w:pPr>
      <w:jc w:val="left"/>
    </w:pPr>
  </w:style>
  <w:style w:type="paragraph" w:styleId="4">
    <w:name w:val="toc 3"/>
    <w:basedOn w:val="1"/>
    <w:next w:val="1"/>
    <w:qFormat/>
    <w:uiPriority w:val="0"/>
    <w:pPr>
      <w:ind w:left="840" w:leftChars="4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3"/>
    <w:uiPriority w:val="0"/>
    <w:pPr>
      <w:ind w:leftChars="40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7536</Words>
  <Characters>8281</Characters>
  <Lines>0</Lines>
  <Paragraphs>0</Paragraphs>
  <TotalTime>0</TotalTime>
  <ScaleCrop>false</ScaleCrop>
  <LinksUpToDate>false</LinksUpToDate>
  <CharactersWithSpaces>8321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卡师夫</cp:lastModifiedBy>
  <dcterms:modified xsi:type="dcterms:W3CDTF">2024-02-19T08:10:11Z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6541C99E2188441AAAF2A95157D09B30</vt:lpwstr>
  </property>
</Properties>
</file>