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p>
    <w:p>
      <w:pPr>
        <w:keepNext w:val="0"/>
        <w:keepLines w:val="0"/>
        <w:pageBreakBefore w:val="0"/>
        <w:widowControl w:val="0"/>
        <w:kinsoku/>
        <w:wordWrap/>
        <w:overflowPunct/>
        <w:topLinePunct w:val="0"/>
        <w:adjustRightInd/>
        <w:snapToGrid/>
        <w:spacing w:line="240" w:lineRule="auto"/>
        <w:jc w:val="center"/>
        <w:textAlignment w:val="auto"/>
        <w:rPr>
          <w:rFonts w:hint="eastAsia" w:ascii="方正小标宋_GBK" w:hAnsi="方正小标宋_GBK" w:eastAsia="方正小标宋_GBK"/>
          <w:sz w:val="44"/>
          <w:szCs w:val="44"/>
          <w:highlight w:val="none"/>
        </w:rPr>
      </w:pPr>
    </w:p>
    <w:p>
      <w:pPr>
        <w:keepNext w:val="0"/>
        <w:keepLines w:val="0"/>
        <w:pageBreakBefore w:val="0"/>
        <w:widowControl w:val="0"/>
        <w:kinsoku/>
        <w:wordWrap/>
        <w:overflowPunct/>
        <w:topLinePunct w:val="0"/>
        <w:adjustRightInd/>
        <w:snapToGrid/>
        <w:spacing w:line="240" w:lineRule="auto"/>
        <w:jc w:val="center"/>
        <w:textAlignment w:val="auto"/>
        <w:rPr>
          <w:rFonts w:hint="eastAsia" w:ascii="方正小标宋_GBK" w:hAnsi="方正小标宋_GBK" w:eastAsia="方正小标宋_GBK"/>
          <w:sz w:val="44"/>
          <w:szCs w:val="44"/>
          <w:highlight w:val="none"/>
        </w:rPr>
      </w:pPr>
    </w:p>
    <w:p>
      <w:pPr>
        <w:keepNext w:val="0"/>
        <w:keepLines w:val="0"/>
        <w:pageBreakBefore w:val="0"/>
        <w:widowControl w:val="0"/>
        <w:kinsoku/>
        <w:wordWrap/>
        <w:overflowPunct/>
        <w:topLinePunct w:val="0"/>
        <w:adjustRightInd/>
        <w:snapToGrid/>
        <w:spacing w:line="240" w:lineRule="auto"/>
        <w:jc w:val="center"/>
        <w:textAlignment w:val="auto"/>
        <w:rPr>
          <w:rFonts w:hint="eastAsia" w:ascii="方正小标宋_GBK" w:hAnsi="方正小标宋_GBK" w:eastAsia="方正小标宋_GBK"/>
          <w:sz w:val="44"/>
          <w:szCs w:val="44"/>
          <w:highlight w:val="none"/>
        </w:rPr>
      </w:pPr>
    </w:p>
    <w:p>
      <w:pPr>
        <w:keepNext w:val="0"/>
        <w:keepLines w:val="0"/>
        <w:pageBreakBefore w:val="0"/>
        <w:widowControl w:val="0"/>
        <w:kinsoku/>
        <w:wordWrap/>
        <w:overflowPunct/>
        <w:topLinePunct w:val="0"/>
        <w:adjustRightInd/>
        <w:snapToGrid/>
        <w:spacing w:line="240" w:lineRule="auto"/>
        <w:jc w:val="center"/>
        <w:textAlignment w:val="auto"/>
        <w:rPr>
          <w:rFonts w:hint="eastAsia" w:ascii="方正小标宋_GBK" w:hAnsi="方正小标宋_GBK" w:eastAsia="方正小标宋_GBK"/>
          <w:sz w:val="44"/>
          <w:szCs w:val="44"/>
          <w:highlight w:val="none"/>
        </w:rPr>
      </w:pPr>
    </w:p>
    <w:p>
      <w:pPr>
        <w:keepNext w:val="0"/>
        <w:keepLines w:val="0"/>
        <w:pageBreakBefore w:val="0"/>
        <w:widowControl w:val="0"/>
        <w:kinsoku/>
        <w:wordWrap/>
        <w:overflowPunct/>
        <w:topLinePunct w:val="0"/>
        <w:adjustRightInd/>
        <w:snapToGrid/>
        <w:spacing w:line="240" w:lineRule="auto"/>
        <w:jc w:val="center"/>
        <w:textAlignment w:val="auto"/>
        <w:rPr>
          <w:rFonts w:hint="default" w:ascii="方正小标宋_GBK" w:hAnsi="方正小标宋_GBK" w:eastAsia="方正小标宋_GBK"/>
          <w:sz w:val="44"/>
          <w:szCs w:val="44"/>
          <w:highlight w:val="none"/>
        </w:rPr>
      </w:pPr>
      <w:r>
        <w:rPr>
          <w:rFonts w:hint="default" w:ascii="方正小标宋_GBK" w:hAnsi="方正小标宋_GBK" w:eastAsia="方正小标宋_GBK"/>
          <w:sz w:val="44"/>
          <w:szCs w:val="44"/>
          <w:highlight w:val="none"/>
          <w:lang w:eastAsia="zh-CN"/>
        </w:rPr>
        <w:t>乌鲁木齐市水磨沟区青少年校外活动中心</w:t>
      </w:r>
      <w:r>
        <w:rPr>
          <w:rFonts w:hint="default" w:ascii="方正小标宋_GBK" w:hAnsi="方正小标宋_GBK" w:eastAsia="方正小标宋_GBK"/>
          <w:sz w:val="44"/>
          <w:szCs w:val="44"/>
          <w:highlight w:val="none"/>
          <w:lang w:val="en-US" w:eastAsia="zh-CN"/>
        </w:rPr>
        <w:t>2022</w:t>
      </w:r>
      <w:r>
        <w:rPr>
          <w:rFonts w:hint="default" w:ascii="方正小标宋_GBK" w:hAnsi="方正小标宋_GBK" w:eastAsia="方正小标宋_GBK"/>
          <w:sz w:val="44"/>
          <w:szCs w:val="44"/>
          <w:highlight w:val="none"/>
        </w:rPr>
        <w:t>年度部门决算公开说明</w:t>
      </w:r>
    </w:p>
    <w:p>
      <w:pPr>
        <w:keepNext w:val="0"/>
        <w:keepLines w:val="0"/>
        <w:pageBreakBefore w:val="0"/>
        <w:widowControl w:val="0"/>
        <w:kinsoku/>
        <w:wordWrap/>
        <w:overflowPunct/>
        <w:topLinePunct w:val="0"/>
        <w:adjustRightInd/>
        <w:snapToGrid/>
        <w:spacing w:line="240" w:lineRule="auto"/>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方正小标宋_GBK"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24028"/>
      <w:bookmarkStart w:id="1" w:name="_Toc32314"/>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738"/>
      <w:bookmarkStart w:id="3" w:name="_Toc30567"/>
      <w:r>
        <w:rPr>
          <w:rFonts w:hint="eastAsia" w:ascii="黑体" w:hAnsi="黑体" w:eastAsia="黑体" w:cs="宋体"/>
          <w:bCs/>
          <w:kern w:val="0"/>
          <w:sz w:val="32"/>
          <w:szCs w:val="32"/>
          <w:highlight w:val="none"/>
        </w:rPr>
        <w:t>一、主要职能</w:t>
      </w:r>
      <w:bookmarkEnd w:id="2"/>
      <w:bookmarkEnd w:id="3"/>
    </w:p>
    <w:p>
      <w:pPr>
        <w:spacing w:beforeLines="0" w:afterLines="0" w:line="360" w:lineRule="auto"/>
        <w:ind w:firstLine="640" w:firstLineChars="200"/>
        <w:rPr>
          <w:rFonts w:hint="default" w:ascii="仿宋_GB2312" w:hAnsi="Times New Roman" w:eastAsia="仿宋_GB2312" w:cs="仿宋_GB2312"/>
          <w:kern w:val="0"/>
          <w:sz w:val="32"/>
          <w:szCs w:val="32"/>
          <w:highlight w:val="none"/>
        </w:rPr>
      </w:pPr>
      <w:bookmarkStart w:id="4" w:name="_Toc31238"/>
      <w:bookmarkStart w:id="5" w:name="_Toc2151"/>
      <w:r>
        <w:rPr>
          <w:rFonts w:hint="eastAsia" w:ascii="仿宋_GB2312" w:hAnsi="Times New Roman" w:eastAsia="仿宋_GB2312" w:cs="仿宋_GB2312"/>
          <w:kern w:val="0"/>
          <w:sz w:val="32"/>
          <w:szCs w:val="32"/>
          <w:highlight w:val="none"/>
        </w:rPr>
        <w:t>乌鲁木齐市水磨沟区青少年校外活动中心的主要职责：</w:t>
      </w:r>
    </w:p>
    <w:p>
      <w:pPr>
        <w:keepNext w:val="0"/>
        <w:keepLines w:val="0"/>
        <w:pageBreakBefore w:val="0"/>
        <w:widowControl w:val="0"/>
        <w:kinsoku/>
        <w:wordWrap/>
        <w:overflowPunct/>
        <w:topLinePunct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1、负责组织开展青少年校外教育活动，负责辖区青少年校外活动场所日常管理工作。</w:t>
      </w:r>
    </w:p>
    <w:p>
      <w:pPr>
        <w:keepNext w:val="0"/>
        <w:keepLines w:val="0"/>
        <w:pageBreakBefore w:val="0"/>
        <w:widowControl w:val="0"/>
        <w:kinsoku/>
        <w:wordWrap/>
        <w:overflowPunct/>
        <w:topLinePunct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、办公室</w:t>
      </w:r>
      <w:r>
        <w:rPr>
          <w:rFonts w:hint="eastAsia" w:ascii="仿宋_GB2312" w:eastAsia="仿宋_GB2312"/>
          <w:sz w:val="32"/>
          <w:szCs w:val="32"/>
          <w:highlight w:val="none"/>
          <w:lang w:eastAsia="zh-CN"/>
        </w:rPr>
        <w:t>：计划，每日工作安排、会议等紧急事件处理</w:t>
      </w:r>
      <w:r>
        <w:rPr>
          <w:rFonts w:hint="eastAsia" w:ascii="仿宋_GB2312" w:eastAsia="仿宋_GB2312"/>
          <w:sz w:val="32"/>
          <w:szCs w:val="32"/>
          <w:highlight w:val="none"/>
          <w:lang w:val="en-US" w:eastAsia="zh-CN"/>
        </w:rPr>
        <w:t>;组织，协调内部人员和外部资源，制定并完善工作流程;领导，进行人员考勤登记，制定工作目标：服务保障，提高良好服务质量和环境等。</w:t>
      </w:r>
    </w:p>
    <w:p>
      <w:pPr>
        <w:keepNext w:val="0"/>
        <w:keepLines w:val="0"/>
        <w:pageBreakBefore w:val="0"/>
        <w:widowControl w:val="0"/>
        <w:kinsoku/>
        <w:wordWrap/>
        <w:overflowPunct/>
        <w:topLinePunct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、培训部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长年开设的各类公益性特长集训项目</w:t>
      </w:r>
      <w:r>
        <w:rPr>
          <w:rFonts w:hint="eastAsia" w:ascii="仿宋_GB2312" w:eastAsia="仿宋_GB2312"/>
          <w:sz w:val="32"/>
          <w:szCs w:val="32"/>
          <w:highlight w:val="none"/>
          <w:lang w:eastAsia="zh-CN"/>
        </w:rPr>
        <w:t>。分别为</w:t>
      </w:r>
      <w:r>
        <w:rPr>
          <w:rFonts w:hint="eastAsia" w:ascii="仿宋_GB2312" w:eastAsia="仿宋_GB2312"/>
          <w:sz w:val="32"/>
          <w:szCs w:val="32"/>
          <w:highlight w:val="none"/>
        </w:rPr>
        <w:t>：少儿合唱、少儿声乐（小歌手）、钢琴、电子琴、双排键、手风琴、小提琴、吉他、古筝、二胡、单簧管、长笛、竹笛、葫芦丝、架子鼓、少儿美术、素描、书法（硬笔、软笔）、卡通漫画、国画、航模（模拟遥控、摇杆、线控）、船模、车模、DBS机器人、乐高机器人、小牛顿、科技小博士、少儿舞蹈、少儿拉丁、少儿街舞、民族舞、少儿爵士、乒乓球、跆拳道、经典诵读与写作、英语听力与口语、数学思维力、国际象棋、围棋、小主持人等。中心除常规春秋两季的培训外，还开展有寒暑假集训等特色项目，所有培训学科按程度分班，分层教学，全面满足家长及学员的需求。培训部不定期举办的各类学科体验、场馆开放、主题节日及各类社会实践活动，按照公益性、普及性、科学性原则，努力做到管理精细、服务一流。</w:t>
      </w:r>
    </w:p>
    <w:p>
      <w:pPr>
        <w:keepNext w:val="0"/>
        <w:keepLines w:val="0"/>
        <w:pageBreakBefore w:val="0"/>
        <w:widowControl w:val="0"/>
        <w:kinsoku/>
        <w:wordWrap/>
        <w:overflowPunct/>
        <w:topLinePunct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、总务后勤部</w:t>
      </w:r>
      <w:r>
        <w:rPr>
          <w:rFonts w:hint="eastAsia" w:ascii="仿宋_GB2312" w:eastAsia="仿宋_GB2312"/>
          <w:sz w:val="32"/>
          <w:szCs w:val="32"/>
          <w:highlight w:val="none"/>
          <w:lang w:eastAsia="zh-CN"/>
        </w:rPr>
        <w:t>：保障本中心基础设施的正常运转，负责公共安全，协助上级进行单位固定资产等设备的监督与管理等。</w:t>
      </w:r>
    </w:p>
    <w:p>
      <w:pPr>
        <w:keepNext w:val="0"/>
        <w:keepLines w:val="0"/>
        <w:pageBreakBefore w:val="0"/>
        <w:widowControl w:val="0"/>
        <w:kinsoku/>
        <w:wordWrap/>
        <w:overflowPunct/>
        <w:topLinePunct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、财务室</w:t>
      </w:r>
      <w:r>
        <w:rPr>
          <w:rFonts w:hint="eastAsia" w:ascii="仿宋_GB2312" w:eastAsia="仿宋_GB2312"/>
          <w:sz w:val="32"/>
          <w:szCs w:val="32"/>
          <w:highlight w:val="none"/>
          <w:lang w:eastAsia="zh-CN"/>
        </w:rPr>
        <w:t>：财务管理</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本中心代课费的收支</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会计核算</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绩效监控等与绩效相关工作</w:t>
      </w:r>
      <w:r>
        <w:rPr>
          <w:rFonts w:hint="eastAsia" w:ascii="仿宋_GB2312" w:eastAsia="仿宋_GB2312"/>
          <w:sz w:val="32"/>
          <w:szCs w:val="32"/>
          <w:highlight w:val="none"/>
          <w:lang w:val="en-US" w:eastAsia="zh-CN"/>
        </w:rPr>
        <w:t>;财务监控;</w:t>
      </w:r>
      <w:r>
        <w:rPr>
          <w:rFonts w:hint="eastAsia" w:ascii="仿宋_GB2312" w:eastAsia="仿宋_GB2312"/>
          <w:sz w:val="32"/>
          <w:szCs w:val="32"/>
          <w:highlight w:val="none"/>
          <w:lang w:eastAsia="zh-CN"/>
        </w:rPr>
        <w:t>报告报表等与财务相关的工作。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乌鲁木齐市水磨沟区青少年校外活动中心</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实有人数</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人，其中：在职人员</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离休人员</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人，退休人员</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从</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决算单位构成看，</w:t>
      </w:r>
      <w:r>
        <w:rPr>
          <w:rFonts w:hint="eastAsia" w:ascii="仿宋_GB2312" w:eastAsia="仿宋_GB2312"/>
          <w:sz w:val="32"/>
          <w:szCs w:val="32"/>
          <w:highlight w:val="none"/>
          <w:lang w:eastAsia="zh-CN"/>
        </w:rPr>
        <w:t>乌鲁木齐市水磨沟区青少年校外活动中心</w:t>
      </w:r>
      <w:r>
        <w:rPr>
          <w:rFonts w:hint="eastAsia" w:ascii="仿宋_GB2312" w:eastAsia="仿宋_GB2312"/>
          <w:sz w:val="32"/>
          <w:szCs w:val="32"/>
          <w:highlight w:val="none"/>
        </w:rPr>
        <w:t>部门决算包括：</w:t>
      </w:r>
      <w:r>
        <w:rPr>
          <w:rFonts w:hint="eastAsia" w:ascii="仿宋_GB2312" w:eastAsia="仿宋_GB2312"/>
          <w:sz w:val="32"/>
          <w:szCs w:val="32"/>
          <w:highlight w:val="none"/>
          <w:lang w:eastAsia="zh-CN"/>
        </w:rPr>
        <w:t>乌鲁木齐市水磨沟区青少年校外活动中心</w:t>
      </w:r>
      <w:r>
        <w:rPr>
          <w:rFonts w:hint="eastAsia" w:ascii="仿宋_GB2312" w:eastAsia="仿宋_GB2312"/>
          <w:sz w:val="32"/>
          <w:szCs w:val="32"/>
          <w:highlight w:val="none"/>
        </w:rPr>
        <w:t>决算</w:t>
      </w:r>
      <w:r>
        <w:rPr>
          <w:rFonts w:hint="eastAsia" w:ascii="仿宋_GB2312" w:eastAsia="仿宋_GB2312"/>
          <w:sz w:val="32"/>
          <w:szCs w:val="32"/>
          <w:highlight w:val="none"/>
          <w:lang w:eastAsia="zh-CN"/>
        </w:rPr>
        <w:t>。</w:t>
      </w:r>
      <w:r>
        <w:rPr>
          <w:rFonts w:hint="eastAsia" w:ascii="仿宋_GB2312" w:hAnsi="黑体" w:eastAsia="仿宋_GB2312" w:cs="宋体"/>
          <w:bCs/>
          <w:kern w:val="0"/>
          <w:sz w:val="32"/>
          <w:szCs w:val="32"/>
          <w:highlight w:val="none"/>
        </w:rPr>
        <w:t>单位无下属预算单位，下设</w:t>
      </w:r>
      <w:r>
        <w:rPr>
          <w:rFonts w:hint="eastAsia" w:ascii="仿宋_GB2312" w:eastAsia="仿宋_GB2312"/>
          <w:sz w:val="32"/>
          <w:szCs w:val="32"/>
          <w:highlight w:val="none"/>
          <w:lang w:val="en-US" w:eastAsia="zh-CN"/>
        </w:rPr>
        <w:t>4</w:t>
      </w:r>
      <w:r>
        <w:rPr>
          <w:rFonts w:hint="eastAsia" w:ascii="仿宋_GB2312" w:hAnsi="黑体" w:eastAsia="仿宋_GB2312" w:cs="宋体"/>
          <w:bCs/>
          <w:kern w:val="0"/>
          <w:sz w:val="32"/>
          <w:szCs w:val="32"/>
          <w:highlight w:val="none"/>
        </w:rPr>
        <w:t>个处室，分别是：</w:t>
      </w:r>
      <w:r>
        <w:rPr>
          <w:rFonts w:hint="eastAsia" w:ascii="仿宋_GB2312" w:eastAsia="仿宋_GB2312"/>
          <w:bCs/>
          <w:sz w:val="32"/>
          <w:szCs w:val="32"/>
        </w:rPr>
        <w:t>办公室、培训部、总务后勤部、财务室。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 w:name="_Toc3092"/>
      <w:bookmarkStart w:id="7" w:name="_Toc29374"/>
      <w:r>
        <w:rPr>
          <w:rFonts w:hint="eastAsia" w:ascii="黑体" w:hAnsi="黑体" w:eastAsia="黑体"/>
          <w:sz w:val="32"/>
          <w:szCs w:val="32"/>
          <w:highlight w:val="none"/>
        </w:rPr>
        <w:br w:type="page"/>
      </w:r>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25314"/>
      <w:bookmarkStart w:id="9" w:name="_Toc12566"/>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lang w:val="en-US" w:eastAsia="zh-CN"/>
        </w:rPr>
        <w:t>160.95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其中：本年收入合计112.59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lang w:val="en-US" w:eastAsia="zh-CN"/>
        </w:rPr>
        <w:t>48.36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379.17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70.2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防控原因，本中心培训次数及学生减少，导致青少年活动专项经费项目收入减少。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总计160.95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其中：本年支出合计125.1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lang w:val="en-US" w:eastAsia="zh-CN"/>
        </w:rPr>
        <w:t>35.85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379.17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70.2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年初预算数减少；防控原因，仅支付基本支出，花销减少。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2142"/>
      <w:bookmarkStart w:id="11" w:name="_Toc1979"/>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yellow"/>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本年收入</w:t>
      </w:r>
      <w:r>
        <w:rPr>
          <w:rFonts w:hint="eastAsia" w:ascii="仿宋_GB2312" w:eastAsia="仿宋_GB2312"/>
          <w:sz w:val="32"/>
          <w:szCs w:val="32"/>
          <w:highlight w:val="none"/>
          <w:lang w:val="en-US" w:eastAsia="zh-CN"/>
        </w:rPr>
        <w:t>112.59</w:t>
      </w:r>
      <w:r>
        <w:rPr>
          <w:rFonts w:hint="eastAsia" w:ascii="仿宋_GB2312" w:eastAsia="仿宋_GB2312"/>
          <w:sz w:val="32"/>
          <w:szCs w:val="32"/>
          <w:highlight w:val="none"/>
        </w:rPr>
        <w:t>万元，其中：财政拨款收入</w:t>
      </w:r>
      <w:r>
        <w:rPr>
          <w:rFonts w:hint="eastAsia" w:ascii="仿宋_GB2312" w:eastAsia="仿宋_GB2312"/>
          <w:sz w:val="32"/>
          <w:szCs w:val="32"/>
          <w:highlight w:val="none"/>
          <w:lang w:val="en-US" w:eastAsia="zh-CN"/>
        </w:rPr>
        <w:t>112.48</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99.9</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w:t>
      </w:r>
      <w:r>
        <w:rPr>
          <w:rFonts w:hint="eastAsia" w:ascii="仿宋_GB2312" w:eastAsia="仿宋_GB2312"/>
          <w:sz w:val="32"/>
          <w:szCs w:val="32"/>
          <w:highlight w:val="none"/>
          <w:lang w:val="en-US" w:eastAsia="zh-CN"/>
        </w:rPr>
        <w:t>0.11</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0.1</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27961"/>
      <w:bookmarkStart w:id="13" w:name="_Toc1320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125.1</w:t>
      </w:r>
      <w:r>
        <w:rPr>
          <w:rFonts w:hint="eastAsia" w:ascii="仿宋_GB2312" w:eastAsia="仿宋_GB2312"/>
          <w:sz w:val="32"/>
          <w:szCs w:val="32"/>
          <w:highlight w:val="none"/>
        </w:rPr>
        <w:t>万元，其中：基本支出</w:t>
      </w:r>
      <w:r>
        <w:rPr>
          <w:rFonts w:hint="eastAsia" w:ascii="仿宋_GB2312" w:eastAsia="仿宋_GB2312"/>
          <w:sz w:val="32"/>
          <w:szCs w:val="32"/>
          <w:highlight w:val="none"/>
          <w:lang w:val="en-US" w:eastAsia="zh-CN"/>
        </w:rPr>
        <w:t>93</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74.3</w:t>
      </w:r>
      <w:r>
        <w:rPr>
          <w:rFonts w:hint="eastAsia" w:ascii="仿宋_GB2312" w:eastAsia="仿宋_GB2312"/>
          <w:sz w:val="32"/>
          <w:szCs w:val="32"/>
          <w:highlight w:val="none"/>
        </w:rPr>
        <w:t>%；项目支出</w:t>
      </w:r>
      <w:r>
        <w:rPr>
          <w:rFonts w:hint="eastAsia" w:ascii="仿宋_GB2312" w:eastAsia="仿宋_GB2312"/>
          <w:sz w:val="32"/>
          <w:szCs w:val="32"/>
          <w:highlight w:val="none"/>
          <w:lang w:val="en-US" w:eastAsia="zh-CN"/>
        </w:rPr>
        <w:t>32.1</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25.66</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26564"/>
      <w:bookmarkStart w:id="15" w:name="_Toc4393"/>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总计160.84</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其中：年初财政拨款结转和结余48.36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财政拨款本年收入112.48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367.64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69.57</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防控原因，本中心培训次数及学生减少，导致青少年活动专项经费项目收入减少。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总计160.84</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其中：年末财政拨款结转和结余35.85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财政拨款本年支出124.99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367.64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69.75</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防控原因，本中心培训次数及学生减少，仅支付基本支出，花销减少；年初预算数减少。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741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83万元，决算数160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84万元，预决算差异率</w:t>
      </w:r>
      <w:r>
        <w:rPr>
          <w:rFonts w:hint="eastAsia" w:ascii="仿宋_GB2312" w:eastAsia="仿宋_GB2312"/>
          <w:sz w:val="32"/>
          <w:szCs w:val="32"/>
          <w:highlight w:val="none"/>
          <w:lang w:val="en-US" w:eastAsia="zh-CN"/>
        </w:rPr>
        <w:t>-78.32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主要原因是：防控原因，本中心培训次数及学生减少，导致青少年活动专项经费项目收入减少。</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741</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83万元，决算数160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84万元，预决算差异率</w:t>
      </w:r>
      <w:r>
        <w:rPr>
          <w:rFonts w:hint="eastAsia" w:ascii="仿宋_GB2312" w:eastAsia="仿宋_GB2312"/>
          <w:sz w:val="32"/>
          <w:szCs w:val="32"/>
          <w:highlight w:val="none"/>
          <w:lang w:val="en-US" w:eastAsia="zh-CN"/>
        </w:rPr>
        <w:t>-78.32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主要原因是：年初预算数减少；防控原因，仅支付基本支出，花销减少；青少年活动专项经费项目支出减少。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20360"/>
      <w:bookmarkStart w:id="17" w:name="_Toc13833"/>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rPr>
      </w:pPr>
      <w:r>
        <w:rPr>
          <w:rFonts w:hint="eastAsia" w:ascii="仿宋_GB2312" w:eastAsia="仿宋_GB2312"/>
          <w:color w:val="auto"/>
          <w:spacing w:val="0"/>
          <w:sz w:val="32"/>
          <w:szCs w:val="32"/>
          <w:highlight w:val="none"/>
          <w:lang w:val="en-US" w:eastAsia="zh-CN"/>
        </w:rPr>
        <w:t>2022</w:t>
      </w:r>
      <w:r>
        <w:rPr>
          <w:rFonts w:hint="eastAsia" w:ascii="仿宋_GB2312" w:eastAsia="仿宋_GB2312"/>
          <w:color w:val="auto"/>
          <w:spacing w:val="0"/>
          <w:sz w:val="32"/>
          <w:szCs w:val="32"/>
          <w:highlight w:val="none"/>
          <w:lang w:eastAsia="zh-CN"/>
        </w:rPr>
        <w:t>年度一般公共预算财政拨款支出</w:t>
      </w:r>
      <w:r>
        <w:rPr>
          <w:rFonts w:hint="eastAsia" w:ascii="仿宋_GB2312" w:eastAsia="仿宋_GB2312"/>
          <w:color w:val="auto"/>
          <w:spacing w:val="0"/>
          <w:sz w:val="32"/>
          <w:szCs w:val="32"/>
          <w:highlight w:val="none"/>
          <w:lang w:val="en-US" w:eastAsia="zh-CN"/>
        </w:rPr>
        <w:t>124.99</w:t>
      </w:r>
      <w:r>
        <w:rPr>
          <w:rFonts w:hint="eastAsia" w:ascii="仿宋_GB2312" w:eastAsia="仿宋_GB2312"/>
          <w:color w:val="auto"/>
          <w:spacing w:val="0"/>
          <w:sz w:val="32"/>
          <w:szCs w:val="32"/>
          <w:highlight w:val="none"/>
          <w:lang w:eastAsia="zh-CN"/>
        </w:rPr>
        <w:t>万元，占本年支出合计的</w:t>
      </w:r>
      <w:r>
        <w:rPr>
          <w:rFonts w:hint="eastAsia" w:ascii="仿宋_GB2312" w:eastAsia="仿宋_GB2312"/>
          <w:color w:val="auto"/>
          <w:spacing w:val="0"/>
          <w:sz w:val="32"/>
          <w:szCs w:val="32"/>
          <w:highlight w:val="none"/>
          <w:lang w:val="en-US" w:eastAsia="zh-CN"/>
        </w:rPr>
        <w:t>99.91</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rPr>
        <w:t>与上年相比，减少</w:t>
      </w:r>
      <w:r>
        <w:rPr>
          <w:rFonts w:hint="eastAsia" w:ascii="仿宋_GB2312" w:eastAsia="仿宋_GB2312"/>
          <w:color w:val="auto"/>
          <w:spacing w:val="0"/>
          <w:sz w:val="32"/>
          <w:szCs w:val="32"/>
          <w:highlight w:val="none"/>
          <w:lang w:val="en-US" w:eastAsia="zh-CN"/>
        </w:rPr>
        <w:t>355.13</w:t>
      </w:r>
      <w:r>
        <w:rPr>
          <w:rFonts w:hint="eastAsia" w:ascii="仿宋_GB2312" w:eastAsia="仿宋_GB2312"/>
          <w:color w:val="auto"/>
          <w:spacing w:val="0"/>
          <w:sz w:val="32"/>
          <w:szCs w:val="32"/>
          <w:highlight w:val="none"/>
        </w:rPr>
        <w:t>万元，</w:t>
      </w:r>
      <w:r>
        <w:rPr>
          <w:rFonts w:hint="eastAsia" w:ascii="仿宋_GB2312" w:eastAsia="仿宋_GB2312"/>
          <w:color w:val="auto"/>
          <w:spacing w:val="0"/>
          <w:sz w:val="32"/>
          <w:szCs w:val="32"/>
          <w:highlight w:val="none"/>
          <w:lang w:eastAsia="zh-CN"/>
        </w:rPr>
        <w:t>下降</w:t>
      </w:r>
      <w:r>
        <w:rPr>
          <w:rFonts w:hint="eastAsia" w:ascii="仿宋_GB2312" w:eastAsia="仿宋_GB2312"/>
          <w:color w:val="auto"/>
          <w:spacing w:val="0"/>
          <w:sz w:val="32"/>
          <w:szCs w:val="32"/>
          <w:highlight w:val="none"/>
          <w:lang w:val="en-US" w:eastAsia="zh-CN"/>
        </w:rPr>
        <w:t>73.97</w:t>
      </w:r>
      <w:r>
        <w:rPr>
          <w:rFonts w:hint="eastAsia" w:ascii="仿宋_GB2312" w:eastAsia="仿宋_GB2312"/>
          <w:color w:val="auto"/>
          <w:spacing w:val="0"/>
          <w:sz w:val="32"/>
          <w:szCs w:val="32"/>
          <w:highlight w:val="none"/>
        </w:rPr>
        <w:t>%</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rPr>
        <w:t>主要原因是：</w:t>
      </w:r>
      <w:r>
        <w:rPr>
          <w:rFonts w:hint="eastAsia" w:ascii="仿宋_GB2312" w:eastAsia="仿宋_GB2312"/>
          <w:color w:val="auto"/>
          <w:spacing w:val="0"/>
          <w:sz w:val="32"/>
          <w:szCs w:val="32"/>
          <w:highlight w:val="none"/>
          <w:lang w:eastAsia="zh-CN"/>
        </w:rPr>
        <w:t>经费减少；</w:t>
      </w:r>
      <w:r>
        <w:rPr>
          <w:rFonts w:hint="eastAsia" w:ascii="仿宋_GB2312" w:eastAsia="仿宋_GB2312"/>
          <w:sz w:val="32"/>
          <w:szCs w:val="32"/>
          <w:highlight w:val="none"/>
          <w:lang w:eastAsia="zh-CN"/>
        </w:rPr>
        <w:t>防控原因</w:t>
      </w:r>
      <w:r>
        <w:rPr>
          <w:rFonts w:hint="eastAsia" w:ascii="仿宋_GB2312" w:eastAsia="仿宋_GB2312"/>
          <w:color w:val="auto"/>
          <w:spacing w:val="0"/>
          <w:sz w:val="32"/>
          <w:szCs w:val="32"/>
          <w:highlight w:val="none"/>
          <w:lang w:eastAsia="zh-CN"/>
        </w:rPr>
        <w:t>，花销减少</w:t>
      </w:r>
      <w:r>
        <w:rPr>
          <w:rFonts w:hint="eastAsia" w:ascii="仿宋_GB2312" w:eastAsia="仿宋_GB2312"/>
          <w:color w:val="auto"/>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.教育支出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类</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124.12万元，占99.3%。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2.社会保障和就业支出</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kern w:val="0"/>
          <w:sz w:val="32"/>
          <w:szCs w:val="32"/>
          <w:highlight w:val="none"/>
          <w:lang w:val="en-US" w:eastAsia="zh-CN"/>
        </w:rPr>
        <w:t>0.87万元，占0.7%。</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eastAsia="仿宋_GB2312"/>
          <w:sz w:val="32"/>
          <w:szCs w:val="32"/>
          <w:highlight w:val="none"/>
        </w:rPr>
        <w:t>1、</w:t>
      </w:r>
      <w:r>
        <w:rPr>
          <w:rFonts w:hint="eastAsia" w:ascii="仿宋_GB2312" w:hAnsi="仿宋_GB2312" w:eastAsia="仿宋_GB2312" w:cs="仿宋_GB2312"/>
          <w:kern w:val="0"/>
          <w:sz w:val="32"/>
          <w:szCs w:val="32"/>
          <w:highlight w:val="none"/>
        </w:rPr>
        <w:t>教育支出（类）教育管理事务（款）机关服务（项）</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98.52</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lang w:eastAsia="zh-CN"/>
        </w:rPr>
        <w:t>减少</w:t>
      </w:r>
      <w:r>
        <w:rPr>
          <w:rFonts w:hint="eastAsia" w:ascii="仿宋_GB2312" w:hAnsi="仿宋_GB2312" w:eastAsia="仿宋_GB2312" w:cs="仿宋_GB2312"/>
          <w:kern w:val="0"/>
          <w:sz w:val="32"/>
          <w:szCs w:val="32"/>
          <w:highlight w:val="none"/>
          <w:lang w:val="en-US" w:eastAsia="zh-CN"/>
        </w:rPr>
        <w:t>148.58</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下降</w:t>
      </w:r>
      <w:r>
        <w:rPr>
          <w:rFonts w:hint="eastAsia" w:ascii="仿宋_GB2312" w:hAnsi="仿宋_GB2312" w:eastAsia="仿宋_GB2312" w:cs="仿宋_GB2312"/>
          <w:kern w:val="0"/>
          <w:sz w:val="32"/>
          <w:szCs w:val="32"/>
          <w:highlight w:val="none"/>
          <w:lang w:val="en-US" w:eastAsia="zh-CN"/>
        </w:rPr>
        <w:t>60.13</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年初预算数较少；</w:t>
      </w:r>
      <w:r>
        <w:rPr>
          <w:rFonts w:hint="eastAsia" w:ascii="仿宋_GB2312" w:eastAsia="仿宋_GB2312"/>
          <w:sz w:val="32"/>
          <w:szCs w:val="32"/>
          <w:highlight w:val="none"/>
          <w:lang w:eastAsia="zh-CN"/>
        </w:rPr>
        <w:t>防控原因</w:t>
      </w:r>
      <w:r>
        <w:rPr>
          <w:rFonts w:hint="eastAsia" w:ascii="仿宋_GB2312" w:hAnsi="仿宋_GB2312" w:eastAsia="仿宋_GB2312" w:cs="仿宋_GB2312"/>
          <w:kern w:val="0"/>
          <w:sz w:val="32"/>
          <w:szCs w:val="32"/>
          <w:highlight w:val="none"/>
          <w:lang w:eastAsia="zh-CN"/>
        </w:rPr>
        <w:t>，仅保障本中心基本开销，则花费减少。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hAnsi="仿宋_GB2312" w:eastAsia="仿宋_GB2312" w:cs="仿宋_GB2312"/>
          <w:kern w:val="0"/>
          <w:sz w:val="32"/>
          <w:szCs w:val="32"/>
          <w:highlight w:val="none"/>
        </w:rPr>
        <w:t>教育支出（类）普通教育（款）初中教育（项）</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25.61</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189.11</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88.07</w:t>
      </w:r>
      <w:r>
        <w:rPr>
          <w:rFonts w:hint="eastAsia" w:ascii="仿宋_GB2312" w:hAnsi="仿宋_GB2312" w:eastAsia="仿宋_GB2312" w:cs="仿宋_GB2312"/>
          <w:kern w:val="0"/>
          <w:sz w:val="32"/>
          <w:szCs w:val="32"/>
          <w:highlight w:val="none"/>
        </w:rPr>
        <w:t>%，主要原因是：</w:t>
      </w:r>
      <w:r>
        <w:rPr>
          <w:rFonts w:hint="eastAsia" w:ascii="仿宋_GB2312" w:eastAsia="仿宋_GB2312"/>
          <w:sz w:val="32"/>
          <w:szCs w:val="32"/>
          <w:highlight w:val="none"/>
          <w:lang w:eastAsia="zh-CN"/>
        </w:rPr>
        <w:t>防控原因</w:t>
      </w:r>
      <w:r>
        <w:rPr>
          <w:rFonts w:hint="eastAsia" w:ascii="仿宋_GB2312" w:hAnsi="仿宋_GB2312" w:eastAsia="仿宋_GB2312" w:cs="仿宋_GB2312"/>
          <w:kern w:val="0"/>
          <w:sz w:val="32"/>
          <w:szCs w:val="32"/>
          <w:highlight w:val="none"/>
          <w:lang w:eastAsia="zh-CN"/>
        </w:rPr>
        <w:t>，仅保障本中心基本开销，则花费减少。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社会保障和就业支出（类）行政事业单位养老支出（款）机关事业单位基本养老保险缴费支出（项）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0.87</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7.71</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89.86</w:t>
      </w:r>
      <w:r>
        <w:rPr>
          <w:rFonts w:hint="eastAsia" w:ascii="仿宋_GB2312" w:hAnsi="仿宋_GB2312" w:eastAsia="仿宋_GB2312" w:cs="仿宋_GB2312"/>
          <w:kern w:val="0"/>
          <w:sz w:val="32"/>
          <w:szCs w:val="32"/>
          <w:highlight w:val="none"/>
        </w:rPr>
        <w:t>%，主要原因是：</w:t>
      </w:r>
      <w:r>
        <w:rPr>
          <w:rFonts w:hint="eastAsia" w:ascii="仿宋_GB2312" w:eastAsia="仿宋_GB2312"/>
          <w:sz w:val="32"/>
          <w:szCs w:val="32"/>
          <w:highlight w:val="none"/>
          <w:lang w:eastAsia="zh-CN"/>
        </w:rPr>
        <w:t>防控原因</w:t>
      </w:r>
      <w:r>
        <w:rPr>
          <w:rFonts w:hint="eastAsia" w:ascii="仿宋_GB2312" w:hAnsi="仿宋_GB2312" w:eastAsia="仿宋_GB2312" w:cs="仿宋_GB2312"/>
          <w:kern w:val="0"/>
          <w:sz w:val="32"/>
          <w:szCs w:val="32"/>
          <w:highlight w:val="none"/>
          <w:lang w:eastAsia="zh-CN"/>
        </w:rPr>
        <w:t>，仅保障本中心基本开销，则花费减少。</w:t>
      </w:r>
    </w:p>
    <w:p>
      <w:pPr>
        <w:pStyle w:val="2"/>
        <w:ind w:firstLine="640" w:firstLineChars="200"/>
        <w:rPr>
          <w:rFonts w:hint="default"/>
          <w:lang w:val="en-US" w:eastAsia="zh-CN"/>
        </w:rPr>
      </w:pPr>
      <w:r>
        <w:rPr>
          <w:rFonts w:hint="eastAsia" w:ascii="仿宋_GB2312" w:hAnsi="仿宋_GB2312" w:eastAsia="仿宋_GB2312" w:cs="仿宋_GB2312"/>
          <w:kern w:val="0"/>
          <w:sz w:val="32"/>
          <w:szCs w:val="32"/>
          <w:highlight w:val="none"/>
          <w:lang w:val="en-US" w:eastAsia="zh-CN"/>
        </w:rPr>
        <w:t>4、城乡社区支出（类）城乡社区公共设施（款）其他城乡社区公共设施支出（项）：支出决算数为0元，</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9.72</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eastAsia="仿宋_GB2312"/>
          <w:sz w:val="32"/>
          <w:szCs w:val="32"/>
          <w:highlight w:val="none"/>
          <w:lang w:val="en-US" w:eastAsia="zh-CN"/>
        </w:rPr>
        <w:t>财政开源节流，因此2022年度取消此款项。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11146"/>
      <w:bookmarkStart w:id="19" w:name="_Toc30870"/>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w:t>
      </w:r>
      <w:r>
        <w:rPr>
          <w:rFonts w:hint="eastAsia" w:ascii="仿宋_GB2312" w:eastAsia="仿宋_GB2312"/>
          <w:sz w:val="32"/>
          <w:szCs w:val="32"/>
          <w:highlight w:val="none"/>
          <w:lang w:val="en-US" w:eastAsia="zh-CN"/>
        </w:rPr>
        <w:t>92.89</w:t>
      </w:r>
      <w:r>
        <w:rPr>
          <w:rFonts w:hint="eastAsia" w:ascii="仿宋_GB2312" w:eastAsia="仿宋_GB2312"/>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w:t>
      </w:r>
      <w:r>
        <w:rPr>
          <w:rFonts w:hint="eastAsia" w:ascii="仿宋_GB2312" w:eastAsia="仿宋_GB2312"/>
          <w:sz w:val="32"/>
          <w:szCs w:val="32"/>
          <w:highlight w:val="none"/>
          <w:lang w:val="en-US" w:eastAsia="zh-CN"/>
        </w:rPr>
        <w:t>90.79</w:t>
      </w:r>
      <w:r>
        <w:rPr>
          <w:rFonts w:hint="eastAsia" w:ascii="仿宋_GB2312" w:eastAsia="仿宋_GB2312"/>
          <w:sz w:val="32"/>
          <w:szCs w:val="32"/>
          <w:highlight w:val="none"/>
        </w:rPr>
        <w:t>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、奖励金。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公用经费</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万元，包括：物业管理费</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21518"/>
      <w:bookmarkStart w:id="21" w:name="_Toc7190"/>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本年与上年均未发生此项费用。</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本年与上年均未发生此项费用</w:t>
      </w:r>
      <w:r>
        <w:rPr>
          <w:rFonts w:hint="eastAsia" w:ascii="仿宋_GB2312" w:eastAsia="仿宋_GB2312"/>
          <w:sz w:val="32"/>
          <w:szCs w:val="32"/>
          <w:highlight w:val="none"/>
        </w:rPr>
        <w:t>；公务用车购置及运行维护费支出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本年与上年均未发生此项费用</w:t>
      </w:r>
      <w:r>
        <w:rPr>
          <w:rFonts w:hint="eastAsia" w:ascii="仿宋_GB2312" w:eastAsia="仿宋_GB2312"/>
          <w:sz w:val="32"/>
          <w:szCs w:val="32"/>
          <w:highlight w:val="none"/>
        </w:rPr>
        <w:t>；公务接待费支出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本年与上年均未发生此项费用</w:t>
      </w:r>
      <w:r>
        <w:rPr>
          <w:rFonts w:hint="eastAsia" w:ascii="仿宋_GB2312" w:eastAsia="仿宋_GB2312"/>
          <w:sz w:val="32"/>
          <w:szCs w:val="32"/>
          <w:highlight w:val="none"/>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因公出国（境）费支出0万元，</w:t>
      </w:r>
      <w:r>
        <w:rPr>
          <w:rFonts w:hint="eastAsia" w:ascii="仿宋_GB2312" w:eastAsia="仿宋_GB2312"/>
          <w:sz w:val="32"/>
          <w:szCs w:val="32"/>
          <w:highlight w:val="none"/>
        </w:rPr>
        <w:t>开支内容包括</w:t>
      </w:r>
      <w:r>
        <w:rPr>
          <w:rFonts w:hint="eastAsia" w:ascii="仿宋_GB2312" w:hAnsi="Times New Roman" w:eastAsia="仿宋_GB2312" w:cs="仿宋_GB2312"/>
          <w:kern w:val="0"/>
          <w:sz w:val="32"/>
          <w:szCs w:val="32"/>
        </w:rPr>
        <w:t>本年单位无因公出国（境）费支出</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单位全年安排的因公出国（境）团组0个，因公出国（境）0人次。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公务用车购置及运行维护费0万元，其中：公务用车购置费0万元，公务用车运行维护费0万元，</w:t>
      </w:r>
      <w:r>
        <w:rPr>
          <w:rFonts w:hint="eastAsia" w:ascii="仿宋_GB2312" w:eastAsia="仿宋_GB2312"/>
          <w:sz w:val="32"/>
          <w:szCs w:val="32"/>
          <w:highlight w:val="none"/>
        </w:rPr>
        <w:t>公务用车运行维护费开支内容包括</w:t>
      </w:r>
      <w:r>
        <w:rPr>
          <w:rFonts w:hint="eastAsia" w:ascii="仿宋_GB2312" w:hAnsi="Times New Roman" w:eastAsia="仿宋_GB2312" w:cs="仿宋_GB2312"/>
          <w:kern w:val="0"/>
          <w:sz w:val="32"/>
          <w:szCs w:val="32"/>
        </w:rPr>
        <w:t>单位无此支出</w:t>
      </w:r>
      <w:r>
        <w:rPr>
          <w:rFonts w:hint="eastAsia" w:ascii="仿宋_GB2312" w:eastAsia="仿宋_GB2312"/>
          <w:sz w:val="32"/>
          <w:szCs w:val="32"/>
          <w:highlight w:val="none"/>
        </w:rPr>
        <w:t>。公务用车购置数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辆，公务用车保有量</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公务接待费0万元，</w:t>
      </w:r>
      <w:r>
        <w:rPr>
          <w:rFonts w:hint="eastAsia" w:ascii="仿宋_GB2312" w:eastAsia="仿宋_GB2312"/>
          <w:sz w:val="32"/>
          <w:szCs w:val="32"/>
          <w:highlight w:val="none"/>
        </w:rPr>
        <w:t>开支内容包括</w:t>
      </w:r>
      <w:r>
        <w:rPr>
          <w:rFonts w:hint="eastAsia" w:ascii="仿宋_GB2312" w:hAnsi="Times New Roman" w:eastAsia="仿宋_GB2312" w:cs="仿宋_GB2312"/>
          <w:kern w:val="0"/>
          <w:sz w:val="32"/>
          <w:szCs w:val="32"/>
        </w:rPr>
        <w:t>单位无此支出</w:t>
      </w:r>
      <w:r>
        <w:rPr>
          <w:rFonts w:hint="eastAsia" w:ascii="仿宋_GB2312" w:eastAsia="仿宋_GB2312"/>
          <w:sz w:val="32"/>
          <w:szCs w:val="32"/>
          <w:highlight w:val="none"/>
        </w:rPr>
        <w:t>。单位全年安排的国内公务接待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主要原因是：我单位无三公经费支出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其中：因公出国（境）费</w:t>
      </w:r>
      <w:r>
        <w:rPr>
          <w:rFonts w:hint="eastAsia" w:ascii="仿宋_GB2312" w:hAnsi="宋体" w:eastAsia="仿宋_GB2312" w:cs="宋体"/>
          <w:kern w:val="0"/>
          <w:sz w:val="32"/>
          <w:szCs w:val="32"/>
          <w:highlight w:val="none"/>
          <w:lang w:val="en-US" w:eastAsia="zh-CN"/>
        </w:rPr>
        <w:t>全年预算数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主要原因是：本年预算和决算均未发生支出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主要原因是：本年预算和决算均未发生支出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公务用车运行费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主要原因是：本年预算和决算均未发生支出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公务接待费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主要原因是：本年预算和决算均未发生支出</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2" w:name="_Toc7927"/>
      <w:bookmarkStart w:id="23" w:name="_Toc5810"/>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宋体"/>
          <w:bCs/>
          <w:kern w:val="0"/>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bookmarkStart w:id="24" w:name="_Toc1235"/>
      <w:bookmarkStart w:id="25" w:name="_Toc731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3105"/>
      <w:bookmarkStart w:id="27" w:name="_Toc14519"/>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2022年度</w:t>
      </w:r>
      <w:r>
        <w:rPr>
          <w:rFonts w:hint="eastAsia" w:ascii="仿宋_GB2312" w:eastAsia="仿宋_GB2312"/>
          <w:sz w:val="32"/>
          <w:szCs w:val="32"/>
          <w:highlight w:val="none"/>
          <w:lang w:eastAsia="zh-CN"/>
        </w:rPr>
        <w:t>乌鲁木齐市水磨沟区青少年校外活动中心</w:t>
      </w:r>
      <w:r>
        <w:rPr>
          <w:rFonts w:hint="eastAsia" w:ascii="仿宋_GB2312" w:eastAsia="仿宋_GB2312"/>
          <w:sz w:val="32"/>
          <w:szCs w:val="32"/>
          <w:highlight w:val="none"/>
        </w:rPr>
        <w:t>单位（事业单位）</w:t>
      </w:r>
      <w:r>
        <w:rPr>
          <w:rFonts w:hint="eastAsia" w:ascii="仿宋_GB2312" w:eastAsia="仿宋_GB2312"/>
          <w:sz w:val="32"/>
          <w:szCs w:val="32"/>
          <w:highlight w:val="none"/>
          <w:lang w:eastAsia="zh-CN"/>
        </w:rPr>
        <w:t>公用经费</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万元，比上年减少</w:t>
      </w:r>
      <w:r>
        <w:rPr>
          <w:rFonts w:hint="eastAsia" w:ascii="仿宋_GB2312" w:eastAsia="仿宋_GB2312"/>
          <w:sz w:val="32"/>
          <w:szCs w:val="32"/>
          <w:highlight w:val="none"/>
          <w:lang w:val="en-US" w:eastAsia="zh-CN"/>
        </w:rPr>
        <w:t>78.18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97.38</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：公用经费仅花销在物业管理费中</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6704"/>
      <w:bookmarkStart w:id="29" w:name="_Toc227"/>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4591"/>
      <w:bookmarkStart w:id="31" w:name="_Toc8391"/>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rPr>
        <w:t>2164</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0</w:t>
      </w:r>
      <w:r>
        <w:rPr>
          <w:rFonts w:hint="eastAsia" w:ascii="仿宋_GB2312" w:eastAsia="仿宋_GB2312"/>
          <w:sz w:val="32"/>
          <w:szCs w:val="32"/>
          <w:highlight w:val="none"/>
          <w:lang w:val="en-US" w:eastAsia="zh-CN"/>
        </w:rPr>
        <w:t>3万元，房</w:t>
      </w:r>
      <w:r>
        <w:rPr>
          <w:rFonts w:hint="eastAsia" w:ascii="仿宋_GB2312" w:eastAsia="仿宋_GB2312"/>
          <w:sz w:val="32"/>
          <w:szCs w:val="32"/>
          <w:highlight w:val="none"/>
        </w:rPr>
        <w:t>屋5110.38平方米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rPr>
        <w:t>1692</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07万元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辆，价值</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0辆，其他用车主要是我单位无其他用车</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单价100万元（含）以上设备（不含车辆）</w:t>
      </w:r>
      <w:r>
        <w:rPr>
          <w:rFonts w:hint="eastAsia" w:ascii="仿宋_GB2312" w:eastAsia="仿宋_GB2312"/>
          <w:sz w:val="32"/>
          <w:szCs w:val="32"/>
          <w:highlight w:val="none"/>
          <w:lang w:val="en-US" w:eastAsia="zh-CN"/>
        </w:rPr>
        <w:t>0台（</w:t>
      </w:r>
      <w:r>
        <w:rPr>
          <w:rFonts w:hint="eastAsia" w:ascii="仿宋_GB2312" w:eastAsia="仿宋_GB2312"/>
          <w:sz w:val="32"/>
          <w:szCs w:val="32"/>
          <w:highlight w:val="none"/>
        </w:rPr>
        <w:t>套）。</w:t>
      </w:r>
      <w:bookmarkStart w:id="54" w:name="_GoBack"/>
      <w:bookmarkEnd w:id="5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2" w:name="_Toc11283"/>
      <w:bookmarkStart w:id="33" w:name="_Toc4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年度开展预算绩效评价项目</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全年预算数20.89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全年执行数20.79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。预算绩效管理取得的成效：一是</w:t>
      </w:r>
      <w:r>
        <w:rPr>
          <w:rFonts w:hint="eastAsia" w:ascii="仿宋_GB2312" w:hAnsi="Times New Roman" w:eastAsia="仿宋_GB2312" w:cs="仿宋_GB2312"/>
          <w:kern w:val="0"/>
          <w:sz w:val="32"/>
          <w:szCs w:val="32"/>
        </w:rPr>
        <w:t>使前来研学学生及教师有了更好的学习环境与工作环境</w:t>
      </w:r>
      <w:r>
        <w:rPr>
          <w:rFonts w:hint="eastAsia" w:ascii="仿宋_GB2312" w:eastAsia="仿宋_GB2312"/>
          <w:sz w:val="32"/>
          <w:szCs w:val="32"/>
          <w:highlight w:val="none"/>
          <w:lang w:eastAsia="zh-CN"/>
        </w:rPr>
        <w:t>；二是</w:t>
      </w:r>
      <w:r>
        <w:rPr>
          <w:rFonts w:hint="eastAsia" w:ascii="仿宋_GB2312" w:hAnsi="Times New Roman" w:eastAsia="仿宋_GB2312" w:cs="仿宋_GB2312"/>
          <w:kern w:val="0"/>
          <w:sz w:val="32"/>
          <w:szCs w:val="32"/>
        </w:rPr>
        <w:t>为本单位的整体工作能更好的运行提供服务保障</w:t>
      </w:r>
      <w:r>
        <w:rPr>
          <w:rFonts w:hint="eastAsia" w:ascii="仿宋_GB2312" w:eastAsia="仿宋_GB2312"/>
          <w:sz w:val="32"/>
          <w:szCs w:val="32"/>
          <w:highlight w:val="none"/>
          <w:lang w:eastAsia="zh-CN"/>
        </w:rPr>
        <w:t>。发现的问题及原因：一是</w:t>
      </w:r>
      <w:r>
        <w:rPr>
          <w:rFonts w:hint="eastAsia" w:ascii="仿宋_GB2312" w:hAnsi="Times New Roman" w:eastAsia="仿宋_GB2312" w:cs="仿宋_GB2312"/>
          <w:kern w:val="0"/>
          <w:sz w:val="32"/>
          <w:szCs w:val="32"/>
        </w:rPr>
        <w:t>预算编制合理性相对不足</w:t>
      </w:r>
      <w:r>
        <w:rPr>
          <w:rFonts w:hint="eastAsia" w:ascii="仿宋_GB2312" w:eastAsia="仿宋_GB2312"/>
          <w:sz w:val="32"/>
          <w:szCs w:val="32"/>
          <w:highlight w:val="none"/>
          <w:lang w:eastAsia="zh-CN"/>
        </w:rPr>
        <w:t>；二是</w:t>
      </w:r>
      <w:r>
        <w:rPr>
          <w:rFonts w:hint="eastAsia" w:ascii="仿宋_GB2312" w:hAnsi="Times New Roman" w:eastAsia="仿宋_GB2312" w:cs="仿宋_GB2312"/>
          <w:kern w:val="0"/>
          <w:sz w:val="32"/>
          <w:szCs w:val="32"/>
        </w:rPr>
        <w:t>年度目标与长期规划衔接的紧密程度需要增强</w:t>
      </w:r>
      <w:r>
        <w:rPr>
          <w:rFonts w:hint="eastAsia" w:ascii="仿宋_GB2312" w:eastAsia="仿宋_GB2312"/>
          <w:sz w:val="32"/>
          <w:szCs w:val="32"/>
          <w:highlight w:val="none"/>
          <w:lang w:eastAsia="zh-CN"/>
        </w:rPr>
        <w:t>。下一步改进措施：一是</w:t>
      </w:r>
      <w:r>
        <w:rPr>
          <w:rFonts w:hint="eastAsia" w:ascii="仿宋_GB2312" w:hAnsi="Times New Roman" w:eastAsia="仿宋_GB2312" w:cs="仿宋_GB2312"/>
          <w:kern w:val="0"/>
          <w:sz w:val="32"/>
          <w:szCs w:val="32"/>
        </w:rPr>
        <w:t>不断提高工作人员的业务素质</w:t>
      </w:r>
      <w:r>
        <w:rPr>
          <w:rFonts w:hint="eastAsia" w:ascii="仿宋_GB2312" w:eastAsia="仿宋_GB2312"/>
          <w:sz w:val="32"/>
          <w:szCs w:val="32"/>
          <w:highlight w:val="none"/>
          <w:lang w:eastAsia="zh-CN"/>
        </w:rPr>
        <w:t>；二是</w:t>
      </w:r>
      <w:r>
        <w:rPr>
          <w:rFonts w:hint="eastAsia" w:ascii="仿宋_GB2312" w:hAnsi="Times New Roman" w:eastAsia="仿宋_GB2312" w:cs="仿宋_GB2312"/>
          <w:kern w:val="0"/>
          <w:sz w:val="32"/>
          <w:szCs w:val="32"/>
        </w:rPr>
        <w:t>结合项目实施内容及特点，设定项目总目标、年度绩效目标及绩效指标，形成项目有目标、工作有计划、绩效可量化、考核有依据的计划目标管理机制，便于有效考核执行效果</w:t>
      </w:r>
      <w:r>
        <w:rPr>
          <w:rFonts w:hint="eastAsia" w:ascii="仿宋_GB2312" w:eastAsia="仿宋_GB2312"/>
          <w:sz w:val="32"/>
          <w:szCs w:val="32"/>
          <w:highlight w:val="none"/>
          <w:lang w:eastAsia="zh-CN"/>
        </w:rPr>
        <w:t>。具体</w:t>
      </w:r>
      <w:r>
        <w:rPr>
          <w:rFonts w:hint="eastAsia" w:ascii="仿宋_GB2312" w:eastAsia="仿宋_GB2312"/>
          <w:sz w:val="32"/>
          <w:szCs w:val="32"/>
          <w:highlight w:val="none"/>
        </w:rPr>
        <w:t>项目自评情况附项目支出绩效自评表。</w:t>
      </w:r>
    </w:p>
    <w:tbl>
      <w:tblPr>
        <w:tblStyle w:val="9"/>
        <w:tblW w:w="89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2"/>
        <w:gridCol w:w="630"/>
        <w:gridCol w:w="703"/>
        <w:gridCol w:w="2773"/>
        <w:gridCol w:w="111"/>
        <w:gridCol w:w="111"/>
        <w:gridCol w:w="781"/>
        <w:gridCol w:w="710"/>
        <w:gridCol w:w="370"/>
        <w:gridCol w:w="304"/>
        <w:gridCol w:w="650"/>
        <w:gridCol w:w="265"/>
        <w:gridCol w:w="111"/>
        <w:gridCol w:w="111"/>
        <w:gridCol w:w="256"/>
        <w:gridCol w:w="256"/>
        <w:gridCol w:w="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0" w:type="auto"/>
            <w:gridSpan w:val="17"/>
            <w:tcBorders>
              <w:top w:val="nil"/>
              <w:left w:val="nil"/>
              <w:bottom w:val="nil"/>
              <w:right w:val="nil"/>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bookmarkStart w:id="34" w:name="_Toc3250"/>
            <w:bookmarkStart w:id="35" w:name="_Toc24143"/>
            <w:r>
              <w:rPr>
                <w:rFonts w:hint="eastAsia" w:ascii="宋体" w:hAnsi="宋体" w:cs="宋体"/>
                <w:color w:val="000000"/>
                <w:kern w:val="0"/>
                <w:sz w:val="18"/>
                <w:szCs w:val="18"/>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17"/>
            <w:tcBorders>
              <w:top w:val="nil"/>
              <w:left w:val="nil"/>
              <w:bottom w:val="nil"/>
              <w:right w:val="nil"/>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项目名称</w:t>
            </w:r>
          </w:p>
        </w:tc>
        <w:tc>
          <w:tcPr>
            <w:tcW w:w="0" w:type="auto"/>
            <w:gridSpan w:val="15"/>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青少年活动专项经费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主管部门</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乌鲁木齐市水磨沟区青少年校外活动中心</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实施单位</w:t>
            </w:r>
          </w:p>
        </w:tc>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乌鲁木齐市水磨沟区青少年校外活动中心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项目资金</w:t>
            </w:r>
          </w:p>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年初预算数</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分值</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执行率</w:t>
            </w:r>
          </w:p>
        </w:tc>
        <w:tc>
          <w:tcPr>
            <w:tcW w:w="87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年度资金总额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207948.69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20.79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20.79</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100.00%</w:t>
            </w:r>
          </w:p>
        </w:tc>
        <w:tc>
          <w:tcPr>
            <w:tcW w:w="87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其中：当年财政拨款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207948.69</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20.79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20.79</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87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上年结转资金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87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87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年度总体目标</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预期目标</w:t>
            </w:r>
          </w:p>
        </w:tc>
        <w:tc>
          <w:tcPr>
            <w:tcW w:w="0" w:type="auto"/>
            <w:gridSpan w:val="1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按每学期、寒暑假等教学培训进度、按劳分配，发放授课经费，保证代课老师的费用落地实处,提高教育教学条件，改善校园环境，改进教学设备，弥补公用经费不足,保障活动中心日常的教育教学培训活动正常运行。</w:t>
            </w:r>
          </w:p>
        </w:tc>
        <w:tc>
          <w:tcPr>
            <w:tcW w:w="0" w:type="auto"/>
            <w:gridSpan w:val="1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提高了教育教学条件，改善了校园环境，保障了基础设施建设，提升了教师的教育教学水平，促进了素质教育发展，保障了活动中心日常的教育教学培训活动正常运行。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三级指标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实际完成值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分值</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得分</w:t>
            </w:r>
          </w:p>
        </w:tc>
        <w:tc>
          <w:tcPr>
            <w:tcW w:w="0" w:type="auto"/>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年度绩效指标完成情况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培训学生人次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&gt;=6000人次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5209人次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6.96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防控原因，报名学生人数减少，则培训学生人次变少。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开展培训活动次数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&gt;=20次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12次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3.6</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防控原因，开展培训活动次数减少。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购买各类教育教学用品</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&gt;=4类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0类</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防控原因，本年度没有进行购买教学用品。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日常维修维护校舍次数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&gt;=2次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防控原因，本年度没有进行维修校舍。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授课经费发放人数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&gt;=75人次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79人次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授课经费发放次数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&gt;=4次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防控原因，秋季培训班未开展，只发放了部分春季、暑假、去年寒假班共3次授课经费，但未使用此资金发放。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培训学生参与率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&gt;=95%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购买教育教学用品质量合格率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防控原因，本年度没有进行购买教学用品，不计入购买教学用品合格率中。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日常维修维护校舍验收合格率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防控原因，本年度没有进行维修校舍，不计入维修校舍验收合格率中。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授课经费按劳分配发放准确率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&gt;=100%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成本指标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每次发放授课经费资金数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&gt;=290元/学生人次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0元/学生人次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活动已开展，但并未使用此资金开展，此项目指标设置存在不合理的现象。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成本指标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购买教育教学用品成本</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&lt;=2万元/类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0万元/类</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防控原因，本年度没有购买教学用品，则成本为0。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成本指标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日常维修维护校舍成本</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&lt;=2万元/次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0万元/次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防控原因，本年度没有进行维修校舍，则成本为0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受益学生人数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&gt;=5000人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3584人</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10.8</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防控原因，培训班开课次数减少，则人数减少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可持续影响指标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保障青少年可持续参加课外培训</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持续保障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基本达到预期标准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15</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满意度指标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学生、教师满意度</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&gt;=95%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gridSpan w:val="2"/>
            <w:tcBorders>
              <w:top w:val="single" w:color="000000" w:sz="4" w:space="0"/>
              <w:left w:val="nil"/>
              <w:bottom w:val="single" w:color="000000" w:sz="4" w:space="0"/>
              <w:right w:val="nil"/>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gridSpan w:val="2"/>
            <w:tcBorders>
              <w:top w:val="single" w:color="000000" w:sz="4" w:space="0"/>
              <w:left w:val="nil"/>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nil"/>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nil"/>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73.36分</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gridSpan w:val="2"/>
            <w:tcBorders>
              <w:top w:val="single" w:color="000000" w:sz="4" w:space="0"/>
              <w:left w:val="nil"/>
              <w:bottom w:val="nil"/>
              <w:right w:val="nil"/>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项目负责人：</w:t>
            </w:r>
          </w:p>
        </w:tc>
        <w:tc>
          <w:tcPr>
            <w:tcW w:w="0" w:type="auto"/>
            <w:gridSpan w:val="2"/>
            <w:tcBorders>
              <w:top w:val="single" w:color="000000" w:sz="4" w:space="0"/>
              <w:left w:val="nil"/>
              <w:bottom w:val="nil"/>
              <w:right w:val="nil"/>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梁淼</w:t>
            </w:r>
          </w:p>
        </w:tc>
        <w:tc>
          <w:tcPr>
            <w:tcW w:w="0" w:type="auto"/>
            <w:gridSpan w:val="4"/>
            <w:tcBorders>
              <w:top w:val="single" w:color="000000" w:sz="4" w:space="0"/>
              <w:left w:val="nil"/>
              <w:bottom w:val="nil"/>
              <w:right w:val="nil"/>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联系电话：</w:t>
            </w:r>
          </w:p>
        </w:tc>
        <w:tc>
          <w:tcPr>
            <w:tcW w:w="0" w:type="auto"/>
            <w:gridSpan w:val="9"/>
            <w:tcBorders>
              <w:top w:val="single" w:color="000000" w:sz="4" w:space="0"/>
              <w:left w:val="nil"/>
              <w:bottom w:val="nil"/>
              <w:right w:val="nil"/>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gridSpan w:val="2"/>
            <w:tcBorders>
              <w:top w:val="nil"/>
              <w:left w:val="nil"/>
              <w:bottom w:val="nil"/>
              <w:right w:val="nil"/>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经 办 人：</w:t>
            </w:r>
          </w:p>
        </w:tc>
        <w:tc>
          <w:tcPr>
            <w:tcW w:w="0" w:type="auto"/>
            <w:gridSpan w:val="2"/>
            <w:tcBorders>
              <w:top w:val="nil"/>
              <w:left w:val="nil"/>
              <w:bottom w:val="nil"/>
              <w:right w:val="nil"/>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梁淼</w:t>
            </w:r>
          </w:p>
        </w:tc>
        <w:tc>
          <w:tcPr>
            <w:tcW w:w="0" w:type="auto"/>
            <w:gridSpan w:val="4"/>
            <w:tcBorders>
              <w:top w:val="nil"/>
              <w:left w:val="nil"/>
              <w:bottom w:val="nil"/>
              <w:right w:val="nil"/>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联系电话：</w:t>
            </w:r>
          </w:p>
        </w:tc>
        <w:tc>
          <w:tcPr>
            <w:tcW w:w="0" w:type="auto"/>
            <w:gridSpan w:val="9"/>
            <w:tcBorders>
              <w:top w:val="nil"/>
              <w:left w:val="nil"/>
              <w:bottom w:val="nil"/>
              <w:right w:val="nil"/>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4871179</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tbl>
      <w:tblPr>
        <w:tblStyle w:val="9"/>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4"/>
        <w:gridCol w:w="695"/>
        <w:gridCol w:w="648"/>
        <w:gridCol w:w="992"/>
        <w:gridCol w:w="1091"/>
        <w:gridCol w:w="653"/>
        <w:gridCol w:w="756"/>
        <w:gridCol w:w="576"/>
        <w:gridCol w:w="405"/>
        <w:gridCol w:w="450"/>
        <w:gridCol w:w="514"/>
        <w:gridCol w:w="431"/>
        <w:gridCol w:w="444"/>
        <w:gridCol w:w="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100" w:type="dxa"/>
            <w:gridSpan w:val="14"/>
            <w:tcBorders>
              <w:top w:val="nil"/>
              <w:left w:val="nil"/>
              <w:bottom w:val="nil"/>
              <w:right w:val="nil"/>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100" w:type="dxa"/>
            <w:gridSpan w:val="14"/>
            <w:tcBorders>
              <w:top w:val="nil"/>
              <w:left w:val="nil"/>
              <w:bottom w:val="nil"/>
              <w:right w:val="nil"/>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项目名称</w:t>
            </w:r>
          </w:p>
        </w:tc>
        <w:tc>
          <w:tcPr>
            <w:tcW w:w="7533"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乌财科教[2022]45号关于拨付2022年中小学和幼儿园自聘教师补助资金的通知（转移支付）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5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主管部门</w:t>
            </w:r>
          </w:p>
        </w:tc>
        <w:tc>
          <w:tcPr>
            <w:tcW w:w="363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乌鲁木齐市水磨沟区青少年校外活动中心</w:t>
            </w:r>
          </w:p>
        </w:tc>
        <w:tc>
          <w:tcPr>
            <w:tcW w:w="9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实施单位</w:t>
            </w:r>
          </w:p>
        </w:tc>
        <w:tc>
          <w:tcPr>
            <w:tcW w:w="293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乌鲁木齐市水磨沟区青少年校外活动中心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56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项目资金</w:t>
            </w:r>
          </w:p>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（万元）</w:t>
            </w: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年初预算数</w:t>
            </w:r>
          </w:p>
        </w:tc>
        <w:tc>
          <w:tcPr>
            <w:tcW w:w="11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全年预算数</w:t>
            </w:r>
          </w:p>
        </w:tc>
        <w:tc>
          <w:tcPr>
            <w:tcW w:w="9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全年执行数</w:t>
            </w:r>
          </w:p>
        </w:tc>
        <w:tc>
          <w:tcPr>
            <w:tcW w:w="11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分值</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执行率</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56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年度资金总额</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11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0.10</w:t>
            </w:r>
          </w:p>
        </w:tc>
        <w:tc>
          <w:tcPr>
            <w:tcW w:w="9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11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56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其中：当年财政拨款</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1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0.1</w:t>
            </w:r>
          </w:p>
        </w:tc>
        <w:tc>
          <w:tcPr>
            <w:tcW w:w="9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1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56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上年结转资金</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1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9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1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56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其他资金</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1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9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1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年度总体目标</w:t>
            </w:r>
          </w:p>
        </w:tc>
        <w:tc>
          <w:tcPr>
            <w:tcW w:w="441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预期目标</w:t>
            </w:r>
          </w:p>
        </w:tc>
        <w:tc>
          <w:tcPr>
            <w:tcW w:w="3899"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2" w:hRule="atLeast"/>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441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1.该项目是为了提高临聘教师工资待遇，提高薪资水平。</w:t>
            </w:r>
          </w:p>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2.专款专用，严格按照资金使用具体实施条例严格支付流程，对自聘教师发放补助，做到资金金额发放准确，资金发放及时，资金使用效率高效。</w:t>
            </w:r>
          </w:p>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3.有效促进临聘教师工作积极性，保障学校的正常教育教学工作顺利进行。</w:t>
            </w:r>
          </w:p>
        </w:tc>
        <w:tc>
          <w:tcPr>
            <w:tcW w:w="3899"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该项目资金于2022年12月追加拨付，尚未支付。该款项主要是用于发放临聘人员工资及补助等，通过实施该项目，工资及补助发放至每位临聘人员，能够看出发放符合度和覆盖率等情况较好，提高和改善了代课教师的待遇，让代课教师满意度提升，则能够保障中心正常的教育教学工作顺利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781" w:type="dxa"/>
            <w:tcBorders>
              <w:top w:val="single" w:color="000000" w:sz="4" w:space="0"/>
              <w:left w:val="single" w:color="000000" w:sz="4" w:space="0"/>
              <w:bottom w:val="single" w:color="000000" w:sz="4" w:space="0"/>
              <w:right w:val="nil"/>
            </w:tcBorders>
            <w:noWrap w:val="0"/>
            <w:vAlign w:val="top"/>
          </w:tcPr>
          <w:p>
            <w:pPr>
              <w:widowControl/>
              <w:spacing w:beforeLines="0" w:afterLines="0"/>
              <w:jc w:val="center"/>
              <w:rPr>
                <w:rFonts w:hint="eastAsia" w:ascii="宋体" w:hAnsi="宋体" w:cs="宋体"/>
                <w:color w:val="000000"/>
                <w:kern w:val="0"/>
                <w:sz w:val="18"/>
                <w:szCs w:val="18"/>
                <w:lang w:val="en-US" w:eastAsia="zh-CN"/>
              </w:rPr>
            </w:pPr>
          </w:p>
        </w:tc>
        <w:tc>
          <w:tcPr>
            <w:tcW w:w="770" w:type="dxa"/>
            <w:tcBorders>
              <w:top w:val="single" w:color="000000" w:sz="4" w:space="0"/>
              <w:left w:val="nil"/>
              <w:bottom w:val="single" w:color="000000" w:sz="4" w:space="0"/>
              <w:right w:val="nil"/>
            </w:tcBorders>
            <w:noWrap w:val="0"/>
            <w:vAlign w:val="top"/>
          </w:tcPr>
          <w:p>
            <w:pPr>
              <w:widowControl/>
              <w:spacing w:beforeLines="0" w:afterLines="0"/>
              <w:jc w:val="center"/>
              <w:rPr>
                <w:rFonts w:hint="eastAsia" w:ascii="宋体" w:hAnsi="宋体" w:cs="宋体"/>
                <w:color w:val="000000"/>
                <w:kern w:val="0"/>
                <w:sz w:val="18"/>
                <w:szCs w:val="18"/>
                <w:lang w:val="en-US" w:eastAsia="zh-CN"/>
              </w:rPr>
            </w:pPr>
          </w:p>
        </w:tc>
        <w:tc>
          <w:tcPr>
            <w:tcW w:w="822" w:type="dxa"/>
            <w:tcBorders>
              <w:top w:val="single" w:color="000000" w:sz="4" w:space="0"/>
              <w:left w:val="nil"/>
              <w:bottom w:val="single" w:color="000000" w:sz="4" w:space="0"/>
              <w:right w:val="nil"/>
            </w:tcBorders>
            <w:noWrap w:val="0"/>
            <w:vAlign w:val="top"/>
          </w:tcPr>
          <w:p>
            <w:pPr>
              <w:widowControl/>
              <w:spacing w:beforeLines="0" w:afterLines="0"/>
              <w:jc w:val="center"/>
              <w:rPr>
                <w:rFonts w:hint="eastAsia" w:ascii="宋体" w:hAnsi="宋体" w:cs="宋体"/>
                <w:color w:val="000000"/>
                <w:kern w:val="0"/>
                <w:sz w:val="18"/>
                <w:szCs w:val="18"/>
                <w:lang w:val="en-US" w:eastAsia="zh-CN"/>
              </w:rPr>
            </w:pPr>
          </w:p>
        </w:tc>
        <w:tc>
          <w:tcPr>
            <w:tcW w:w="883" w:type="dxa"/>
            <w:tcBorders>
              <w:top w:val="single" w:color="000000" w:sz="4" w:space="0"/>
              <w:left w:val="nil"/>
              <w:bottom w:val="single" w:color="000000" w:sz="4" w:space="0"/>
              <w:right w:val="nil"/>
            </w:tcBorders>
            <w:noWrap w:val="0"/>
            <w:vAlign w:val="top"/>
          </w:tcPr>
          <w:p>
            <w:pPr>
              <w:widowControl/>
              <w:spacing w:beforeLines="0" w:afterLines="0"/>
              <w:jc w:val="center"/>
              <w:rPr>
                <w:rFonts w:hint="eastAsia" w:ascii="宋体" w:hAnsi="宋体" w:cs="宋体"/>
                <w:color w:val="000000"/>
                <w:kern w:val="0"/>
                <w:sz w:val="18"/>
                <w:szCs w:val="18"/>
                <w:lang w:val="en-US" w:eastAsia="zh-CN"/>
              </w:rPr>
            </w:pPr>
          </w:p>
        </w:tc>
        <w:tc>
          <w:tcPr>
            <w:tcW w:w="529" w:type="dxa"/>
            <w:tcBorders>
              <w:top w:val="single" w:color="000000" w:sz="4" w:space="0"/>
              <w:left w:val="nil"/>
              <w:bottom w:val="single" w:color="000000" w:sz="4" w:space="0"/>
              <w:right w:val="nil"/>
            </w:tcBorders>
            <w:noWrap w:val="0"/>
            <w:vAlign w:val="top"/>
          </w:tcPr>
          <w:p>
            <w:pPr>
              <w:widowControl/>
              <w:spacing w:beforeLines="0" w:afterLines="0"/>
              <w:jc w:val="center"/>
              <w:rPr>
                <w:rFonts w:hint="eastAsia" w:ascii="宋体" w:hAnsi="宋体" w:cs="宋体"/>
                <w:color w:val="000000"/>
                <w:kern w:val="0"/>
                <w:sz w:val="18"/>
                <w:szCs w:val="18"/>
                <w:lang w:val="en-US" w:eastAsia="zh-CN"/>
              </w:rPr>
            </w:pPr>
          </w:p>
        </w:tc>
        <w:tc>
          <w:tcPr>
            <w:tcW w:w="630" w:type="dxa"/>
            <w:tcBorders>
              <w:top w:val="single" w:color="000000" w:sz="4" w:space="0"/>
              <w:left w:val="nil"/>
              <w:bottom w:val="single" w:color="000000" w:sz="4" w:space="0"/>
              <w:right w:val="single" w:color="000000" w:sz="4" w:space="0"/>
            </w:tcBorders>
            <w:noWrap w:val="0"/>
            <w:vAlign w:val="top"/>
          </w:tcPr>
          <w:p>
            <w:pPr>
              <w:widowControl/>
              <w:spacing w:beforeLines="0" w:afterLines="0"/>
              <w:jc w:val="center"/>
              <w:rPr>
                <w:rFonts w:hint="eastAsia" w:ascii="宋体" w:hAnsi="宋体" w:cs="宋体"/>
                <w:color w:val="000000"/>
                <w:kern w:val="0"/>
                <w:sz w:val="18"/>
                <w:szCs w:val="18"/>
                <w:lang w:val="en-US" w:eastAsia="zh-CN"/>
              </w:rPr>
            </w:pPr>
          </w:p>
        </w:tc>
        <w:tc>
          <w:tcPr>
            <w:tcW w:w="484" w:type="dxa"/>
            <w:tcBorders>
              <w:top w:val="single" w:color="000000" w:sz="4" w:space="0"/>
              <w:left w:val="single" w:color="000000" w:sz="4" w:space="0"/>
              <w:bottom w:val="single" w:color="000000" w:sz="4" w:space="0"/>
              <w:right w:val="nil"/>
            </w:tcBorders>
            <w:noWrap w:val="0"/>
            <w:vAlign w:val="top"/>
          </w:tcPr>
          <w:p>
            <w:pPr>
              <w:widowControl/>
              <w:spacing w:beforeLines="0" w:afterLines="0"/>
              <w:jc w:val="center"/>
              <w:rPr>
                <w:rFonts w:hint="eastAsia" w:ascii="宋体" w:hAnsi="宋体" w:cs="宋体"/>
                <w:color w:val="000000"/>
                <w:kern w:val="0"/>
                <w:sz w:val="18"/>
                <w:szCs w:val="18"/>
                <w:lang w:val="en-US" w:eastAsia="zh-CN"/>
              </w:rPr>
            </w:pPr>
          </w:p>
        </w:tc>
        <w:tc>
          <w:tcPr>
            <w:tcW w:w="482" w:type="dxa"/>
            <w:tcBorders>
              <w:top w:val="single" w:color="000000" w:sz="4" w:space="0"/>
              <w:left w:val="nil"/>
              <w:bottom w:val="single" w:color="000000" w:sz="4" w:space="0"/>
              <w:right w:val="nil"/>
            </w:tcBorders>
            <w:noWrap w:val="0"/>
            <w:vAlign w:val="top"/>
          </w:tcPr>
          <w:p>
            <w:pPr>
              <w:widowControl/>
              <w:spacing w:beforeLines="0" w:afterLines="0"/>
              <w:jc w:val="center"/>
              <w:rPr>
                <w:rFonts w:hint="eastAsia" w:ascii="宋体" w:hAnsi="宋体" w:cs="宋体"/>
                <w:color w:val="000000"/>
                <w:kern w:val="0"/>
                <w:sz w:val="18"/>
                <w:szCs w:val="18"/>
                <w:lang w:val="en-US" w:eastAsia="zh-CN"/>
              </w:rPr>
            </w:pPr>
          </w:p>
        </w:tc>
        <w:tc>
          <w:tcPr>
            <w:tcW w:w="552" w:type="dxa"/>
            <w:tcBorders>
              <w:top w:val="single" w:color="000000" w:sz="4" w:space="0"/>
              <w:left w:val="nil"/>
              <w:bottom w:val="single" w:color="000000" w:sz="4" w:space="0"/>
              <w:right w:val="nil"/>
            </w:tcBorders>
            <w:noWrap w:val="0"/>
            <w:vAlign w:val="top"/>
          </w:tcPr>
          <w:p>
            <w:pPr>
              <w:widowControl/>
              <w:spacing w:beforeLines="0" w:afterLines="0"/>
              <w:jc w:val="center"/>
              <w:rPr>
                <w:rFonts w:hint="eastAsia" w:ascii="宋体" w:hAnsi="宋体" w:cs="宋体"/>
                <w:color w:val="000000"/>
                <w:kern w:val="0"/>
                <w:sz w:val="18"/>
                <w:szCs w:val="18"/>
                <w:lang w:val="en-US" w:eastAsia="zh-CN"/>
              </w:rPr>
            </w:pPr>
          </w:p>
        </w:tc>
        <w:tc>
          <w:tcPr>
            <w:tcW w:w="628" w:type="dxa"/>
            <w:tcBorders>
              <w:top w:val="single" w:color="000000" w:sz="4" w:space="0"/>
              <w:left w:val="nil"/>
              <w:bottom w:val="single" w:color="000000" w:sz="4" w:space="0"/>
              <w:right w:val="nil"/>
            </w:tcBorders>
            <w:noWrap w:val="0"/>
            <w:vAlign w:val="top"/>
          </w:tcPr>
          <w:p>
            <w:pPr>
              <w:widowControl/>
              <w:spacing w:beforeLines="0" w:afterLines="0"/>
              <w:jc w:val="center"/>
              <w:rPr>
                <w:rFonts w:hint="eastAsia" w:ascii="宋体" w:hAnsi="宋体" w:cs="宋体"/>
                <w:color w:val="000000"/>
                <w:kern w:val="0"/>
                <w:sz w:val="18"/>
                <w:szCs w:val="18"/>
                <w:lang w:val="en-US" w:eastAsia="zh-CN"/>
              </w:rPr>
            </w:pPr>
          </w:p>
        </w:tc>
        <w:tc>
          <w:tcPr>
            <w:tcW w:w="452" w:type="dxa"/>
            <w:tcBorders>
              <w:top w:val="single" w:color="000000" w:sz="4" w:space="0"/>
              <w:left w:val="nil"/>
              <w:bottom w:val="single" w:color="000000" w:sz="4" w:space="0"/>
              <w:right w:val="nil"/>
            </w:tcBorders>
            <w:noWrap w:val="0"/>
            <w:vAlign w:val="top"/>
          </w:tcPr>
          <w:p>
            <w:pPr>
              <w:widowControl/>
              <w:spacing w:beforeLines="0" w:afterLines="0"/>
              <w:jc w:val="center"/>
              <w:rPr>
                <w:rFonts w:hint="eastAsia" w:ascii="宋体" w:hAnsi="宋体" w:cs="宋体"/>
                <w:color w:val="000000"/>
                <w:kern w:val="0"/>
                <w:sz w:val="18"/>
                <w:szCs w:val="18"/>
                <w:lang w:val="en-US" w:eastAsia="zh-CN"/>
              </w:rPr>
            </w:pPr>
          </w:p>
        </w:tc>
        <w:tc>
          <w:tcPr>
            <w:tcW w:w="509" w:type="dxa"/>
            <w:tcBorders>
              <w:top w:val="single" w:color="000000" w:sz="4" w:space="0"/>
              <w:left w:val="nil"/>
              <w:bottom w:val="single" w:color="000000" w:sz="4" w:space="0"/>
              <w:right w:val="nil"/>
            </w:tcBorders>
            <w:noWrap w:val="0"/>
            <w:vAlign w:val="top"/>
          </w:tcPr>
          <w:p>
            <w:pPr>
              <w:widowControl/>
              <w:spacing w:beforeLines="0" w:afterLines="0"/>
              <w:jc w:val="center"/>
              <w:rPr>
                <w:rFonts w:hint="eastAsia" w:ascii="宋体" w:hAnsi="宋体" w:cs="宋体"/>
                <w:color w:val="000000"/>
                <w:kern w:val="0"/>
                <w:sz w:val="18"/>
                <w:szCs w:val="18"/>
                <w:lang w:val="en-US" w:eastAsia="zh-CN"/>
              </w:rPr>
            </w:pPr>
          </w:p>
        </w:tc>
        <w:tc>
          <w:tcPr>
            <w:tcW w:w="792" w:type="dxa"/>
            <w:tcBorders>
              <w:top w:val="single" w:color="000000" w:sz="4" w:space="0"/>
              <w:left w:val="nil"/>
              <w:bottom w:val="single" w:color="000000" w:sz="4" w:space="0"/>
              <w:right w:val="single" w:color="000000" w:sz="4" w:space="0"/>
            </w:tcBorders>
            <w:noWrap w:val="0"/>
            <w:vAlign w:val="top"/>
          </w:tcPr>
          <w:p>
            <w:pPr>
              <w:widowControl/>
              <w:spacing w:beforeLines="0" w:afterLines="0"/>
              <w:jc w:val="center"/>
              <w:rPr>
                <w:rFonts w:hint="eastAsia" w:ascii="宋体" w:hAnsi="宋体"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78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一级指标</w:t>
            </w:r>
          </w:p>
        </w:tc>
        <w:tc>
          <w:tcPr>
            <w:tcW w:w="7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二级指标</w:t>
            </w:r>
          </w:p>
        </w:tc>
        <w:tc>
          <w:tcPr>
            <w:tcW w:w="223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三级指标</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年度指标值</w:t>
            </w:r>
          </w:p>
        </w:tc>
        <w:tc>
          <w:tcPr>
            <w:tcW w:w="4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实际完成值</w:t>
            </w:r>
          </w:p>
        </w:tc>
        <w:tc>
          <w:tcPr>
            <w:tcW w:w="103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分值</w:t>
            </w:r>
          </w:p>
        </w:tc>
        <w:tc>
          <w:tcPr>
            <w:tcW w:w="10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得分</w:t>
            </w:r>
          </w:p>
        </w:tc>
        <w:tc>
          <w:tcPr>
            <w:tcW w:w="130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78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223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48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103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c>
          <w:tcPr>
            <w:tcW w:w="13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年度绩效指标完成情况</w:t>
            </w:r>
          </w:p>
        </w:tc>
        <w:tc>
          <w:tcPr>
            <w:tcW w:w="78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产出指标</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发放补助人数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&gt;=17人</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36人</w:t>
            </w:r>
          </w:p>
        </w:tc>
        <w:tc>
          <w:tcPr>
            <w:tcW w:w="10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8</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8</w:t>
            </w: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防控原因，款项尚未拨付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8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发放补助次数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=12次</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12次</w:t>
            </w:r>
          </w:p>
        </w:tc>
        <w:tc>
          <w:tcPr>
            <w:tcW w:w="10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8</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8</w:t>
            </w: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left"/>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去年临聘人员工资是基本户垫付，此款项是今年1月财政给单位的追加，发放两个月（两次）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8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符合补助政策教师覆盖率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=100%</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100%</w:t>
            </w:r>
          </w:p>
        </w:tc>
        <w:tc>
          <w:tcPr>
            <w:tcW w:w="10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9</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9</w:t>
            </w: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防控原因，款项尚未拨付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8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补助发放符合度</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=100%</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100%</w:t>
            </w:r>
          </w:p>
        </w:tc>
        <w:tc>
          <w:tcPr>
            <w:tcW w:w="10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8</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8</w:t>
            </w: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防控原因，款项尚未拨付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8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资金发放及时率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&gt;=90%</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90%</w:t>
            </w:r>
          </w:p>
        </w:tc>
        <w:tc>
          <w:tcPr>
            <w:tcW w:w="10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9</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9</w:t>
            </w: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防控原因，款项尚未拨付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2" w:hRule="atLeast"/>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8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每人每次发放补助资金</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&lt;=1188元</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0元</w:t>
            </w:r>
          </w:p>
        </w:tc>
        <w:tc>
          <w:tcPr>
            <w:tcW w:w="10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8</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0</w:t>
            </w: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2022年临聘人员工资是基本户垫付，此款项是今年1月财政给单位的追加，款项尚未拨付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8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效益指标</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10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8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改善代课教师待遇</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有效改善</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基本达到预期效果</w:t>
            </w:r>
          </w:p>
        </w:tc>
        <w:tc>
          <w:tcPr>
            <w:tcW w:w="10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15</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15</w:t>
            </w: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防控原因，款项尚未拨付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8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10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8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保障学校日常教育教学顺利开展</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有效保障</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基本达到预期效果</w:t>
            </w:r>
          </w:p>
        </w:tc>
        <w:tc>
          <w:tcPr>
            <w:tcW w:w="10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15</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15</w:t>
            </w: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防控原因，款项尚未拨付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满意度指标</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代课教师满意度</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&gt;=90%</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100%</w:t>
            </w:r>
          </w:p>
        </w:tc>
        <w:tc>
          <w:tcPr>
            <w:tcW w:w="10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10</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10</w:t>
            </w: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防控原因，款项尚未拨付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8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822" w:type="dxa"/>
            <w:tcBorders>
              <w:top w:val="single" w:color="000000" w:sz="4" w:space="0"/>
              <w:left w:val="single" w:color="000000" w:sz="4" w:space="0"/>
              <w:bottom w:val="single" w:color="000000" w:sz="4" w:space="0"/>
              <w:right w:val="nil"/>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883" w:type="dxa"/>
            <w:tcBorders>
              <w:top w:val="single" w:color="000000" w:sz="4" w:space="0"/>
              <w:left w:val="nil"/>
              <w:bottom w:val="single" w:color="000000" w:sz="4" w:space="0"/>
              <w:right w:val="nil"/>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529" w:type="dxa"/>
            <w:tcBorders>
              <w:top w:val="single" w:color="000000" w:sz="4" w:space="0"/>
              <w:left w:val="nil"/>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482" w:type="dxa"/>
            <w:tcBorders>
              <w:top w:val="single" w:color="000000" w:sz="4" w:space="0"/>
              <w:left w:val="single" w:color="000000" w:sz="4" w:space="0"/>
              <w:bottom w:val="single" w:color="000000" w:sz="4" w:space="0"/>
              <w:right w:val="nil"/>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552" w:type="dxa"/>
            <w:tcBorders>
              <w:top w:val="single" w:color="000000" w:sz="4" w:space="0"/>
              <w:left w:val="nil"/>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628" w:type="dxa"/>
            <w:tcBorders>
              <w:top w:val="single" w:color="000000" w:sz="4" w:space="0"/>
              <w:left w:val="single" w:color="000000" w:sz="4" w:space="0"/>
              <w:bottom w:val="single" w:color="000000" w:sz="4" w:space="0"/>
              <w:right w:val="nil"/>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452" w:type="dxa"/>
            <w:tcBorders>
              <w:top w:val="single" w:color="000000" w:sz="4" w:space="0"/>
              <w:left w:val="nil"/>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50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5685"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总分</w:t>
            </w:r>
          </w:p>
        </w:tc>
        <w:tc>
          <w:tcPr>
            <w:tcW w:w="10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100</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82.00分</w:t>
            </w:r>
          </w:p>
        </w:tc>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Lines="0" w:afterLines="0"/>
              <w:jc w:val="center"/>
              <w:rPr>
                <w:rFonts w:hint="eastAsia" w:ascii="宋体" w:hAnsi="宋体" w:cs="宋体"/>
                <w:color w:val="000000"/>
                <w:kern w:val="0"/>
                <w:sz w:val="18"/>
                <w:szCs w:val="1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567" w:type="dxa"/>
            <w:gridSpan w:val="2"/>
            <w:tcBorders>
              <w:top w:val="single" w:color="000000" w:sz="4" w:space="0"/>
              <w:left w:val="nil"/>
              <w:bottom w:val="nil"/>
              <w:right w:val="nil"/>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项目负责人：</w:t>
            </w:r>
          </w:p>
        </w:tc>
        <w:tc>
          <w:tcPr>
            <w:tcW w:w="2475" w:type="dxa"/>
            <w:gridSpan w:val="3"/>
            <w:tcBorders>
              <w:top w:val="single" w:color="000000" w:sz="4" w:space="0"/>
              <w:left w:val="nil"/>
              <w:bottom w:val="nil"/>
              <w:right w:val="nil"/>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蔡金城</w:t>
            </w:r>
          </w:p>
        </w:tc>
        <w:tc>
          <w:tcPr>
            <w:tcW w:w="2125" w:type="dxa"/>
            <w:gridSpan w:val="4"/>
            <w:tcBorders>
              <w:top w:val="single" w:color="000000" w:sz="4" w:space="0"/>
              <w:left w:val="nil"/>
              <w:bottom w:val="nil"/>
              <w:right w:val="nil"/>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联系电话：</w:t>
            </w:r>
          </w:p>
        </w:tc>
        <w:tc>
          <w:tcPr>
            <w:tcW w:w="2933" w:type="dxa"/>
            <w:gridSpan w:val="5"/>
            <w:tcBorders>
              <w:top w:val="single" w:color="000000" w:sz="4" w:space="0"/>
              <w:left w:val="nil"/>
              <w:bottom w:val="nil"/>
              <w:right w:val="nil"/>
            </w:tcBorders>
            <w:noWrap w:val="0"/>
            <w:vAlign w:val="center"/>
          </w:tcPr>
          <w:p>
            <w:pPr>
              <w:widowControl/>
              <w:spacing w:beforeLines="0" w:afterLines="0"/>
              <w:jc w:val="center"/>
              <w:rPr>
                <w:rFonts w:hint="eastAsia" w:ascii="宋体" w:hAnsi="宋体" w:cs="宋体"/>
                <w:color w:val="00000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gridSpan w:val="2"/>
            <w:tcBorders>
              <w:top w:val="nil"/>
              <w:left w:val="nil"/>
              <w:bottom w:val="nil"/>
              <w:right w:val="nil"/>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经 办 人：</w:t>
            </w:r>
          </w:p>
        </w:tc>
        <w:tc>
          <w:tcPr>
            <w:tcW w:w="0" w:type="auto"/>
            <w:gridSpan w:val="3"/>
            <w:tcBorders>
              <w:top w:val="nil"/>
              <w:left w:val="nil"/>
              <w:bottom w:val="nil"/>
              <w:right w:val="nil"/>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庞晓婷</w:t>
            </w:r>
          </w:p>
        </w:tc>
        <w:tc>
          <w:tcPr>
            <w:tcW w:w="0" w:type="auto"/>
            <w:gridSpan w:val="4"/>
            <w:tcBorders>
              <w:top w:val="nil"/>
              <w:left w:val="nil"/>
              <w:bottom w:val="nil"/>
              <w:right w:val="nil"/>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联系电话：</w:t>
            </w:r>
          </w:p>
        </w:tc>
        <w:tc>
          <w:tcPr>
            <w:tcW w:w="0" w:type="auto"/>
            <w:gridSpan w:val="5"/>
            <w:tcBorders>
              <w:top w:val="nil"/>
              <w:left w:val="nil"/>
              <w:bottom w:val="nil"/>
              <w:right w:val="nil"/>
            </w:tcBorders>
            <w:noWrap/>
            <w:vAlign w:val="center"/>
          </w:tcPr>
          <w:p>
            <w:pPr>
              <w:widowControl/>
              <w:spacing w:beforeLines="0" w:afterLines="0"/>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4871179</w:t>
            </w:r>
          </w:p>
        </w:tc>
      </w:tr>
    </w:tbl>
    <w:p>
      <w:pPr>
        <w:keepNext w:val="0"/>
        <w:keepLines w:val="0"/>
        <w:widowControl/>
        <w:suppressLineNumbers w:val="0"/>
        <w:jc w:val="center"/>
        <w:textAlignment w:val="center"/>
        <w:rPr>
          <w:rFonts w:hint="eastAsia" w:ascii="黑体" w:hAnsi="黑体" w:eastAsia="黑体"/>
          <w:sz w:val="32"/>
          <w:szCs w:val="32"/>
          <w:highlight w:val="none"/>
        </w:rPr>
      </w:pPr>
      <w:r>
        <w:rPr>
          <w:rFonts w:hint="eastAsia" w:ascii="宋体" w:hAnsi="宋体" w:eastAsia="宋体" w:cs="宋体"/>
          <w:i w:val="0"/>
          <w:iCs w:val="0"/>
          <w:color w:val="000000"/>
          <w:kern w:val="0"/>
          <w:sz w:val="16"/>
          <w:szCs w:val="16"/>
          <w:u w:val="none"/>
          <w:lang w:val="en-US" w:eastAsia="zh-CN" w:bidi="ar"/>
        </w:rPr>
        <w:br w:type="page"/>
      </w:r>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2784"/>
      <w:bookmarkStart w:id="37" w:name="_Toc28903"/>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6062"/>
      <w:bookmarkStart w:id="39" w:name="_Toc2183"/>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30364"/>
      <w:bookmarkStart w:id="41" w:name="_Toc24532"/>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32434"/>
      <w:bookmarkStart w:id="43" w:name="_Toc2130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28786"/>
      <w:bookmarkStart w:id="45" w:name="_Toc14238"/>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0347"/>
      <w:bookmarkStart w:id="47" w:name="_Toc14869"/>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8884"/>
      <w:bookmarkStart w:id="49" w:name="_Toc5626"/>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32663"/>
      <w:bookmarkStart w:id="51" w:name="_Toc29106"/>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7643"/>
      <w:bookmarkStart w:id="53" w:name="_Toc545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F9FA5"/>
    <w:multiLevelType w:val="singleLevel"/>
    <w:tmpl w:val="668F9FA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ZDkwYTNjZDdkOGJlZTFiNzIwYTVhNDhjOGUzZTcifQ=="/>
  </w:docVars>
  <w:rsids>
    <w:rsidRoot w:val="00000000"/>
    <w:rsid w:val="012D66CB"/>
    <w:rsid w:val="02092308"/>
    <w:rsid w:val="02F73D26"/>
    <w:rsid w:val="034D4FEF"/>
    <w:rsid w:val="043E5B56"/>
    <w:rsid w:val="05E05ABA"/>
    <w:rsid w:val="06135DFE"/>
    <w:rsid w:val="06792773"/>
    <w:rsid w:val="0878022B"/>
    <w:rsid w:val="0A7B4867"/>
    <w:rsid w:val="0B314B75"/>
    <w:rsid w:val="0B8C3ECC"/>
    <w:rsid w:val="0B9A16EB"/>
    <w:rsid w:val="0C7227A7"/>
    <w:rsid w:val="103E1116"/>
    <w:rsid w:val="161F618A"/>
    <w:rsid w:val="182D6A90"/>
    <w:rsid w:val="1BD118B7"/>
    <w:rsid w:val="1DAF458D"/>
    <w:rsid w:val="1DD5383B"/>
    <w:rsid w:val="1F686E6B"/>
    <w:rsid w:val="20DD6197"/>
    <w:rsid w:val="23BC04D2"/>
    <w:rsid w:val="23DE2F8B"/>
    <w:rsid w:val="27CF2642"/>
    <w:rsid w:val="2A053397"/>
    <w:rsid w:val="2B8A594C"/>
    <w:rsid w:val="2D1136DF"/>
    <w:rsid w:val="2ED92C10"/>
    <w:rsid w:val="2FD27414"/>
    <w:rsid w:val="2FE97B1E"/>
    <w:rsid w:val="30342BE2"/>
    <w:rsid w:val="31C63837"/>
    <w:rsid w:val="351A67E7"/>
    <w:rsid w:val="36EC050E"/>
    <w:rsid w:val="37D83F93"/>
    <w:rsid w:val="3914510A"/>
    <w:rsid w:val="3A22449A"/>
    <w:rsid w:val="3BD163E5"/>
    <w:rsid w:val="3C0D6901"/>
    <w:rsid w:val="3D340C51"/>
    <w:rsid w:val="3D5275AC"/>
    <w:rsid w:val="40834692"/>
    <w:rsid w:val="40C81049"/>
    <w:rsid w:val="442B58DC"/>
    <w:rsid w:val="44AB4E57"/>
    <w:rsid w:val="461D3447"/>
    <w:rsid w:val="46901EEE"/>
    <w:rsid w:val="469C74D2"/>
    <w:rsid w:val="480A1F47"/>
    <w:rsid w:val="494836A7"/>
    <w:rsid w:val="4B4C0111"/>
    <w:rsid w:val="4FAC5FBC"/>
    <w:rsid w:val="50DB5F45"/>
    <w:rsid w:val="51B575F0"/>
    <w:rsid w:val="52F92565"/>
    <w:rsid w:val="55CF7153"/>
    <w:rsid w:val="583059FA"/>
    <w:rsid w:val="583F7EB4"/>
    <w:rsid w:val="588747BB"/>
    <w:rsid w:val="5DC054DD"/>
    <w:rsid w:val="5FA17648"/>
    <w:rsid w:val="5FEB1D53"/>
    <w:rsid w:val="602D0A71"/>
    <w:rsid w:val="61A46A97"/>
    <w:rsid w:val="628D4D9B"/>
    <w:rsid w:val="62DD7D21"/>
    <w:rsid w:val="647F0BB8"/>
    <w:rsid w:val="65D97752"/>
    <w:rsid w:val="661F3C3A"/>
    <w:rsid w:val="67513297"/>
    <w:rsid w:val="68DB0208"/>
    <w:rsid w:val="69AD798C"/>
    <w:rsid w:val="6B68175F"/>
    <w:rsid w:val="6E0F7A08"/>
    <w:rsid w:val="6E666B87"/>
    <w:rsid w:val="71327C95"/>
    <w:rsid w:val="71473612"/>
    <w:rsid w:val="71883D59"/>
    <w:rsid w:val="718F7F65"/>
    <w:rsid w:val="720E766E"/>
    <w:rsid w:val="727F0C8D"/>
    <w:rsid w:val="73FB6630"/>
    <w:rsid w:val="74E76DCD"/>
    <w:rsid w:val="74E96475"/>
    <w:rsid w:val="762356FD"/>
    <w:rsid w:val="77ED6F44"/>
    <w:rsid w:val="7B890A29"/>
    <w:rsid w:val="7EC65EC0"/>
    <w:rsid w:val="7FCF0F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Autospacing="0"/>
    </w:p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toc 2"/>
    <w:basedOn w:val="1"/>
    <w:next w:val="1"/>
    <w:qFormat/>
    <w:uiPriority w:val="0"/>
    <w:pPr>
      <w:ind w:left="420" w:leftChars="200"/>
    </w:p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7094</Words>
  <Characters>7682</Characters>
  <Lines>0</Lines>
  <Paragraphs>0</Paragraphs>
  <TotalTime>27</TotalTime>
  <ScaleCrop>false</ScaleCrop>
  <LinksUpToDate>false</LinksUpToDate>
  <CharactersWithSpaces>7696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dcterms:modified xsi:type="dcterms:W3CDTF">2024-02-19T05:30:33Z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AAC79C6358914A0C89E9471757AEFB1E_13</vt:lpwstr>
  </property>
</Properties>
</file>