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lang w:val="en-US" w:eastAsia="zh-CN"/>
        </w:rPr>
        <w:t>乌鲁木齐市第三十八小学</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bookmarkStart w:id="4" w:name="_Toc31238"/>
      <w:bookmarkStart w:id="5" w:name="_Toc2151"/>
      <w:r>
        <w:rPr>
          <w:rFonts w:hint="eastAsia" w:ascii="仿宋_GB2312" w:eastAsia="仿宋_GB2312"/>
          <w:sz w:val="32"/>
          <w:szCs w:val="32"/>
          <w:highlight w:val="none"/>
          <w:lang w:val="en-US" w:eastAsia="zh-CN"/>
        </w:rPr>
        <w:t>一、学校基本介绍：乌鲁木齐市第三十八小学由乌鲁木齐市水磨沟区人民政府举办，主管部门是乌鲁木齐市水磨沟区教育局。学校是非营利性教育事业单位，具有独立法人资格。实施小学义务教育。我校的主要职责是：全面贯彻党的教育方针 ， 推行素质教育，加强师德建设 ，切实完成小学教育教学任务。工作职责一、全面负责学校工作，认真贯彻落实党和国家的方针、政策，正确执行上级主管部门的决议和指示，全面实施素质教育，培养德、智、体、美等方面全面发展的社会主义事业的建设者和接班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教育规律、社会要求和学校实际，组织制定学校发展的远景规划、近期目标、学年和学期各项工作计划以及各项工作指标并组织实施。加强学校的科学化管理，制定和健全各项规章制度，规范办学行为，培养良好校风，逐步实现管理决策的科学化，管理方法的定量化和管理手段的现代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三、负责教师队伍建设工作，决定校内教职工的工作安排，组织对教职工进行考核，实施奖惩。制定教师队伍建设规划，不断提高他们的政治素质、文化业务水平和科研水平。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四、研究思想政治工作的要求、内容、方法和规律，不断加强对学生的思想政治、法制纪律和道德品质教育以及做好管理工作。教育全体教职工做到教书育人、管理育人、服务育人，搞好学校、社会、家庭三结合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五、负责领导和组织学校的教学工作，坚持以教学为中心，保证教学计划的贯彻执行。要有计划地参加教研活动，有目的地深入教学第一线，了解教师教学和学生学习情况，要大力推进教学改革，加强科研工作的组织领导。有计划地组织质量检查、分析，提出提高教学质量的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六、组织制定和实施校舍建设和校园建设规划，加强对财务工作的领导，正确使用各项经费，不断改善办学条件，强化安全工作管理，创造良好的育人环境。改善教职工的福利生活，提高福利待遇，努力解除教职工的后顾之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七、加强与党支部的合作，主动接受学校党组织的监督，搞好领导班子的团结和协作。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八、依靠群众办学，实行民主管理和民主监督。负责定期向教代会报告工作，充分发挥教代会参与学校民主管理和民主监督的作用，支持其在职权范围内所做的有关决定。督促和检查教代会提案的办理与落实。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en-US" w:eastAsia="zh-CN"/>
        </w:rPr>
        <w:t>九、主持学校与学生家长及社会的联系工作和外来工作。搞好校际间的交往；做好与社会各界的联系工作，争取各方面力量对学校的支持，为办好学校创造良好的外部条件。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乌鲁木齐市第三十八小学2022年度，实有人数45人，其中：在职人员45人，离休人员0人，退休人员0人。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lang w:val="zh-CN" w:eastAsia="zh-CN"/>
        </w:rPr>
      </w:pPr>
      <w:bookmarkStart w:id="6" w:name="_Toc3092"/>
      <w:bookmarkStart w:id="7" w:name="_Toc29374"/>
      <w:r>
        <w:rPr>
          <w:rFonts w:hint="eastAsia" w:ascii="仿宋_GB2312" w:eastAsia="仿宋_GB2312"/>
          <w:sz w:val="32"/>
          <w:szCs w:val="32"/>
          <w:highlight w:val="none"/>
          <w:lang w:val="en-US" w:eastAsia="zh-CN"/>
        </w:rPr>
        <w:t>从部门决算单位构成看，乌鲁木齐市第三十八小学部门决算包括：乌鲁木齐市第三十八小学</w:t>
      </w:r>
      <w:r>
        <w:rPr>
          <w:rFonts w:hint="eastAsia" w:ascii="仿宋_GB2312" w:eastAsia="仿宋_GB2312"/>
          <w:sz w:val="32"/>
          <w:szCs w:val="32"/>
          <w:highlight w:val="none"/>
          <w:lang w:val="zh-CN" w:eastAsia="zh-CN"/>
        </w:rPr>
        <w:t>决算。单位无下属预算单位，下设</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lang w:val="zh-CN" w:eastAsia="zh-CN"/>
        </w:rPr>
        <w:t>个科室，分别是：</w:t>
      </w:r>
      <w:r>
        <w:rPr>
          <w:rFonts w:hint="eastAsia" w:ascii="仿宋_GB2312" w:eastAsia="仿宋_GB2312"/>
          <w:sz w:val="32"/>
          <w:szCs w:val="32"/>
          <w:highlight w:val="none"/>
          <w:lang w:val="en-US" w:eastAsia="zh-CN"/>
        </w:rPr>
        <w:t>党政办、教务处、教研室、大队部、财务室、保卫科、保健室、工会</w:t>
      </w:r>
      <w:r>
        <w:rPr>
          <w:rFonts w:hint="eastAsia" w:ascii="仿宋_GB2312" w:eastAsia="仿宋_GB2312"/>
          <w:sz w:val="32"/>
          <w:szCs w:val="32"/>
          <w:highlight w:val="none"/>
          <w:lang w:val="zh-CN"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both"/>
        <w:textAlignment w:val="auto"/>
        <w:rPr>
          <w:rFonts w:hint="eastAsia"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849.60万元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rPr>
        <w:t>755.23万元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94.37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200.13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上年度</w:t>
      </w:r>
      <w:r>
        <w:rPr>
          <w:rFonts w:hint="eastAsia" w:ascii="仿宋_GB2312" w:eastAsia="仿宋_GB2312"/>
          <w:sz w:val="32"/>
          <w:szCs w:val="32"/>
          <w:highlight w:val="none"/>
          <w:lang w:val="en-US" w:eastAsia="zh-CN"/>
        </w:rPr>
        <w:t>8-11月居家办公，受其影响，上年度有200万元经费调整为往来经费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849.60万元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823.60万元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26.00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200.13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19.06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上年度</w:t>
      </w:r>
      <w:r>
        <w:rPr>
          <w:rFonts w:hint="eastAsia" w:ascii="仿宋_GB2312" w:eastAsia="仿宋_GB2312"/>
          <w:sz w:val="32"/>
          <w:szCs w:val="32"/>
          <w:highlight w:val="none"/>
          <w:lang w:val="en-US" w:eastAsia="zh-CN"/>
        </w:rPr>
        <w:t>8-11月居家办公，受其影响，上年度有200万元经费调整为往来经费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本年收入755.23万元，其中：财政拨款收入715.94万元，占94.80%；上级补助收入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%；其他收入39.29万元，占5.20%。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本年支出823.60万元，其中：基本支出698.18万元，占84.77%；项目支出125.41万元，占15.23%；上缴上级支出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总计809.30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其中：年初财政拨款结转和结余93.36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财政拨款本年收入715.94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128.94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13.74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上年度</w:t>
      </w:r>
      <w:r>
        <w:rPr>
          <w:rFonts w:hint="eastAsia" w:ascii="仿宋_GB2312" w:eastAsia="仿宋_GB2312"/>
          <w:sz w:val="32"/>
          <w:szCs w:val="32"/>
          <w:highlight w:val="none"/>
          <w:lang w:val="en-US" w:eastAsia="zh-CN"/>
        </w:rPr>
        <w:t>8-11月居家办公，受其影响，本年拨入经费减少，有一部分经费调整为往来经费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809.30万元，</w:t>
      </w:r>
      <w:r>
        <w:rPr>
          <w:rFonts w:hint="eastAsia" w:ascii="仿宋_GB2312" w:eastAsia="仿宋_GB2312"/>
          <w:sz w:val="32"/>
          <w:szCs w:val="32"/>
          <w:highlight w:val="none"/>
          <w:lang w:val="en-US" w:eastAsia="zh-CN"/>
        </w:rPr>
        <w:t>其中：年末财政拨款结转和结余25.68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783.62万元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128.94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13.74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8-11月居家办公，受其影响，本年拨入经费减少，有一部分经费调整为往来经费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948.12万元，决算数809.3万元，预决算差异率-1</w:t>
      </w:r>
      <w:r>
        <w:rPr>
          <w:rFonts w:hint="eastAsia" w:ascii="仿宋_GB2312" w:eastAsia="仿宋_GB2312"/>
          <w:sz w:val="32"/>
          <w:szCs w:val="32"/>
          <w:highlight w:val="none"/>
          <w:lang w:val="en-US" w:eastAsia="zh-CN"/>
        </w:rPr>
        <w:t>4.64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仅有基本收入，各项目经费收入减少</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948.12万元，决算数</w:t>
      </w:r>
      <w:r>
        <w:rPr>
          <w:rFonts w:hint="eastAsia" w:ascii="仿宋_GB2312" w:eastAsia="仿宋_GB2312"/>
          <w:sz w:val="32"/>
          <w:szCs w:val="32"/>
          <w:highlight w:val="none"/>
          <w:lang w:val="en-US" w:eastAsia="zh-CN"/>
        </w:rPr>
        <w:t>809.3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14.64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8-11月居家办公，受其影响，本年拨入经费减少，有一部分经费调整为往来经费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eastAsia="zh-CN"/>
        </w:rPr>
        <w:t>2022年度一般公共预算财政拨款支出</w:t>
      </w:r>
      <w:r>
        <w:rPr>
          <w:rFonts w:hint="eastAsia" w:ascii="仿宋_GB2312" w:eastAsia="仿宋_GB2312"/>
          <w:spacing w:val="0"/>
          <w:sz w:val="32"/>
          <w:szCs w:val="32"/>
          <w:highlight w:val="none"/>
        </w:rPr>
        <w:t>783.62</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rPr>
        <w:t>95.15</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61.26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7.25</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8-11月居家办公，受其影响，，本年拨入经费减少，有一部分经费调整为往来经费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教育支出（类）</w:t>
      </w:r>
      <w:r>
        <w:rPr>
          <w:rFonts w:hint="eastAsia" w:ascii="仿宋_GB2312" w:hAnsi="仿宋_GB2312" w:eastAsia="仿宋_GB2312" w:cs="仿宋_GB2312"/>
          <w:sz w:val="32"/>
          <w:szCs w:val="32"/>
          <w:highlight w:val="none"/>
          <w:lang w:val="en-US" w:eastAsia="zh-CN"/>
        </w:rPr>
        <w:t>783.62</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1.教育支出（类）普通教育（款）小学教育（项）: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为783.62万元，比上年</w:t>
      </w:r>
      <w:r>
        <w:rPr>
          <w:rFonts w:hint="eastAsia" w:ascii="仿宋_GB2312" w:hAnsi="仿宋_GB2312" w:eastAsia="仿宋_GB2312" w:cs="仿宋_GB2312"/>
          <w:kern w:val="0"/>
          <w:sz w:val="32"/>
          <w:szCs w:val="32"/>
          <w:highlight w:val="none"/>
          <w:lang w:val="en-US" w:eastAsia="zh-CN"/>
        </w:rPr>
        <w:t>决算减少29.62万元，</w:t>
      </w:r>
      <w:r>
        <w:rPr>
          <w:rFonts w:hint="eastAsia" w:ascii="仿宋_GB2312" w:hAnsi="仿宋_GB2312" w:eastAsia="仿宋_GB2312" w:cs="仿宋_GB2312"/>
          <w:kern w:val="0"/>
          <w:sz w:val="32"/>
          <w:szCs w:val="32"/>
          <w:highlight w:val="none"/>
        </w:rPr>
        <w:t>下降</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3.64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lang w:val="en-US" w:eastAsia="zh-CN"/>
        </w:rPr>
        <w:t>8-11月居家办公，受其影响，日常公用开支减少</w:t>
      </w:r>
      <w:r>
        <w:rPr>
          <w:rFonts w:hint="eastAsia" w:ascii="仿宋_GB2312" w:hAnsi="仿宋_GB2312" w:eastAsia="仿宋_GB2312" w:cs="仿宋_GB2312"/>
          <w:kern w:val="0"/>
          <w:sz w:val="32"/>
          <w:szCs w:val="32"/>
          <w:highlight w:val="none"/>
          <w:lang w:eastAsia="zh-CN"/>
        </w:rPr>
        <w:t>。</w:t>
      </w:r>
    </w:p>
    <w:p>
      <w:pPr>
        <w:spacing w:line="600" w:lineRule="exact"/>
        <w:ind w:firstLine="640" w:firstLineChars="200"/>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2、社会保障和就业支出</w:t>
      </w:r>
      <w:r>
        <w:rPr>
          <w:rFonts w:hint="eastAsia" w:ascii="仿宋_GB2312" w:eastAsia="仿宋_GB2312"/>
          <w:kern w:val="0"/>
          <w:sz w:val="32"/>
          <w:highlight w:val="none"/>
          <w:lang w:eastAsia="zh-CN"/>
        </w:rPr>
        <w:t>（类</w:t>
      </w:r>
      <w:bookmarkStart w:id="54" w:name="_GoBack"/>
      <w:bookmarkEnd w:id="54"/>
      <w:r>
        <w:rPr>
          <w:rFonts w:hint="eastAsia" w:ascii="仿宋_GB2312" w:eastAsia="仿宋_GB2312"/>
          <w:kern w:val="0"/>
          <w:sz w:val="32"/>
          <w:highlight w:val="none"/>
          <w:lang w:eastAsia="zh-CN"/>
        </w:rPr>
        <w:t>）行政事业单位养老支出（款）机关事业单位基本养老保险缴费支出（项）</w:t>
      </w:r>
      <w:r>
        <w:rPr>
          <w:rFonts w:hint="eastAsia" w:ascii="仿宋_GB2312" w:eastAsia="仿宋_GB2312"/>
          <w:kern w:val="0"/>
          <w:sz w:val="32"/>
          <w:highlight w:val="none"/>
          <w:lang w:val="en-US" w:eastAsia="zh-CN"/>
        </w:rPr>
        <w:t>支出决算数0万元，比上年决算减少31.64万元，下降100%，主要原因是，本年财政将养老保险缴费支出安排在小学教育中。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一般公共预算财政拨款基本支出698.12万元，其中：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人员经费650.89万元，包括：基本工资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其他工资福利支出</w:t>
      </w:r>
      <w:r>
        <w:rPr>
          <w:rFonts w:hint="eastAsia" w:ascii="仿宋_GB2312" w:eastAsia="仿宋_GB2312"/>
          <w:sz w:val="32"/>
          <w:szCs w:val="32"/>
          <w:highlight w:val="none"/>
          <w:lang w:eastAsia="zh-CN"/>
        </w:rPr>
        <w:t>、奖励金。</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公用经费47.22万元，包括：办公费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“公务用车购置及运行维护费”经费。公务用车购置数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“公务接待费”经费。单位全年安排的国内公务接待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“三公”经费。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lang w:val="en-US" w:eastAsia="zh-CN"/>
        </w:rPr>
        <w:t>乌鲁木齐市第三十八小学</w:t>
      </w:r>
      <w:r>
        <w:rPr>
          <w:rFonts w:hint="eastAsia" w:ascii="仿宋_GB2312" w:eastAsia="仿宋_GB2312"/>
          <w:sz w:val="32"/>
          <w:szCs w:val="32"/>
          <w:highlight w:val="none"/>
        </w:rPr>
        <w:t>（事业单位）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rPr>
        <w:t>47.22万元，比上年减少</w:t>
      </w:r>
      <w:r>
        <w:rPr>
          <w:rFonts w:hint="eastAsia" w:ascii="仿宋_GB2312" w:eastAsia="仿宋_GB2312"/>
          <w:sz w:val="32"/>
          <w:szCs w:val="32"/>
          <w:highlight w:val="none"/>
          <w:lang w:val="en-US" w:eastAsia="zh-CN"/>
        </w:rPr>
        <w:t>46.57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49.65</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：上年度</w:t>
      </w:r>
      <w:r>
        <w:rPr>
          <w:rFonts w:hint="eastAsia" w:ascii="仿宋_GB2312" w:eastAsia="仿宋_GB2312"/>
          <w:sz w:val="32"/>
          <w:szCs w:val="32"/>
          <w:highlight w:val="none"/>
          <w:lang w:val="en-US" w:eastAsia="zh-CN"/>
        </w:rPr>
        <w:t>8-11月居家办公，受其影响，日常公用开支减少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eastAsia="zh-CN"/>
        </w:rPr>
        <w:t>2022年度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eastAsia="zh-CN"/>
        </w:rPr>
        <w:t>2022年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rPr>
        <w:t>905.59</w:t>
      </w:r>
      <w:r>
        <w:rPr>
          <w:rFonts w:hint="eastAsia" w:ascii="仿宋_GB2312" w:eastAsia="仿宋_GB2312"/>
          <w:sz w:val="32"/>
          <w:szCs w:val="32"/>
          <w:highlight w:val="none"/>
          <w:lang w:val="en-US" w:eastAsia="zh-CN"/>
        </w:rPr>
        <w:t>万元，房</w:t>
      </w:r>
      <w:r>
        <w:rPr>
          <w:rFonts w:hint="eastAsia" w:ascii="仿宋_GB2312" w:eastAsia="仿宋_GB2312"/>
          <w:sz w:val="32"/>
          <w:szCs w:val="32"/>
          <w:highlight w:val="none"/>
        </w:rPr>
        <w:t>屋252.23平方米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rPr>
        <w:t>140.45万元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辆，其他用车主要是：我单位无其他用车；单价100万元（含）以上设备（不含车辆）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rPr>
      </w:pPr>
      <w:r>
        <w:rPr>
          <w:rFonts w:hint="eastAsia" w:ascii="仿宋_GB2312" w:eastAsia="仿宋_GB2312"/>
          <w:sz w:val="32"/>
          <w:szCs w:val="32"/>
          <w:highlight w:val="none"/>
          <w:lang w:val="en-US" w:eastAsia="zh-CN"/>
        </w:rPr>
        <w:t>根据预算绩效管理要求，我单位2022年度开展预算绩效评价项目3个，全年预算数135.45万元，全年执行数84.57万元。一是通过评价，客观公正反映项目立项科学性、项目管理规范性、项目实施有效性；二是总结项目实施的经验，发现项目实施过程中存在的问题，并提出合理化建议，为完善项目管理和相关部门决策提供参考依据。发现的问题及原因：一是绩效目标管理体系不够健全需要进一步建立健全；下一步改进措施：一是进一步规范项目绩效工作体系；二是达到科学有效运用。具体项目自评情况附项目支出绩效自</w:t>
      </w:r>
      <w:r>
        <w:rPr>
          <w:rFonts w:hint="eastAsia" w:ascii="仿宋_GB2312" w:eastAsia="仿宋_GB2312"/>
          <w:sz w:val="32"/>
          <w:szCs w:val="32"/>
          <w:highlight w:val="none"/>
          <w:lang w:val="en-US"/>
        </w:rPr>
        <w:t>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24143"/>
      <w:bookmarkStart w:id="35" w:name="_Toc3250"/>
      <w:r>
        <w:rPr>
          <w:rFonts w:hint="eastAsia" w:ascii="黑体" w:hAnsi="黑体" w:eastAsia="黑体"/>
          <w:sz w:val="32"/>
          <w:szCs w:val="32"/>
          <w:highlight w:val="none"/>
        </w:rPr>
        <w:object>
          <v:shape id="_x0000_i1025" o:spt="75" type="#_x0000_t75" style="height:611.9pt;width:415.05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r>
        <w:rPr>
          <w:rFonts w:hint="eastAsia" w:ascii="黑体" w:hAnsi="黑体" w:eastAsia="黑体"/>
          <w:sz w:val="32"/>
          <w:szCs w:val="32"/>
          <w:highlight w:val="none"/>
        </w:rPr>
        <w:object>
          <v:shape id="_x0000_i1026" o:spt="75" type="#_x0000_t75" style="height:650.8pt;width:415.05pt;" o:ole="t" filled="f" o:preferrelative="t" stroked="f" coordsize="21600,21600">
            <v:path/>
            <v:fill on="f" focussize="0,0"/>
            <v:stroke on="f"/>
            <v:imagedata r:id="rId8" o:title=""/>
            <o:lock v:ext="edit" aspectratio="f"/>
            <w10:wrap type="none"/>
            <w10:anchorlock/>
          </v:shape>
          <o:OLEObject Type="Embed" ProgID="Excel.Sheet.12" ShapeID="_x0000_i1026" DrawAspect="Content" ObjectID="_1468075726" r:id="rId7">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object>
          <v:shape id="_x0000_i1027" o:spt="75" type="#_x0000_t75" style="height:575.75pt;width:415.05pt;" o:ole="t" filled="f" o:preferrelative="t" stroked="f" coordsize="21600,21600">
            <v:path/>
            <v:fill on="f" focussize="0,0"/>
            <v:stroke on="f"/>
            <v:imagedata r:id="rId10" o:title=""/>
            <o:lock v:ext="edit" aspectratio="f"/>
            <w10:wrap type="none"/>
            <w10:anchorlock/>
          </v:shape>
          <o:OLEObject Type="Embed" ProgID="Excel.Sheet.12" ShapeID="_x0000_i1027" DrawAspect="Content" ObjectID="_1468075727" r:id="rId9">
            <o:LockedField>false</o:LockedField>
          </o:OLEObject>
        </w:object>
      </w: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E4962B-85AB-467A-A769-8F1D66C6E2D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embedRegular r:id="rId2" w:fontKey="{4BE2E38E-1C4E-4910-9251-D214E723C48F}"/>
  </w:font>
  <w:font w:name="仿宋_GB2312">
    <w:altName w:val="仿宋"/>
    <w:panose1 w:val="02010609030101010101"/>
    <w:charset w:val="86"/>
    <w:family w:val="modern"/>
    <w:pitch w:val="default"/>
    <w:sig w:usb0="00000000" w:usb1="00000000" w:usb2="00000000" w:usb3="00000000" w:csb0="00040000" w:csb1="00000000"/>
    <w:embedRegular r:id="rId3" w:fontKey="{F14C4F76-2231-4DCD-A923-C2DE55933E75}"/>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ZDkwYTNjZDdkOGJlZTFiNzIwYTVhNDhjOGUzZTcifQ=="/>
  </w:docVars>
  <w:rsids>
    <w:rsidRoot w:val="00000000"/>
    <w:rsid w:val="02F73D26"/>
    <w:rsid w:val="02FF0373"/>
    <w:rsid w:val="034D4FEF"/>
    <w:rsid w:val="043E5B56"/>
    <w:rsid w:val="06792773"/>
    <w:rsid w:val="0A7B4867"/>
    <w:rsid w:val="0B8C3ECC"/>
    <w:rsid w:val="0C7227A7"/>
    <w:rsid w:val="0FF9292F"/>
    <w:rsid w:val="1D6723BB"/>
    <w:rsid w:val="1DAF458D"/>
    <w:rsid w:val="20DD6197"/>
    <w:rsid w:val="22BD1619"/>
    <w:rsid w:val="23BC04D2"/>
    <w:rsid w:val="27CF2642"/>
    <w:rsid w:val="29652B2C"/>
    <w:rsid w:val="2A053397"/>
    <w:rsid w:val="2D1136DF"/>
    <w:rsid w:val="2FD27414"/>
    <w:rsid w:val="31055B72"/>
    <w:rsid w:val="31C63837"/>
    <w:rsid w:val="35EA5F34"/>
    <w:rsid w:val="3914510A"/>
    <w:rsid w:val="3D5275AC"/>
    <w:rsid w:val="404D3281"/>
    <w:rsid w:val="40834692"/>
    <w:rsid w:val="441E085C"/>
    <w:rsid w:val="46901EEE"/>
    <w:rsid w:val="469C74D2"/>
    <w:rsid w:val="4B4C0111"/>
    <w:rsid w:val="50DB5F45"/>
    <w:rsid w:val="52F92565"/>
    <w:rsid w:val="583059FA"/>
    <w:rsid w:val="58787946"/>
    <w:rsid w:val="5E740A84"/>
    <w:rsid w:val="5FA17648"/>
    <w:rsid w:val="61A46A97"/>
    <w:rsid w:val="62DD7D21"/>
    <w:rsid w:val="65D97752"/>
    <w:rsid w:val="68DB0208"/>
    <w:rsid w:val="69AD798C"/>
    <w:rsid w:val="6B68175F"/>
    <w:rsid w:val="6E0F7A08"/>
    <w:rsid w:val="70C05EC2"/>
    <w:rsid w:val="71473612"/>
    <w:rsid w:val="718F7F65"/>
    <w:rsid w:val="73FB6630"/>
    <w:rsid w:val="74E76DCD"/>
    <w:rsid w:val="76DD3A63"/>
    <w:rsid w:val="77ED6F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jc w:val="left"/>
      <w:outlineLvl w:val="2"/>
    </w:pPr>
    <w:rPr>
      <w:rFonts w:ascii="Calibri" w:hAnsi="Calibri" w:cs="Times New Roman"/>
      <w:bCs/>
      <w:kern w:val="0"/>
      <w:szCs w:val="32"/>
    </w:rPr>
  </w:style>
  <w:style w:type="character" w:default="1" w:styleId="10">
    <w:name w:val="Default Paragraph Font"/>
    <w:autoRedefine/>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autoRedefine/>
    <w:uiPriority w:val="0"/>
    <w:pPr>
      <w:ind w:left="420" w:leftChars="200"/>
    </w:p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uiPriority w:val="0"/>
    <w:pPr>
      <w:ind w:leftChars="200"/>
    </w:pPr>
    <w:rPr>
      <w:rFonts w:ascii="Times New Roman" w:hAnsi="Times New Roman" w:eastAsia="宋体" w:cs="Times New Roman"/>
      <w:sz w:val="20"/>
      <w:szCs w:val="20"/>
    </w:rPr>
  </w:style>
  <w:style w:type="paragraph" w:customStyle="1" w:styleId="13">
    <w:name w:val="WPSOffice手动目录 1"/>
    <w:autoRedefine/>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5345</Words>
  <Characters>5707</Characters>
  <Lines>0</Lines>
  <Paragraphs>0</Paragraphs>
  <TotalTime>0</TotalTime>
  <ScaleCrop>false</ScaleCrop>
  <LinksUpToDate>false</LinksUpToDate>
  <CharactersWithSpaces>5720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我是我的＇</cp:lastModifiedBy>
  <dcterms:modified xsi:type="dcterms:W3CDTF">2024-02-07T08:36:39Z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2D6EDAAA8A1943FBAA13416EFD9FA030</vt:lpwstr>
  </property>
</Properties>
</file>