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hint="eastAsia" w:ascii="黑体" w:hAnsi="黑体" w:eastAsia="黑体"/>
          <w:sz w:val="32"/>
          <w:szCs w:val="32"/>
          <w:highlight w:val="none"/>
          <w:lang w:eastAsia="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lang w:val="en-US" w:eastAsia="zh-CN"/>
        </w:rPr>
      </w:pPr>
      <w:r>
        <w:rPr>
          <w:rFonts w:hint="eastAsia" w:ascii="方正小标宋_GBK" w:hAnsi="宋体" w:eastAsia="方正小标宋_GBK"/>
          <w:sz w:val="44"/>
          <w:szCs w:val="44"/>
          <w:highlight w:val="none"/>
          <w:lang w:val="en-US" w:eastAsia="zh-CN"/>
        </w:rPr>
        <w:t>乌鲁木齐市水磨沟区技工学校</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2022</w:t>
      </w:r>
      <w:r>
        <w:rPr>
          <w:rFonts w:hint="eastAsia" w:ascii="方正小标宋_GBK" w:hAnsi="宋体" w:eastAsia="方正小标宋_GBK"/>
          <w:sz w:val="44"/>
          <w:szCs w:val="44"/>
          <w:highlight w:val="none"/>
        </w:rPr>
        <w:t>年度部门决算公开说明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24028"/>
      <w:bookmarkStart w:id="1" w:name="_Toc32314"/>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2" w:name="_Toc30567"/>
      <w:bookmarkStart w:id="3" w:name="_Toc30738"/>
      <w:r>
        <w:rPr>
          <w:rFonts w:hint="eastAsia" w:ascii="黑体" w:hAnsi="黑体" w:eastAsia="黑体" w:cs="宋体"/>
          <w:bCs/>
          <w:kern w:val="0"/>
          <w:sz w:val="32"/>
          <w:szCs w:val="32"/>
          <w:highlight w:val="none"/>
        </w:rPr>
        <w:t>一、主要职能</w:t>
      </w:r>
      <w:bookmarkEnd w:id="2"/>
      <w:bookmarkEnd w:id="3"/>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黑体" w:eastAsia="仿宋_GB2312" w:cs="宋体"/>
          <w:bCs/>
          <w:kern w:val="0"/>
          <w:sz w:val="32"/>
          <w:szCs w:val="32"/>
          <w:highlight w:val="none"/>
          <w:lang w:eastAsia="zh-CN"/>
        </w:rPr>
      </w:pPr>
      <w:r>
        <w:rPr>
          <w:rFonts w:hint="eastAsia" w:ascii="仿宋_GB2312" w:hAnsi="黑体" w:eastAsia="仿宋_GB2312" w:cs="宋体"/>
          <w:bCs/>
          <w:kern w:val="0"/>
          <w:sz w:val="32"/>
          <w:szCs w:val="32"/>
          <w:highlight w:val="none"/>
        </w:rPr>
        <w:t>乌鲁木齐市水磨沟区技工学校为</w:t>
      </w:r>
      <w:r>
        <w:rPr>
          <w:rFonts w:hint="eastAsia" w:ascii="仿宋_GB2312" w:hAnsi="黑体" w:eastAsia="仿宋_GB2312" w:cs="宋体"/>
          <w:bCs/>
          <w:kern w:val="0"/>
          <w:sz w:val="32"/>
          <w:szCs w:val="32"/>
          <w:highlight w:val="none"/>
          <w:lang w:val="en-US" w:eastAsia="zh-CN"/>
        </w:rPr>
        <w:t>隶属于</w:t>
      </w:r>
      <w:r>
        <w:rPr>
          <w:rFonts w:hint="eastAsia" w:ascii="仿宋_GB2312" w:hAnsi="黑体" w:eastAsia="仿宋_GB2312" w:cs="宋体"/>
          <w:bCs/>
          <w:kern w:val="0"/>
          <w:sz w:val="32"/>
          <w:szCs w:val="32"/>
          <w:highlight w:val="none"/>
        </w:rPr>
        <w:t>水区人社局</w:t>
      </w:r>
      <w:r>
        <w:rPr>
          <w:rFonts w:hint="eastAsia" w:ascii="仿宋_GB2312" w:hAnsi="黑体" w:eastAsia="仿宋_GB2312" w:cs="宋体"/>
          <w:bCs/>
          <w:kern w:val="0"/>
          <w:sz w:val="32"/>
          <w:szCs w:val="32"/>
          <w:highlight w:val="none"/>
          <w:lang w:val="en-US" w:eastAsia="zh-CN"/>
        </w:rPr>
        <w:t>管理的</w:t>
      </w:r>
      <w:r>
        <w:rPr>
          <w:rFonts w:hint="eastAsia" w:ascii="仿宋_GB2312" w:hAnsi="黑体" w:eastAsia="仿宋_GB2312" w:cs="宋体"/>
          <w:bCs/>
          <w:kern w:val="0"/>
          <w:sz w:val="32"/>
          <w:szCs w:val="32"/>
          <w:highlight w:val="none"/>
        </w:rPr>
        <w:t>正科级公益性一类事业单位，是自治区党委、市委根据国家人社部要求所开设的县级技工学校</w:t>
      </w:r>
      <w:r>
        <w:rPr>
          <w:rFonts w:hint="eastAsia" w:ascii="仿宋_GB2312" w:hAnsi="黑体" w:eastAsia="仿宋_GB2312" w:cs="宋体"/>
          <w:bCs/>
          <w:kern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hAnsi="黑体" w:eastAsia="仿宋_GB2312" w:cs="宋体"/>
          <w:bCs/>
          <w:kern w:val="0"/>
          <w:sz w:val="32"/>
          <w:szCs w:val="32"/>
          <w:highlight w:val="none"/>
          <w:lang w:val="en-US" w:eastAsia="zh-CN"/>
        </w:rPr>
      </w:pPr>
      <w:r>
        <w:rPr>
          <w:rFonts w:hint="eastAsia" w:ascii="仿宋_GB2312" w:hAnsi="黑体" w:eastAsia="仿宋_GB2312" w:cs="宋体"/>
          <w:bCs/>
          <w:kern w:val="0"/>
          <w:sz w:val="32"/>
          <w:szCs w:val="32"/>
          <w:highlight w:val="none"/>
          <w:lang w:val="en-US" w:eastAsia="zh-CN"/>
        </w:rPr>
        <w:t>学校主要职责为</w:t>
      </w:r>
      <w:r>
        <w:rPr>
          <w:rFonts w:hint="eastAsia" w:ascii="仿宋_GB2312" w:hAnsi="黑体" w:eastAsia="仿宋_GB2312" w:cs="宋体"/>
          <w:bCs/>
          <w:kern w:val="0"/>
          <w:sz w:val="32"/>
          <w:szCs w:val="32"/>
          <w:highlight w:val="none"/>
        </w:rPr>
        <w:t>承担辖区城乡居民职业技能培训工作</w:t>
      </w:r>
      <w:r>
        <w:rPr>
          <w:rFonts w:hint="eastAsia" w:ascii="仿宋_GB2312" w:hAnsi="黑体" w:eastAsia="仿宋_GB2312" w:cs="宋体"/>
          <w:bCs/>
          <w:kern w:val="0"/>
          <w:sz w:val="32"/>
          <w:szCs w:val="32"/>
          <w:highlight w:val="none"/>
          <w:lang w:eastAsia="zh-CN"/>
        </w:rPr>
        <w:t>。</w:t>
      </w:r>
      <w:r>
        <w:rPr>
          <w:rFonts w:hint="eastAsia" w:ascii="仿宋_GB2312" w:hAnsi="黑体" w:eastAsia="仿宋_GB2312" w:cs="宋体"/>
          <w:bCs/>
          <w:kern w:val="0"/>
          <w:sz w:val="32"/>
          <w:szCs w:val="32"/>
          <w:highlight w:val="none"/>
          <w:lang w:val="en-US" w:eastAsia="zh-CN"/>
        </w:rPr>
        <w:t>主要培训对象为城乡失业人员及农村劳动力。</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黑体" w:eastAsia="仿宋_GB2312" w:cs="宋体"/>
          <w:bCs/>
          <w:kern w:val="0"/>
          <w:sz w:val="32"/>
          <w:szCs w:val="32"/>
          <w:highlight w:val="none"/>
          <w:lang w:val="en-US" w:eastAsia="zh-CN"/>
        </w:rPr>
      </w:pPr>
      <w:r>
        <w:rPr>
          <w:rFonts w:hint="eastAsia" w:ascii="仿宋_GB2312" w:hAnsi="黑体" w:eastAsia="仿宋_GB2312" w:cs="宋体"/>
          <w:bCs/>
          <w:kern w:val="0"/>
          <w:sz w:val="32"/>
          <w:szCs w:val="32"/>
          <w:highlight w:val="none"/>
          <w:lang w:val="en-US" w:eastAsia="zh-CN"/>
        </w:rPr>
        <w:t>学校现有养老护理员、家政服务员、美容师、中式烹调师、中式面点师、西式面点师、汽车修理工、装配钳工、机修钳工、电工、钢筋工、架子工、电子商务师、育婴师、消防设施操作员、物业管理师、工艺编结工、美发师、保健按摩师、计算机应用（平面设计）、互联网营销师、保洁员、母婴护理员、计算机操作员、保安员；专项培训专业：新媒体运营、网络直播营销、职业妆设计、晚宴妆设计、新娘妆设计、美甲艺术彩绘、整理收纳服务、中医康复理疗、老人照护、老年人心理辅导、大盘菜制作、面包烘焙、马兰拉面制作、母婴护理等40个技能培训专业。</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hAnsi="黑体" w:eastAsia="仿宋_GB2312" w:cs="宋体"/>
          <w:bCs/>
          <w:kern w:val="0"/>
          <w:sz w:val="32"/>
          <w:szCs w:val="32"/>
          <w:highlight w:val="none"/>
          <w:lang w:val="en-US" w:eastAsia="zh-CN"/>
        </w:rPr>
      </w:pPr>
      <w:r>
        <w:rPr>
          <w:rFonts w:hint="eastAsia" w:ascii="仿宋_GB2312" w:hAnsi="黑体" w:eastAsia="仿宋_GB2312" w:cs="宋体"/>
          <w:bCs/>
          <w:kern w:val="0"/>
          <w:sz w:val="32"/>
          <w:szCs w:val="32"/>
          <w:highlight w:val="none"/>
          <w:lang w:val="en-US" w:eastAsia="zh-CN"/>
        </w:rPr>
        <w:t>学校培训模式为自主开班培训，或与其他培训机构合作，共同开班，由合作培训机构对学员进行免费培训，技工学校向培训机构支付培训补贴。</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黑体" w:eastAsia="仿宋_GB2312" w:cs="宋体"/>
          <w:bCs/>
          <w:kern w:val="0"/>
          <w:sz w:val="32"/>
          <w:szCs w:val="32"/>
          <w:highlight w:val="none"/>
          <w:lang w:val="en-US" w:eastAsia="zh-CN"/>
        </w:rPr>
      </w:pPr>
      <w:r>
        <w:rPr>
          <w:rFonts w:hint="eastAsia" w:ascii="仿宋_GB2312" w:hAnsi="黑体" w:eastAsia="仿宋_GB2312" w:cs="宋体"/>
          <w:bCs/>
          <w:kern w:val="0"/>
          <w:sz w:val="32"/>
          <w:szCs w:val="32"/>
          <w:highlight w:val="none"/>
          <w:lang w:val="en-US" w:eastAsia="zh-CN"/>
        </w:rPr>
        <w:t>水磨沟区技工学校同时承担职业技能等级认定工作，目前美容师、养老护理员、母婴护理员、家务服务员、美发师、中式烹调师、保健按摩师7个专业可进行职业技能认定和证书发放。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 w:name="_Toc31238"/>
      <w:bookmarkStart w:id="5" w:name="_Toc2151"/>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sz w:val="32"/>
          <w:szCs w:val="32"/>
          <w:highlight w:val="none"/>
        </w:rPr>
      </w:pPr>
      <w:r>
        <w:rPr>
          <w:rFonts w:hint="eastAsia" w:ascii="仿宋_GB2312" w:eastAsia="仿宋_GB2312"/>
          <w:sz w:val="32"/>
          <w:szCs w:val="32"/>
          <w:highlight w:val="none"/>
          <w:lang w:val="en-US" w:eastAsia="zh-CN"/>
        </w:rPr>
        <w:t>乌鲁木齐市水磨沟区技工学校</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实有人数</w:t>
      </w:r>
      <w:r>
        <w:rPr>
          <w:rFonts w:hint="eastAsia" w:ascii="仿宋_GB2312" w:eastAsia="仿宋_GB2312"/>
          <w:sz w:val="32"/>
          <w:szCs w:val="32"/>
          <w:highlight w:val="none"/>
          <w:lang w:val="en-US" w:eastAsia="zh-CN"/>
        </w:rPr>
        <w:t>28</w:t>
      </w:r>
      <w:r>
        <w:rPr>
          <w:rFonts w:hint="eastAsia" w:ascii="仿宋_GB2312" w:eastAsia="仿宋_GB2312"/>
          <w:sz w:val="32"/>
          <w:szCs w:val="32"/>
          <w:highlight w:val="none"/>
        </w:rPr>
        <w:t>人，其中：在职人员</w:t>
      </w:r>
      <w:r>
        <w:rPr>
          <w:rFonts w:hint="eastAsia" w:ascii="仿宋_GB2312" w:eastAsia="仿宋_GB2312"/>
          <w:sz w:val="32"/>
          <w:szCs w:val="32"/>
          <w:highlight w:val="none"/>
          <w:lang w:val="en-US" w:eastAsia="zh-CN"/>
        </w:rPr>
        <w:t>28</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离休人员</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人，退休人员</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w:t>
      </w:r>
    </w:p>
    <w:p>
      <w:pPr>
        <w:keepNext w:val="0"/>
        <w:keepLines w:val="0"/>
        <w:pageBreakBefore w:val="0"/>
        <w:widowControl/>
        <w:numPr>
          <w:ilvl w:val="0"/>
          <w:numId w:val="0"/>
        </w:numPr>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从</w:t>
      </w:r>
      <w:r>
        <w:rPr>
          <w:rFonts w:hint="eastAsia" w:ascii="仿宋_GB2312" w:eastAsia="仿宋_GB2312"/>
          <w:sz w:val="32"/>
          <w:szCs w:val="32"/>
          <w:highlight w:val="none"/>
          <w:lang w:eastAsia="zh-CN"/>
        </w:rPr>
        <w:t>部门</w:t>
      </w:r>
      <w:r>
        <w:rPr>
          <w:rFonts w:hint="eastAsia" w:ascii="仿宋_GB2312" w:eastAsia="仿宋_GB2312"/>
          <w:sz w:val="32"/>
          <w:szCs w:val="32"/>
          <w:highlight w:val="none"/>
        </w:rPr>
        <w:t>决算单位构成看，</w:t>
      </w:r>
      <w:r>
        <w:rPr>
          <w:rFonts w:hint="eastAsia" w:ascii="仿宋_GB2312" w:eastAsia="仿宋_GB2312"/>
          <w:sz w:val="32"/>
          <w:szCs w:val="32"/>
          <w:highlight w:val="none"/>
          <w:lang w:val="en-US" w:eastAsia="zh-CN"/>
        </w:rPr>
        <w:t>乌鲁木齐市水磨沟区技工学校</w:t>
      </w:r>
      <w:r>
        <w:rPr>
          <w:rFonts w:hint="eastAsia" w:ascii="仿宋_GB2312" w:eastAsia="仿宋_GB2312"/>
          <w:sz w:val="32"/>
          <w:szCs w:val="32"/>
          <w:highlight w:val="none"/>
        </w:rPr>
        <w:t>部门决算包括：</w:t>
      </w:r>
      <w:r>
        <w:rPr>
          <w:rFonts w:hint="eastAsia" w:ascii="仿宋_GB2312" w:eastAsia="仿宋_GB2312"/>
          <w:sz w:val="32"/>
          <w:szCs w:val="32"/>
          <w:highlight w:val="none"/>
          <w:lang w:val="en-US" w:eastAsia="zh-CN"/>
        </w:rPr>
        <w:t>乌鲁木齐市水磨沟区技工学校</w:t>
      </w:r>
      <w:r>
        <w:rPr>
          <w:rFonts w:hint="eastAsia" w:ascii="仿宋_GB2312" w:eastAsia="仿宋_GB2312"/>
          <w:sz w:val="32"/>
          <w:szCs w:val="32"/>
          <w:highlight w:val="none"/>
        </w:rPr>
        <w:t>决算</w:t>
      </w:r>
      <w:r>
        <w:rPr>
          <w:rFonts w:hint="eastAsia" w:ascii="仿宋_GB2312" w:eastAsia="仿宋_GB2312"/>
          <w:sz w:val="32"/>
          <w:szCs w:val="32"/>
          <w:highlight w:val="none"/>
          <w:lang w:eastAsia="zh-CN"/>
        </w:rPr>
        <w:t>。</w:t>
      </w:r>
      <w:r>
        <w:rPr>
          <w:rFonts w:hint="eastAsia" w:ascii="仿宋_GB2312" w:hAnsi="黑体" w:eastAsia="仿宋_GB2312" w:cs="宋体"/>
          <w:bCs/>
          <w:kern w:val="0"/>
          <w:sz w:val="32"/>
          <w:szCs w:val="32"/>
          <w:highlight w:val="none"/>
        </w:rPr>
        <w:t>单位无下属预算单位，下设</w:t>
      </w:r>
      <w:r>
        <w:rPr>
          <w:rFonts w:hint="eastAsia" w:ascii="仿宋_GB2312" w:eastAsia="仿宋_GB2312"/>
          <w:sz w:val="32"/>
          <w:szCs w:val="32"/>
          <w:highlight w:val="none"/>
          <w:lang w:val="en-US" w:eastAsia="zh-CN"/>
        </w:rPr>
        <w:t>9</w:t>
      </w:r>
      <w:r>
        <w:rPr>
          <w:rFonts w:hint="eastAsia" w:ascii="仿宋_GB2312" w:hAnsi="黑体" w:eastAsia="仿宋_GB2312" w:cs="宋体"/>
          <w:bCs/>
          <w:kern w:val="0"/>
          <w:sz w:val="32"/>
          <w:szCs w:val="32"/>
          <w:highlight w:val="none"/>
        </w:rPr>
        <w:t>个处室，分别是：</w:t>
      </w:r>
      <w:r>
        <w:rPr>
          <w:rFonts w:hint="eastAsia" w:ascii="仿宋_GB2312" w:hAnsi="宋体" w:eastAsia="仿宋_GB2312" w:cs="宋体"/>
          <w:kern w:val="0"/>
          <w:sz w:val="32"/>
          <w:szCs w:val="32"/>
          <w:highlight w:val="none"/>
        </w:rPr>
        <w:t>党政办公室、信息办公室、教育管理办公室、学生管理办公室、总务办公室、招生就业办公室、职业技能鉴定办公室、安全保卫办公室</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财务办公室</w:t>
      </w:r>
      <w:r>
        <w:rPr>
          <w:rFonts w:hint="eastAsia" w:ascii="仿宋_GB2312" w:hAnsi="宋体" w:eastAsia="仿宋_GB2312" w:cs="宋体"/>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6" w:name="_Toc29374"/>
      <w:bookmarkStart w:id="7" w:name="_Toc3092"/>
      <w:r>
        <w:rPr>
          <w:rFonts w:hint="eastAsia" w:ascii="黑体" w:hAnsi="黑体" w:eastAsia="黑体"/>
          <w:sz w:val="32"/>
          <w:szCs w:val="32"/>
          <w:highlight w:val="none"/>
        </w:rPr>
        <w:br w:type="page"/>
      </w:r>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12566"/>
      <w:bookmarkStart w:id="9" w:name="_Toc25314"/>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lang w:val="en-US" w:eastAsia="zh-CN"/>
        </w:rPr>
        <w:t>496.11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其中：本年收入合计496.11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，使用非财政拨款结余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，年初结转和结余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增加</w:t>
      </w:r>
      <w:r>
        <w:rPr>
          <w:rFonts w:hint="eastAsia" w:ascii="仿宋_GB2312" w:eastAsia="仿宋_GB2312"/>
          <w:sz w:val="32"/>
          <w:szCs w:val="32"/>
          <w:highlight w:val="none"/>
          <w:lang w:val="en-US" w:eastAsia="zh-CN"/>
        </w:rPr>
        <w:t>496.11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pacing w:val="0"/>
          <w:sz w:val="32"/>
          <w:szCs w:val="32"/>
          <w:highlight w:val="none"/>
          <w:lang w:val="en-US" w:eastAsia="zh-CN"/>
        </w:rPr>
        <w:t>本单位为2021年11月新成立单位，2022年纳入预算单位</w:t>
      </w:r>
      <w:r>
        <w:rPr>
          <w:rFonts w:hint="eastAsia" w:ascii="仿宋_GB2312" w:eastAsia="仿宋_GB2312"/>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总计496.11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其中：本年支出合计482.48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结余分配0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，年末结转和结余</w:t>
      </w:r>
      <w:r>
        <w:rPr>
          <w:rFonts w:hint="eastAsia" w:ascii="仿宋_GB2312" w:eastAsia="仿宋_GB2312"/>
          <w:sz w:val="32"/>
          <w:szCs w:val="32"/>
          <w:highlight w:val="none"/>
          <w:lang w:val="en-US" w:eastAsia="zh-CN"/>
        </w:rPr>
        <w:t>13.63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增加</w:t>
      </w:r>
      <w:r>
        <w:rPr>
          <w:rFonts w:hint="eastAsia" w:ascii="仿宋_GB2312" w:eastAsia="仿宋_GB2312"/>
          <w:sz w:val="32"/>
          <w:szCs w:val="32"/>
          <w:highlight w:val="none"/>
          <w:lang w:val="en-US" w:eastAsia="zh-CN"/>
        </w:rPr>
        <w:t>496.11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增长</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pacing w:val="0"/>
          <w:sz w:val="32"/>
          <w:szCs w:val="32"/>
          <w:highlight w:val="none"/>
          <w:lang w:val="en-US" w:eastAsia="zh-CN"/>
        </w:rPr>
        <w:t>本单位为2021年11月新成立单位，2022年纳入预算单位</w:t>
      </w:r>
      <w:r>
        <w:rPr>
          <w:rFonts w:hint="eastAsia" w:ascii="仿宋_GB2312" w:hAnsi="宋体" w:eastAsia="仿宋_GB2312" w:cs="宋体"/>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0" w:name="_Toc1979"/>
      <w:bookmarkStart w:id="11" w:name="_Toc12142"/>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本年收入</w:t>
      </w:r>
      <w:r>
        <w:rPr>
          <w:rFonts w:hint="eastAsia" w:ascii="仿宋_GB2312" w:eastAsia="仿宋_GB2312"/>
          <w:sz w:val="32"/>
          <w:szCs w:val="32"/>
          <w:highlight w:val="none"/>
          <w:lang w:val="en-US" w:eastAsia="zh-CN"/>
        </w:rPr>
        <w:t>496.11</w:t>
      </w:r>
      <w:r>
        <w:rPr>
          <w:rFonts w:hint="eastAsia" w:ascii="仿宋_GB2312" w:eastAsia="仿宋_GB2312"/>
          <w:sz w:val="32"/>
          <w:szCs w:val="32"/>
          <w:highlight w:val="none"/>
        </w:rPr>
        <w:t>万元，其中：财政拨款收入</w:t>
      </w:r>
      <w:r>
        <w:rPr>
          <w:rFonts w:hint="eastAsia" w:ascii="仿宋_GB2312" w:eastAsia="仿宋_GB2312"/>
          <w:sz w:val="32"/>
          <w:szCs w:val="32"/>
          <w:highlight w:val="none"/>
          <w:lang w:val="en-US" w:eastAsia="zh-CN"/>
        </w:rPr>
        <w:t>481.67</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97.10</w:t>
      </w:r>
      <w:r>
        <w:rPr>
          <w:rFonts w:hint="eastAsia" w:ascii="仿宋_GB2312" w:eastAsia="仿宋_GB2312"/>
          <w:sz w:val="32"/>
          <w:szCs w:val="32"/>
          <w:highlight w:val="none"/>
        </w:rPr>
        <w:t>%；上级补助收入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%；事业收入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%；其他收入</w:t>
      </w:r>
      <w:r>
        <w:rPr>
          <w:rFonts w:hint="eastAsia" w:ascii="仿宋_GB2312" w:eastAsia="仿宋_GB2312"/>
          <w:sz w:val="32"/>
          <w:szCs w:val="32"/>
          <w:highlight w:val="none"/>
          <w:lang w:val="en-US" w:eastAsia="zh-CN"/>
        </w:rPr>
        <w:t>14.44</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2.90</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27961"/>
      <w:bookmarkStart w:id="13" w:name="_Toc1320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482.48</w:t>
      </w:r>
      <w:r>
        <w:rPr>
          <w:rFonts w:hint="eastAsia" w:ascii="仿宋_GB2312" w:eastAsia="仿宋_GB2312"/>
          <w:sz w:val="32"/>
          <w:szCs w:val="32"/>
          <w:highlight w:val="none"/>
        </w:rPr>
        <w:t>万元，其中：基本支出</w:t>
      </w:r>
      <w:r>
        <w:rPr>
          <w:rFonts w:hint="eastAsia" w:ascii="仿宋_GB2312" w:eastAsia="仿宋_GB2312"/>
          <w:sz w:val="32"/>
          <w:szCs w:val="32"/>
          <w:highlight w:val="none"/>
          <w:lang w:val="en-US" w:eastAsia="zh-CN"/>
        </w:rPr>
        <w:t>392.20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81.3</w:t>
      </w:r>
      <w:r>
        <w:rPr>
          <w:rFonts w:hint="eastAsia" w:ascii="仿宋_GB2312" w:eastAsia="仿宋_GB2312"/>
          <w:sz w:val="32"/>
          <w:szCs w:val="32"/>
          <w:highlight w:val="none"/>
        </w:rPr>
        <w:t>%；项目支出</w:t>
      </w:r>
      <w:r>
        <w:rPr>
          <w:rFonts w:hint="eastAsia" w:ascii="仿宋_GB2312" w:eastAsia="仿宋_GB2312"/>
          <w:sz w:val="32"/>
          <w:szCs w:val="32"/>
          <w:highlight w:val="none"/>
          <w:lang w:val="en-US" w:eastAsia="zh-CN"/>
        </w:rPr>
        <w:t>90.28</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18.7</w:t>
      </w:r>
      <w:r>
        <w:rPr>
          <w:rFonts w:hint="eastAsia" w:ascii="仿宋_GB2312" w:eastAsia="仿宋_GB2312"/>
          <w:sz w:val="32"/>
          <w:szCs w:val="32"/>
          <w:highlight w:val="none"/>
        </w:rPr>
        <w:t>%；上缴上级支出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%；对附属单位补助支出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26564"/>
      <w:bookmarkStart w:id="15" w:name="_Toc4393"/>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总计481.67</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其中：年初财政拨款结转和结余0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财政拨款本年收入481.67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与上年相比，增加</w:t>
      </w:r>
      <w:r>
        <w:rPr>
          <w:rFonts w:hint="eastAsia" w:ascii="仿宋_GB2312" w:eastAsia="仿宋_GB2312"/>
          <w:sz w:val="32"/>
          <w:szCs w:val="32"/>
          <w:highlight w:val="none"/>
          <w:lang w:val="en-US" w:eastAsia="zh-CN"/>
        </w:rPr>
        <w:t>481.67</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pacing w:val="0"/>
          <w:sz w:val="32"/>
          <w:szCs w:val="32"/>
          <w:highlight w:val="none"/>
          <w:lang w:val="en-US" w:eastAsia="zh-CN"/>
        </w:rPr>
        <w:t>本单位为2021年11月新成立单位，2022年纳入预算单位</w:t>
      </w:r>
      <w:r>
        <w:rPr>
          <w:rFonts w:hint="eastAsia" w:ascii="仿宋_GB2312" w:eastAsia="仿宋_GB2312"/>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总计476.90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其中：年末财政拨款结转和结余0万元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财政拨款本年支出476.90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rPr>
        <w:t>与上年相比，增加</w:t>
      </w:r>
      <w:r>
        <w:rPr>
          <w:rFonts w:hint="eastAsia" w:ascii="仿宋_GB2312" w:eastAsia="仿宋_GB2312"/>
          <w:sz w:val="32"/>
          <w:szCs w:val="32"/>
          <w:highlight w:val="none"/>
          <w:lang w:val="en-US" w:eastAsia="zh-CN"/>
        </w:rPr>
        <w:t>481.67</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pacing w:val="0"/>
          <w:sz w:val="32"/>
          <w:szCs w:val="32"/>
          <w:highlight w:val="none"/>
          <w:lang w:val="en-US" w:eastAsia="zh-CN"/>
        </w:rPr>
        <w:t>本单位为2021年11月新成立单位，2022年纳入预算单位</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与</w:t>
      </w:r>
      <w:r>
        <w:rPr>
          <w:rFonts w:hint="eastAsia" w:ascii="仿宋_GB2312" w:eastAsia="仿宋_GB2312"/>
          <w:color w:val="auto"/>
          <w:sz w:val="32"/>
          <w:szCs w:val="32"/>
          <w:highlight w:val="none"/>
          <w:lang w:eastAsia="zh-CN"/>
        </w:rPr>
        <w:t>年初预算数</w:t>
      </w:r>
      <w:r>
        <w:rPr>
          <w:rFonts w:hint="eastAsia" w:ascii="仿宋_GB2312" w:eastAsia="仿宋_GB2312"/>
          <w:color w:val="auto"/>
          <w:sz w:val="32"/>
          <w:szCs w:val="32"/>
          <w:highlight w:val="none"/>
        </w:rPr>
        <w:t>相比情况：财政拨款收入</w:t>
      </w:r>
      <w:r>
        <w:rPr>
          <w:rFonts w:hint="eastAsia" w:ascii="仿宋_GB2312" w:eastAsia="仿宋_GB2312"/>
          <w:color w:val="auto"/>
          <w:sz w:val="32"/>
          <w:szCs w:val="32"/>
          <w:highlight w:val="none"/>
          <w:lang w:val="en-US" w:eastAsia="zh-CN"/>
        </w:rPr>
        <w:t>总计</w:t>
      </w:r>
      <w:r>
        <w:rPr>
          <w:rFonts w:hint="eastAsia" w:ascii="仿宋_GB2312" w:eastAsia="仿宋_GB2312"/>
          <w:color w:val="auto"/>
          <w:sz w:val="32"/>
          <w:szCs w:val="32"/>
          <w:highlight w:val="none"/>
          <w:lang w:eastAsia="zh-CN"/>
        </w:rPr>
        <w:t>年初预算数</w:t>
      </w:r>
      <w:r>
        <w:rPr>
          <w:rFonts w:hint="eastAsia" w:ascii="仿宋_GB2312" w:eastAsia="仿宋_GB2312"/>
          <w:color w:val="auto"/>
          <w:sz w:val="32"/>
          <w:szCs w:val="32"/>
          <w:highlight w:val="none"/>
          <w:lang w:val="en-US" w:eastAsia="zh-CN"/>
        </w:rPr>
        <w:t>753.46</w:t>
      </w:r>
      <w:r>
        <w:rPr>
          <w:rFonts w:hint="eastAsia" w:ascii="仿宋_GB2312" w:eastAsia="仿宋_GB2312"/>
          <w:color w:val="auto"/>
          <w:sz w:val="32"/>
          <w:szCs w:val="32"/>
          <w:highlight w:val="none"/>
        </w:rPr>
        <w:t>万元，决算数</w:t>
      </w:r>
      <w:r>
        <w:rPr>
          <w:rFonts w:hint="eastAsia" w:ascii="仿宋_GB2312" w:eastAsia="仿宋_GB2312"/>
          <w:color w:val="auto"/>
          <w:sz w:val="32"/>
          <w:szCs w:val="32"/>
          <w:highlight w:val="none"/>
          <w:lang w:val="en-US" w:eastAsia="zh-CN"/>
        </w:rPr>
        <w:t>481.67</w:t>
      </w:r>
      <w:r>
        <w:rPr>
          <w:rFonts w:hint="eastAsia" w:ascii="仿宋_GB2312" w:eastAsia="仿宋_GB2312"/>
          <w:color w:val="auto"/>
          <w:sz w:val="32"/>
          <w:szCs w:val="32"/>
          <w:highlight w:val="none"/>
        </w:rPr>
        <w:t>万元，预决算差异率</w:t>
      </w:r>
      <w:r>
        <w:rPr>
          <w:rFonts w:hint="eastAsia" w:ascii="仿宋_GB2312" w:eastAsia="仿宋_GB2312"/>
          <w:color w:val="auto"/>
          <w:sz w:val="32"/>
          <w:szCs w:val="32"/>
          <w:highlight w:val="none"/>
          <w:lang w:val="en-US" w:eastAsia="zh-CN"/>
        </w:rPr>
        <w:t>-36.07%</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主要原因是：</w:t>
      </w:r>
      <w:r>
        <w:rPr>
          <w:rFonts w:hint="eastAsia" w:ascii="仿宋_GB2312" w:eastAsia="仿宋_GB2312"/>
          <w:color w:val="auto"/>
          <w:sz w:val="32"/>
          <w:szCs w:val="32"/>
          <w:highlight w:val="none"/>
          <w:lang w:val="en-US" w:eastAsia="zh-CN"/>
        </w:rPr>
        <w:t>项目资金160.06万元转为暂付款，部分财政拨款收入未全部使用，年终被财政收回</w:t>
      </w:r>
      <w:r>
        <w:rPr>
          <w:rFonts w:hint="eastAsia" w:ascii="仿宋_GB2312" w:eastAsia="仿宋_GB2312"/>
          <w:color w:val="auto"/>
          <w:sz w:val="32"/>
          <w:szCs w:val="32"/>
          <w:highlight w:val="none"/>
        </w:rPr>
        <w:t>。财政拨款支出</w:t>
      </w:r>
      <w:r>
        <w:rPr>
          <w:rFonts w:hint="eastAsia" w:ascii="仿宋_GB2312" w:eastAsia="仿宋_GB2312"/>
          <w:color w:val="auto"/>
          <w:sz w:val="32"/>
          <w:szCs w:val="32"/>
          <w:highlight w:val="none"/>
          <w:lang w:val="en-US" w:eastAsia="zh-CN"/>
        </w:rPr>
        <w:t>总计</w:t>
      </w:r>
      <w:r>
        <w:rPr>
          <w:rFonts w:hint="eastAsia" w:ascii="仿宋_GB2312" w:eastAsia="仿宋_GB2312"/>
          <w:color w:val="auto"/>
          <w:sz w:val="32"/>
          <w:szCs w:val="32"/>
          <w:highlight w:val="none"/>
          <w:lang w:eastAsia="zh-CN"/>
        </w:rPr>
        <w:t>年初预算数</w:t>
      </w:r>
      <w:r>
        <w:rPr>
          <w:rFonts w:hint="eastAsia" w:ascii="仿宋_GB2312" w:eastAsia="仿宋_GB2312"/>
          <w:color w:val="auto"/>
          <w:sz w:val="32"/>
          <w:szCs w:val="32"/>
          <w:highlight w:val="none"/>
          <w:lang w:val="en-US" w:eastAsia="zh-CN"/>
        </w:rPr>
        <w:t>753.46</w:t>
      </w:r>
      <w:r>
        <w:rPr>
          <w:rFonts w:hint="eastAsia" w:ascii="仿宋_GB2312" w:eastAsia="仿宋_GB2312"/>
          <w:color w:val="auto"/>
          <w:sz w:val="32"/>
          <w:szCs w:val="32"/>
          <w:highlight w:val="none"/>
        </w:rPr>
        <w:t>万元，决算数</w:t>
      </w:r>
      <w:r>
        <w:rPr>
          <w:rFonts w:hint="eastAsia" w:ascii="仿宋_GB2312" w:eastAsia="仿宋_GB2312"/>
          <w:color w:val="auto"/>
          <w:sz w:val="32"/>
          <w:szCs w:val="32"/>
          <w:highlight w:val="none"/>
          <w:lang w:val="en-US" w:eastAsia="zh-CN"/>
        </w:rPr>
        <w:t>481.67</w:t>
      </w:r>
      <w:r>
        <w:rPr>
          <w:rFonts w:hint="eastAsia" w:ascii="仿宋_GB2312" w:eastAsia="仿宋_GB2312"/>
          <w:color w:val="auto"/>
          <w:sz w:val="32"/>
          <w:szCs w:val="32"/>
          <w:highlight w:val="none"/>
        </w:rPr>
        <w:t>万元，预决算差异率</w:t>
      </w:r>
      <w:r>
        <w:rPr>
          <w:rFonts w:hint="eastAsia" w:ascii="仿宋_GB2312" w:eastAsia="仿宋_GB2312"/>
          <w:color w:val="auto"/>
          <w:sz w:val="32"/>
          <w:szCs w:val="32"/>
          <w:highlight w:val="none"/>
          <w:lang w:val="en-US" w:eastAsia="zh-CN"/>
        </w:rPr>
        <w:t>-36.07%</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主要原因是：</w:t>
      </w:r>
      <w:r>
        <w:rPr>
          <w:rFonts w:hint="eastAsia" w:ascii="仿宋_GB2312" w:eastAsia="仿宋_GB2312"/>
          <w:color w:val="auto"/>
          <w:sz w:val="32"/>
          <w:szCs w:val="32"/>
          <w:highlight w:val="none"/>
          <w:lang w:val="en-US" w:eastAsia="zh-CN"/>
        </w:rPr>
        <w:t>项目资金160.06万元转为暂付款，部分财政拨款收入未全部使用，年终被财政收回</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13833"/>
      <w:bookmarkStart w:id="17" w:name="_Toc20360"/>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pacing w:val="0"/>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年度一般公共预算财政拨款支出</w:t>
      </w:r>
      <w:r>
        <w:rPr>
          <w:rFonts w:hint="eastAsia" w:ascii="仿宋_GB2312" w:eastAsia="仿宋_GB2312"/>
          <w:spacing w:val="0"/>
          <w:sz w:val="32"/>
          <w:szCs w:val="32"/>
          <w:highlight w:val="none"/>
          <w:lang w:val="en-US" w:eastAsia="zh-CN"/>
        </w:rPr>
        <w:t>476.90</w:t>
      </w:r>
      <w:r>
        <w:rPr>
          <w:rFonts w:hint="eastAsia" w:ascii="仿宋_GB2312" w:eastAsia="仿宋_GB2312"/>
          <w:spacing w:val="0"/>
          <w:sz w:val="32"/>
          <w:szCs w:val="32"/>
          <w:highlight w:val="none"/>
          <w:lang w:eastAsia="zh-CN"/>
        </w:rPr>
        <w:t>万元，占本年支出合计的</w:t>
      </w:r>
      <w:r>
        <w:rPr>
          <w:rFonts w:hint="eastAsia" w:ascii="仿宋_GB2312" w:eastAsia="仿宋_GB2312"/>
          <w:spacing w:val="0"/>
          <w:sz w:val="32"/>
          <w:szCs w:val="32"/>
          <w:highlight w:val="none"/>
          <w:lang w:val="en-US" w:eastAsia="zh-CN"/>
        </w:rPr>
        <w:t>98.84</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与上年相比，增加</w:t>
      </w:r>
      <w:r>
        <w:rPr>
          <w:rFonts w:hint="eastAsia" w:ascii="仿宋_GB2312" w:eastAsia="仿宋_GB2312"/>
          <w:spacing w:val="0"/>
          <w:sz w:val="32"/>
          <w:szCs w:val="32"/>
          <w:highlight w:val="none"/>
          <w:lang w:val="en-US" w:eastAsia="zh-CN"/>
        </w:rPr>
        <w:t>476.90</w:t>
      </w:r>
      <w:r>
        <w:rPr>
          <w:rFonts w:hint="eastAsia" w:ascii="仿宋_GB2312" w:eastAsia="仿宋_GB2312"/>
          <w:spacing w:val="0"/>
          <w:sz w:val="32"/>
          <w:szCs w:val="32"/>
          <w:highlight w:val="none"/>
        </w:rPr>
        <w:t>万元，增长</w:t>
      </w:r>
      <w:r>
        <w:rPr>
          <w:rFonts w:hint="eastAsia" w:ascii="仿宋_GB2312" w:eastAsia="仿宋_GB2312"/>
          <w:spacing w:val="0"/>
          <w:sz w:val="32"/>
          <w:szCs w:val="32"/>
          <w:highlight w:val="none"/>
          <w:lang w:val="en-US" w:eastAsia="zh-CN"/>
        </w:rPr>
        <w:t>100</w:t>
      </w:r>
      <w:r>
        <w:rPr>
          <w:rFonts w:hint="eastAsia" w:ascii="仿宋_GB2312" w:eastAsia="仿宋_GB2312"/>
          <w:spacing w:val="0"/>
          <w:sz w:val="32"/>
          <w:szCs w:val="32"/>
          <w:highlight w:val="none"/>
        </w:rPr>
        <w:t>%</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主要原因是：</w:t>
      </w:r>
      <w:r>
        <w:rPr>
          <w:rFonts w:hint="eastAsia" w:ascii="仿宋_GB2312" w:eastAsia="仿宋_GB2312"/>
          <w:spacing w:val="0"/>
          <w:sz w:val="32"/>
          <w:szCs w:val="32"/>
          <w:highlight w:val="none"/>
          <w:lang w:val="en-US" w:eastAsia="zh-CN"/>
        </w:rPr>
        <w:t>本单位为2021年11月新成立单位，2022年纳入预算单位</w:t>
      </w:r>
      <w:r>
        <w:rPr>
          <w:rFonts w:hint="eastAsia" w:ascii="仿宋_GB2312" w:eastAsia="仿宋_GB2312"/>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教育支出（类）476.90</w:t>
      </w:r>
      <w:r>
        <w:rPr>
          <w:rFonts w:hint="eastAsia" w:ascii="仿宋_GB2312" w:hAnsi="仿宋_GB2312" w:eastAsia="仿宋_GB2312" w:cs="仿宋_GB2312"/>
          <w:kern w:val="0"/>
          <w:sz w:val="32"/>
          <w:szCs w:val="32"/>
          <w:highlight w:val="none"/>
        </w:rPr>
        <w:t>万元，占</w:t>
      </w:r>
      <w:r>
        <w:rPr>
          <w:rFonts w:hint="eastAsia" w:ascii="仿宋_GB2312" w:eastAsia="仿宋_GB2312"/>
          <w:spacing w:val="0"/>
          <w:sz w:val="32"/>
          <w:szCs w:val="32"/>
          <w:highlight w:val="none"/>
          <w:lang w:val="en-US" w:eastAsia="zh-CN"/>
        </w:rPr>
        <w:t>100</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kern w:val="0"/>
          <w:sz w:val="32"/>
          <w:szCs w:val="32"/>
          <w:highlight w:val="none"/>
          <w:lang w:val="en-US" w:eastAsia="zh-CN"/>
        </w:rPr>
        <w:t>教育支出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进修及培训</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培训支出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386.62</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386.62</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eastAsia="仿宋_GB2312"/>
          <w:spacing w:val="0"/>
          <w:sz w:val="32"/>
          <w:szCs w:val="32"/>
          <w:highlight w:val="none"/>
          <w:lang w:val="en-US" w:eastAsia="zh-CN"/>
        </w:rPr>
        <w:t>本单位为2021年11月新成立单位，2022年纳入预算单位</w:t>
      </w:r>
      <w:r>
        <w:rPr>
          <w:rFonts w:hint="eastAsia" w:ascii="仿宋_GB2312" w:eastAsia="仿宋_GB2312"/>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val="en-US" w:eastAsia="zh-CN"/>
        </w:rPr>
        <w:t>教育支出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其他教育支出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其他教育支出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90.28</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90.28</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eastAsia="仿宋_GB2312"/>
          <w:spacing w:val="0"/>
          <w:sz w:val="32"/>
          <w:szCs w:val="32"/>
          <w:highlight w:val="none"/>
          <w:lang w:val="en-US" w:eastAsia="zh-CN"/>
        </w:rPr>
        <w:t>本单位为2021年11月新成立单位，2022年纳入预算单位</w:t>
      </w:r>
      <w:r>
        <w:rPr>
          <w:rFonts w:hint="eastAsia" w:ascii="仿宋_GB2312" w:eastAsia="仿宋_GB2312"/>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8" w:name="_Toc11146"/>
      <w:bookmarkStart w:id="19" w:name="_Toc30870"/>
      <w:r>
        <w:rPr>
          <w:rFonts w:hint="eastAsia" w:ascii="黑体" w:hAnsi="黑体" w:eastAsia="黑体" w:cs="宋体"/>
          <w:bCs/>
          <w:kern w:val="0"/>
          <w:sz w:val="32"/>
          <w:szCs w:val="32"/>
          <w:highlight w:val="none"/>
          <w:lang w:eastAsia="zh-CN"/>
        </w:rPr>
        <w:t>六、一般公共预算财政拨款基本支出决算情况说明</w:t>
      </w:r>
      <w:bookmarkEnd w:id="18"/>
      <w:bookmarkEnd w:id="1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一般公共预算财政拨款基本支出</w:t>
      </w:r>
      <w:r>
        <w:rPr>
          <w:rFonts w:hint="eastAsia" w:ascii="仿宋_GB2312" w:eastAsia="仿宋_GB2312"/>
          <w:sz w:val="32"/>
          <w:szCs w:val="32"/>
          <w:highlight w:val="none"/>
          <w:lang w:val="en-US" w:eastAsia="zh-CN"/>
        </w:rPr>
        <w:t>386.62</w:t>
      </w:r>
      <w:r>
        <w:rPr>
          <w:rFonts w:hint="eastAsia" w:ascii="仿宋_GB2312" w:eastAsia="仿宋_GB2312"/>
          <w:sz w:val="32"/>
          <w:szCs w:val="32"/>
          <w:highlight w:val="none"/>
        </w:rPr>
        <w:t>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人员经费</w:t>
      </w:r>
      <w:r>
        <w:rPr>
          <w:rFonts w:hint="eastAsia" w:ascii="仿宋_GB2312" w:eastAsia="仿宋_GB2312"/>
          <w:sz w:val="32"/>
          <w:szCs w:val="32"/>
          <w:highlight w:val="none"/>
          <w:lang w:val="en-US" w:eastAsia="zh-CN"/>
        </w:rPr>
        <w:t>286.62</w:t>
      </w:r>
      <w:r>
        <w:rPr>
          <w:rFonts w:hint="eastAsia" w:ascii="仿宋_GB2312" w:eastAsia="仿宋_GB2312"/>
          <w:sz w:val="32"/>
          <w:szCs w:val="32"/>
          <w:highlight w:val="none"/>
        </w:rPr>
        <w:t>万元，包括：基本工资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津贴补贴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奖金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绩效工资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职工基本医疗保险缴费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公务员医疗补助缴费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其他社会保障缴费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住房公积金</w:t>
      </w:r>
      <w:r>
        <w:rPr>
          <w:rFonts w:hint="eastAsia" w:ascii="仿宋_GB2312" w:eastAsia="仿宋_GB2312"/>
          <w:sz w:val="32"/>
          <w:szCs w:val="32"/>
          <w:highlight w:val="none"/>
          <w:lang w:eastAsia="zh-CN"/>
        </w:rPr>
        <w:t>、奖励金。</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公用经费</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万元，包括：办公费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邮电费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取暖费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差旅费</w:t>
      </w:r>
      <w:r>
        <w:rPr>
          <w:rFonts w:hint="eastAsia" w:ascii="仿宋_GB2312" w:eastAsia="仿宋_GB2312"/>
          <w:sz w:val="32"/>
          <w:szCs w:val="32"/>
          <w:highlight w:val="none"/>
          <w:lang w:eastAsia="zh-CN"/>
        </w:rPr>
        <w:t>、其他</w:t>
      </w:r>
      <w:r>
        <w:rPr>
          <w:rFonts w:hint="eastAsia" w:ascii="仿宋_GB2312" w:eastAsia="仿宋_GB2312"/>
          <w:sz w:val="32"/>
          <w:szCs w:val="32"/>
          <w:highlight w:val="none"/>
          <w:lang w:val="en-US" w:eastAsia="zh-CN"/>
        </w:rPr>
        <w:t>商品和服务支出</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0" w:name="_Toc21518"/>
      <w:bookmarkStart w:id="21" w:name="_Toc7190"/>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0"/>
      <w:bookmarkEnd w:id="2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pacing w:val="0"/>
          <w:sz w:val="32"/>
          <w:szCs w:val="32"/>
          <w:highlight w:val="none"/>
          <w:lang w:val="en-US" w:eastAsia="zh-CN"/>
        </w:rPr>
        <w:t>本单位为2021年11月新成立单位，无“三公”经费支出。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pacing w:val="0"/>
          <w:sz w:val="32"/>
          <w:szCs w:val="32"/>
          <w:highlight w:val="none"/>
          <w:lang w:val="en-US" w:eastAsia="zh-CN"/>
        </w:rPr>
        <w:t>本单位为2021年11月新成立单位，单位无职工</w:t>
      </w:r>
      <w:r>
        <w:rPr>
          <w:rFonts w:hint="eastAsia" w:ascii="仿宋_GB2312" w:eastAsia="仿宋_GB2312"/>
          <w:sz w:val="32"/>
          <w:szCs w:val="32"/>
          <w:highlight w:val="none"/>
        </w:rPr>
        <w:t>因公出国（境）</w:t>
      </w:r>
      <w:r>
        <w:rPr>
          <w:rFonts w:hint="eastAsia" w:ascii="仿宋_GB2312" w:eastAsia="仿宋_GB2312"/>
          <w:sz w:val="32"/>
          <w:szCs w:val="32"/>
          <w:highlight w:val="none"/>
          <w:lang w:val="en-US" w:eastAsia="zh-CN"/>
        </w:rPr>
        <w:t>支出</w:t>
      </w:r>
      <w:r>
        <w:rPr>
          <w:rFonts w:hint="eastAsia" w:ascii="仿宋_GB2312" w:eastAsia="仿宋_GB2312"/>
          <w:sz w:val="32"/>
          <w:szCs w:val="32"/>
          <w:highlight w:val="none"/>
        </w:rPr>
        <w:t>；公务用车购置及运行维护费支出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pacing w:val="0"/>
          <w:sz w:val="32"/>
          <w:szCs w:val="32"/>
          <w:highlight w:val="none"/>
          <w:lang w:val="en-US" w:eastAsia="zh-CN"/>
        </w:rPr>
        <w:t>本单位为2021年11月新成立单位，2022年无</w:t>
      </w:r>
      <w:r>
        <w:rPr>
          <w:rFonts w:hint="eastAsia" w:ascii="仿宋_GB2312" w:eastAsia="仿宋_GB2312"/>
          <w:sz w:val="32"/>
          <w:szCs w:val="32"/>
          <w:highlight w:val="none"/>
        </w:rPr>
        <w:t>公务用车购置及运行维护费支出</w:t>
      </w:r>
      <w:bookmarkStart w:id="54" w:name="_GoBack"/>
      <w:bookmarkEnd w:id="54"/>
      <w:r>
        <w:rPr>
          <w:rFonts w:hint="eastAsia" w:ascii="仿宋_GB2312" w:eastAsia="仿宋_GB2312"/>
          <w:sz w:val="32"/>
          <w:szCs w:val="32"/>
          <w:highlight w:val="none"/>
        </w:rPr>
        <w:t>；公务接待费支出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pacing w:val="0"/>
          <w:sz w:val="32"/>
          <w:szCs w:val="32"/>
          <w:highlight w:val="none"/>
          <w:lang w:val="en-US" w:eastAsia="zh-CN"/>
        </w:rPr>
        <w:t>本单位为2021年11月新成立单位，2022年未发生公务接待</w:t>
      </w:r>
      <w:r>
        <w:rPr>
          <w:rFonts w:hint="eastAsia" w:ascii="仿宋_GB2312" w:eastAsia="仿宋_GB2312"/>
          <w:spacing w:val="0"/>
          <w:sz w:val="32"/>
          <w:szCs w:val="32"/>
          <w:highlight w:val="none"/>
        </w:rPr>
        <w:t>。</w:t>
      </w:r>
      <w:r>
        <w:rPr>
          <w:rFonts w:hint="eastAsia" w:ascii="仿宋_GB2312" w:eastAsia="仿宋_GB2312"/>
          <w:sz w:val="32"/>
          <w:szCs w:val="32"/>
          <w:highlight w:val="none"/>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开支内容包括</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无</w:t>
      </w:r>
      <w:r>
        <w:rPr>
          <w:rFonts w:hint="eastAsia" w:ascii="仿宋_GB2312" w:eastAsia="仿宋_GB2312"/>
          <w:sz w:val="32"/>
          <w:szCs w:val="32"/>
          <w:highlight w:val="none"/>
        </w:rPr>
        <w:t>。单位全年安排的因公出国（境）团组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个，因公出国（境）</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公务用车购置及运行维护费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万元。公务用车运行维护费开支内容包括</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无</w:t>
      </w:r>
      <w:r>
        <w:rPr>
          <w:rFonts w:hint="eastAsia" w:ascii="仿宋_GB2312" w:eastAsia="仿宋_GB2312"/>
          <w:sz w:val="32"/>
          <w:szCs w:val="32"/>
          <w:highlight w:val="none"/>
        </w:rPr>
        <w:t>。公务用车购置数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辆，公务用车保有量</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万元，开支内容包括</w:t>
      </w:r>
      <w:r>
        <w:rPr>
          <w:rFonts w:hint="eastAsia" w:ascii="仿宋_GB2312" w:eastAsia="仿宋_GB2312"/>
          <w:sz w:val="32"/>
          <w:szCs w:val="32"/>
          <w:highlight w:val="none"/>
          <w:lang w:val="en-US" w:eastAsia="zh-CN"/>
        </w:rPr>
        <w:t>无</w:t>
      </w:r>
      <w:r>
        <w:rPr>
          <w:rFonts w:hint="eastAsia" w:ascii="仿宋_GB2312" w:eastAsia="仿宋_GB2312"/>
          <w:sz w:val="32"/>
          <w:szCs w:val="32"/>
          <w:highlight w:val="none"/>
        </w:rPr>
        <w:t>。单位全年安排的国内公务接待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rPr>
        <w:t>相比情况：“三公”经费支出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pacing w:val="0"/>
          <w:sz w:val="32"/>
          <w:szCs w:val="32"/>
          <w:highlight w:val="none"/>
          <w:lang w:val="en-US" w:eastAsia="zh-CN"/>
        </w:rPr>
        <w:t>本单位为2021年11月新成立单位，</w:t>
      </w:r>
      <w:r>
        <w:rPr>
          <w:rFonts w:hint="eastAsia" w:ascii="仿宋_GB2312" w:eastAsia="仿宋_GB2312"/>
          <w:sz w:val="32"/>
          <w:szCs w:val="32"/>
          <w:highlight w:val="none"/>
        </w:rPr>
        <w:t>“三公”</w:t>
      </w:r>
      <w:r>
        <w:rPr>
          <w:rFonts w:hint="eastAsia" w:ascii="仿宋_GB2312" w:eastAsia="仿宋_GB2312"/>
          <w:sz w:val="32"/>
          <w:szCs w:val="32"/>
          <w:highlight w:val="none"/>
          <w:lang w:val="en-US" w:eastAsia="zh-CN"/>
        </w:rPr>
        <w:t>项目2022年均未发生</w:t>
      </w:r>
      <w:r>
        <w:rPr>
          <w:rFonts w:hint="eastAsia" w:ascii="仿宋_GB2312" w:eastAsia="仿宋_GB2312"/>
          <w:spacing w:val="0"/>
          <w:sz w:val="32"/>
          <w:szCs w:val="32"/>
          <w:highlight w:val="none"/>
        </w:rPr>
        <w:t>。</w:t>
      </w:r>
      <w:r>
        <w:rPr>
          <w:rFonts w:hint="eastAsia" w:ascii="仿宋_GB2312" w:hAnsi="宋体" w:eastAsia="仿宋_GB2312" w:cs="宋体"/>
          <w:kern w:val="0"/>
          <w:sz w:val="32"/>
          <w:szCs w:val="32"/>
          <w:highlight w:val="none"/>
        </w:rPr>
        <w:t>其中：因公出国（境）费</w:t>
      </w:r>
      <w:r>
        <w:rPr>
          <w:rFonts w:hint="eastAsia" w:ascii="仿宋_GB2312" w:hAnsi="宋体" w:eastAsia="仿宋_GB2312" w:cs="宋体"/>
          <w:kern w:val="0"/>
          <w:sz w:val="32"/>
          <w:szCs w:val="32"/>
          <w:highlight w:val="none"/>
          <w:lang w:val="en-US" w:eastAsia="zh-CN"/>
        </w:rPr>
        <w:t>全年预算数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pacing w:val="0"/>
          <w:sz w:val="32"/>
          <w:szCs w:val="32"/>
          <w:highlight w:val="none"/>
          <w:lang w:val="en-US" w:eastAsia="zh-CN"/>
        </w:rPr>
        <w:t>本单位为2021年11月新成立单位，单位无职工</w:t>
      </w:r>
      <w:r>
        <w:rPr>
          <w:rFonts w:hint="eastAsia" w:ascii="仿宋_GB2312" w:eastAsia="仿宋_GB2312"/>
          <w:sz w:val="32"/>
          <w:szCs w:val="32"/>
          <w:highlight w:val="none"/>
        </w:rPr>
        <w:t>因公出国（境）；</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pacing w:val="0"/>
          <w:sz w:val="32"/>
          <w:szCs w:val="32"/>
          <w:highlight w:val="none"/>
          <w:lang w:val="en-US" w:eastAsia="zh-CN"/>
        </w:rPr>
        <w:t>本单位为2021年11月新成立单位，2022年无车辆配置</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公务接待费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pacing w:val="0"/>
          <w:sz w:val="32"/>
          <w:szCs w:val="32"/>
          <w:highlight w:val="none"/>
          <w:lang w:val="en-US" w:eastAsia="zh-CN"/>
        </w:rPr>
        <w:t>本单位为2021年11月新成立单位，2022年未发生公务接待</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lang w:eastAsia="zh-CN"/>
        </w:rPr>
      </w:pPr>
      <w:bookmarkStart w:id="22" w:name="_Toc7927"/>
      <w:bookmarkStart w:id="23" w:name="_Toc5810"/>
      <w:r>
        <w:rPr>
          <w:rFonts w:hint="eastAsia" w:ascii="黑体" w:hAnsi="黑体" w:eastAsia="黑体" w:cs="宋体"/>
          <w:bCs/>
          <w:color w:val="auto"/>
          <w:kern w:val="0"/>
          <w:sz w:val="32"/>
          <w:szCs w:val="32"/>
          <w:highlight w:val="none"/>
          <w:lang w:val="en-US" w:eastAsia="zh-CN"/>
        </w:rPr>
        <w:t>八</w:t>
      </w:r>
      <w:r>
        <w:rPr>
          <w:rFonts w:hint="eastAsia" w:ascii="黑体" w:hAnsi="黑体" w:eastAsia="黑体" w:cs="宋体"/>
          <w:bCs/>
          <w:color w:val="auto"/>
          <w:kern w:val="0"/>
          <w:sz w:val="32"/>
          <w:szCs w:val="32"/>
          <w:highlight w:val="none"/>
          <w:lang w:eastAsia="zh-CN"/>
        </w:rPr>
        <w:t>、政府性基金预算财政拨款收入支出决算情况说明</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我单位本年度无政府性基金预算财政拨款收入、支出</w:t>
      </w:r>
      <w:r>
        <w:rPr>
          <w:rFonts w:hint="eastAsia" w:ascii="仿宋_GB2312" w:eastAsia="仿宋_GB2312"/>
          <w:color w:val="auto"/>
          <w:sz w:val="32"/>
          <w:szCs w:val="32"/>
          <w:highlight w:val="none"/>
          <w:lang w:val="en-US" w:eastAsia="zh-CN"/>
        </w:rPr>
        <w:t>及结转和结余</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color w:val="auto"/>
          <w:sz w:val="32"/>
          <w:szCs w:val="32"/>
          <w:highlight w:val="none"/>
          <w:lang w:eastAsia="zh-CN"/>
        </w:rPr>
      </w:pPr>
      <w:r>
        <w:rPr>
          <w:rFonts w:hint="eastAsia" w:ascii="黑体" w:hAnsi="黑体" w:eastAsia="黑体" w:cs="宋体"/>
          <w:bCs/>
          <w:color w:val="auto"/>
          <w:kern w:val="0"/>
          <w:sz w:val="32"/>
          <w:szCs w:val="32"/>
          <w:highlight w:val="none"/>
          <w:lang w:val="en-US" w:eastAsia="zh-CN"/>
        </w:rPr>
        <w:t>九</w:t>
      </w:r>
      <w:r>
        <w:rPr>
          <w:rFonts w:hint="eastAsia" w:ascii="黑体" w:hAnsi="黑体" w:eastAsia="黑体" w:cs="宋体"/>
          <w:bCs/>
          <w:color w:val="auto"/>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我单位本年度无国有资本经营预算财政拨款收入、支出</w:t>
      </w:r>
      <w:r>
        <w:rPr>
          <w:rFonts w:hint="eastAsia" w:ascii="仿宋_GB2312" w:eastAsia="仿宋_GB2312"/>
          <w:color w:val="auto"/>
          <w:sz w:val="32"/>
          <w:szCs w:val="32"/>
          <w:highlight w:val="none"/>
          <w:lang w:val="en-US" w:eastAsia="zh-CN"/>
        </w:rPr>
        <w:t>及结转和结余</w:t>
      </w:r>
      <w:r>
        <w:rPr>
          <w:rFonts w:hint="eastAsia" w:ascii="仿宋_GB2312" w:eastAsia="仿宋_GB2312"/>
          <w:color w:val="auto"/>
          <w:sz w:val="32"/>
          <w:szCs w:val="32"/>
          <w:highlight w:val="none"/>
          <w:lang w:eastAsia="zh-CN"/>
        </w:rPr>
        <w:t>，国有资本经营</w:t>
      </w:r>
      <w:r>
        <w:rPr>
          <w:rFonts w:hint="eastAsia" w:ascii="仿宋_GB2312" w:eastAsia="仿宋_GB2312"/>
          <w:color w:val="auto"/>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1235"/>
      <w:bookmarkStart w:id="25" w:name="_Toc7314"/>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26" w:name="_Toc13105"/>
      <w:bookmarkStart w:id="27" w:name="_Toc14519"/>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6"/>
      <w:bookmarkEnd w:id="2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2022年度乌鲁木齐市水磨沟区技工学校</w:t>
      </w:r>
      <w:r>
        <w:rPr>
          <w:rFonts w:hint="eastAsia" w:ascii="仿宋_GB2312" w:eastAsia="仿宋_GB2312"/>
          <w:sz w:val="32"/>
          <w:szCs w:val="32"/>
          <w:highlight w:val="none"/>
        </w:rPr>
        <w:t>（事业单位）</w:t>
      </w:r>
      <w:r>
        <w:rPr>
          <w:rFonts w:hint="eastAsia" w:ascii="仿宋_GB2312" w:eastAsia="仿宋_GB2312"/>
          <w:sz w:val="32"/>
          <w:szCs w:val="32"/>
          <w:highlight w:val="none"/>
          <w:lang w:eastAsia="zh-CN"/>
        </w:rPr>
        <w:t>公用经费</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本单位为2021年11月新成立单位</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8" w:name="_Toc227"/>
      <w:bookmarkStart w:id="29" w:name="_Toc26704"/>
      <w:r>
        <w:rPr>
          <w:rFonts w:hint="eastAsia" w:ascii="黑体" w:hAnsi="黑体" w:eastAsia="黑体"/>
          <w:sz w:val="32"/>
          <w:szCs w:val="32"/>
          <w:highlight w:val="none"/>
          <w:lang w:eastAsia="zh-CN"/>
        </w:rPr>
        <w:t>（二）政府采购情况</w:t>
      </w:r>
      <w:bookmarkEnd w:id="28"/>
      <w:bookmarkEnd w:id="2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政府采购支出总额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万元，其中：政府采购货物支出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万元、政府采购工程支出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0000FF"/>
          <w:sz w:val="32"/>
          <w:szCs w:val="32"/>
          <w:highlight w:val="none"/>
          <w:lang w:val="en-US" w:eastAsia="zh-CN"/>
        </w:rPr>
      </w:pP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0" w:name="_Toc4591"/>
      <w:bookmarkStart w:id="31" w:name="_Toc8391"/>
      <w:r>
        <w:rPr>
          <w:rFonts w:hint="eastAsia" w:ascii="黑体" w:hAnsi="黑体" w:eastAsia="黑体"/>
          <w:sz w:val="32"/>
          <w:szCs w:val="32"/>
          <w:highlight w:val="none"/>
          <w:lang w:eastAsia="zh-CN"/>
        </w:rPr>
        <w:t>（三）国有资产占用情况说明</w:t>
      </w:r>
      <w:bookmarkEnd w:id="30"/>
      <w:bookmarkEnd w:id="3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截止</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w:t>
      </w:r>
      <w:r>
        <w:rPr>
          <w:rFonts w:hint="eastAsia" w:ascii="仿宋_GB2312" w:eastAsia="仿宋_GB2312"/>
          <w:sz w:val="32"/>
          <w:szCs w:val="32"/>
          <w:highlight w:val="none"/>
          <w:lang w:val="en-US" w:eastAsia="zh-CN"/>
        </w:rPr>
        <w:t>0万元，房</w:t>
      </w:r>
      <w:r>
        <w:rPr>
          <w:rFonts w:hint="eastAsia" w:ascii="仿宋_GB2312" w:eastAsia="仿宋_GB2312"/>
          <w:sz w:val="32"/>
          <w:szCs w:val="32"/>
          <w:highlight w:val="none"/>
        </w:rPr>
        <w:t>屋</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平方米</w:t>
      </w:r>
      <w:r>
        <w:rPr>
          <w:rFonts w:hint="eastAsia" w:ascii="仿宋_GB2312" w:eastAsia="仿宋_GB2312"/>
          <w:sz w:val="32"/>
          <w:szCs w:val="32"/>
          <w:highlight w:val="none"/>
          <w:lang w:eastAsia="zh-CN"/>
        </w:rPr>
        <w:t>，价值</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辆，价值</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万元，其中：副部（省）级及以上领导用车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辆、执法执勤用车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辆、特种专业技术用车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辆、离退休干部用车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辆，其他用车主要是：</w:t>
      </w:r>
      <w:r>
        <w:rPr>
          <w:rFonts w:hint="eastAsia" w:ascii="仿宋_GB2312" w:eastAsia="仿宋_GB2312"/>
          <w:sz w:val="32"/>
          <w:szCs w:val="32"/>
          <w:highlight w:val="none"/>
          <w:lang w:val="en-US" w:eastAsia="zh-CN"/>
        </w:rPr>
        <w:t>我单位无其他用车辆</w:t>
      </w:r>
      <w:r>
        <w:rPr>
          <w:rFonts w:hint="eastAsia" w:ascii="仿宋_GB2312" w:eastAsia="仿宋_GB2312"/>
          <w:sz w:val="32"/>
          <w:szCs w:val="32"/>
          <w:highlight w:val="none"/>
        </w:rPr>
        <w:t>；单价100万元（含）以上设备（不含车辆）</w:t>
      </w:r>
      <w:r>
        <w:rPr>
          <w:rFonts w:hint="eastAsia" w:ascii="仿宋_GB2312" w:eastAsia="仿宋_GB2312"/>
          <w:sz w:val="32"/>
          <w:szCs w:val="32"/>
          <w:highlight w:val="none"/>
          <w:lang w:val="en-US" w:eastAsia="zh-CN"/>
        </w:rPr>
        <w:t>0台（</w:t>
      </w:r>
      <w:r>
        <w:rPr>
          <w:rFonts w:hint="eastAsia" w:ascii="仿宋_GB2312" w:eastAsia="仿宋_GB2312"/>
          <w:sz w:val="32"/>
          <w:szCs w:val="32"/>
          <w:highlight w:val="none"/>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lang w:eastAsia="zh-CN"/>
        </w:rPr>
      </w:pPr>
      <w:bookmarkStart w:id="32" w:name="_Toc435"/>
      <w:bookmarkStart w:id="33" w:name="_Toc11283"/>
      <w:r>
        <w:rPr>
          <w:rFonts w:hint="eastAsia" w:ascii="黑体" w:hAnsi="黑体" w:eastAsia="黑体" w:cs="宋体"/>
          <w:bCs/>
          <w:color w:val="auto"/>
          <w:kern w:val="0"/>
          <w:sz w:val="32"/>
          <w:szCs w:val="32"/>
          <w:highlight w:val="none"/>
          <w:lang w:eastAsia="zh-CN"/>
        </w:rPr>
        <w:t>十</w:t>
      </w:r>
      <w:r>
        <w:rPr>
          <w:rFonts w:hint="eastAsia" w:ascii="黑体" w:hAnsi="黑体" w:eastAsia="黑体" w:cs="宋体"/>
          <w:bCs/>
          <w:color w:val="auto"/>
          <w:kern w:val="0"/>
          <w:sz w:val="32"/>
          <w:szCs w:val="32"/>
          <w:highlight w:val="none"/>
          <w:lang w:val="en-US" w:eastAsia="zh-CN"/>
        </w:rPr>
        <w:t>一</w:t>
      </w:r>
      <w:r>
        <w:rPr>
          <w:rFonts w:hint="eastAsia" w:ascii="黑体" w:hAnsi="黑体" w:eastAsia="黑体" w:cs="宋体"/>
          <w:bCs/>
          <w:color w:val="auto"/>
          <w:kern w:val="0"/>
          <w:sz w:val="32"/>
          <w:szCs w:val="32"/>
          <w:highlight w:val="none"/>
          <w:lang w:eastAsia="zh-CN"/>
        </w:rPr>
        <w:t>、预算绩效的情况说明</w:t>
      </w:r>
      <w:bookmarkEnd w:id="32"/>
      <w:bookmarkEnd w:id="33"/>
    </w:p>
    <w:p>
      <w:pPr>
        <w:spacing w:line="54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根据预算绩效管理要求，我单位</w:t>
      </w:r>
      <w:r>
        <w:rPr>
          <w:rFonts w:hint="eastAsia" w:ascii="仿宋_GB2312" w:eastAsia="仿宋_GB2312"/>
          <w:color w:val="auto"/>
          <w:sz w:val="32"/>
          <w:szCs w:val="32"/>
          <w:highlight w:val="none"/>
          <w:lang w:val="en-US" w:eastAsia="zh-CN"/>
        </w:rPr>
        <w:t>2022</w:t>
      </w:r>
      <w:r>
        <w:rPr>
          <w:rFonts w:hint="eastAsia" w:ascii="仿宋_GB2312" w:eastAsia="仿宋_GB2312"/>
          <w:color w:val="auto"/>
          <w:sz w:val="32"/>
          <w:szCs w:val="32"/>
          <w:highlight w:val="none"/>
          <w:lang w:eastAsia="zh-CN"/>
        </w:rPr>
        <w:t>年度开展预算绩效评价项目</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个，</w:t>
      </w:r>
      <w:r>
        <w:rPr>
          <w:rFonts w:hint="eastAsia" w:ascii="仿宋_GB2312" w:eastAsia="仿宋_GB2312"/>
          <w:color w:val="auto"/>
          <w:sz w:val="32"/>
          <w:szCs w:val="32"/>
          <w:highlight w:val="none"/>
          <w:lang w:val="en-US" w:eastAsia="zh-CN"/>
        </w:rPr>
        <w:t>全年预算数90.28</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全年执行数90.28</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。高预算执行力度；二是</w:t>
      </w:r>
      <w:r>
        <w:rPr>
          <w:rFonts w:hint="eastAsia" w:ascii="仿宋_GB2312" w:eastAsia="仿宋_GB2312"/>
          <w:color w:val="auto"/>
          <w:sz w:val="32"/>
          <w:szCs w:val="32"/>
          <w:highlight w:val="none"/>
          <w:lang w:val="en-US" w:eastAsia="zh-CN"/>
        </w:rPr>
        <w:t>要</w:t>
      </w:r>
      <w:r>
        <w:rPr>
          <w:rFonts w:hint="eastAsia" w:ascii="仿宋_GB2312" w:eastAsia="仿宋_GB2312"/>
          <w:color w:val="auto"/>
          <w:sz w:val="32"/>
          <w:szCs w:val="32"/>
          <w:highlight w:val="none"/>
          <w:lang w:eastAsia="zh-CN"/>
        </w:rPr>
        <w:t>细化预算编报内容。预算安排符合实际工作开展情况。</w:t>
      </w:r>
    </w:p>
    <w:p>
      <w:pPr>
        <w:spacing w:line="54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预算绩效管理取得的成效：一是保证教学活动和后勤服务的开支，使学校的各项工作正常运转，促进学校的发展；二是财务管理规范，财务程序明确，严守财务纪律，经费得到合理运用；</w:t>
      </w:r>
      <w:r>
        <w:rPr>
          <w:rFonts w:hint="eastAsia" w:ascii="仿宋_GB2312" w:eastAsia="仿宋_GB2312"/>
          <w:color w:val="auto"/>
          <w:sz w:val="32"/>
          <w:szCs w:val="32"/>
          <w:highlight w:val="none"/>
          <w:lang w:val="en-US" w:eastAsia="zh-CN"/>
        </w:rPr>
        <w:t>三是</w:t>
      </w:r>
      <w:r>
        <w:rPr>
          <w:rFonts w:hint="eastAsia" w:ascii="仿宋_GB2312" w:eastAsia="仿宋_GB2312"/>
          <w:color w:val="auto"/>
          <w:sz w:val="32"/>
          <w:szCs w:val="32"/>
          <w:highlight w:val="none"/>
          <w:lang w:eastAsia="zh-CN"/>
        </w:rPr>
        <w:t>对项目资金使用严格把控，使得项目资金落实到位。</w:t>
      </w:r>
    </w:p>
    <w:p>
      <w:pPr>
        <w:spacing w:line="540" w:lineRule="exact"/>
        <w:ind w:firstLine="567"/>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发现的问题及原因：一是</w:t>
      </w:r>
      <w:r>
        <w:rPr>
          <w:rFonts w:hint="eastAsia" w:ascii="仿宋_GB2312" w:eastAsia="仿宋_GB2312"/>
          <w:color w:val="auto"/>
          <w:sz w:val="32"/>
          <w:szCs w:val="32"/>
          <w:highlight w:val="none"/>
          <w:lang w:val="en-US" w:eastAsia="zh-CN"/>
        </w:rPr>
        <w:t>要</w:t>
      </w:r>
      <w:r>
        <w:rPr>
          <w:rFonts w:hint="eastAsia" w:ascii="仿宋_GB2312" w:eastAsia="仿宋_GB2312"/>
          <w:color w:val="auto"/>
          <w:sz w:val="32"/>
          <w:szCs w:val="32"/>
          <w:highlight w:val="none"/>
          <w:lang w:eastAsia="zh-CN"/>
        </w:rPr>
        <w:t>加强管控和定期分析工作。根据财政预算批复内容拟定专项资金执行任务分解目标，提</w:t>
      </w:r>
    </w:p>
    <w:p>
      <w:pPr>
        <w:spacing w:line="540" w:lineRule="exact"/>
        <w:ind w:firstLine="567"/>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下一步改进措施：一是强化绩效管理，提高工作效能。各项资金应设置明确、具体、量化的目标，重点关注项目资金的使用情况、使用效果，要查摆问题，强化整改；二是建立健全专项资金管理制度，杜绝资金安全隐患。深入解读上级有关部门下达的相关政策性文件，明确各专项资金开支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4" w:name="_Toc3250"/>
      <w:bookmarkStart w:id="35" w:name="_Toc241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5"/>
        <w:gridCol w:w="887"/>
        <w:gridCol w:w="885"/>
        <w:gridCol w:w="887"/>
        <w:gridCol w:w="666"/>
        <w:gridCol w:w="224"/>
        <w:gridCol w:w="756"/>
        <w:gridCol w:w="666"/>
        <w:gridCol w:w="446"/>
        <w:gridCol w:w="224"/>
        <w:gridCol w:w="484"/>
        <w:gridCol w:w="315"/>
        <w:gridCol w:w="531"/>
        <w:gridCol w:w="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9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3904"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市民学校经费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9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主管部门</w:t>
            </w:r>
          </w:p>
        </w:tc>
        <w:tc>
          <w:tcPr>
            <w:tcW w:w="199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乌鲁木齐市水磨沟区技工学校</w:t>
            </w:r>
          </w:p>
        </w:tc>
        <w:tc>
          <w:tcPr>
            <w:tcW w:w="66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实施单位</w:t>
            </w:r>
          </w:p>
        </w:tc>
        <w:tc>
          <w:tcPr>
            <w:tcW w:w="1249"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乌鲁木齐市水磨沟区技工学校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95"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（万元）</w:t>
            </w:r>
          </w:p>
        </w:tc>
        <w:tc>
          <w:tcPr>
            <w:tcW w:w="109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年初预算数</w:t>
            </w:r>
          </w:p>
        </w:tc>
        <w:tc>
          <w:tcPr>
            <w:tcW w:w="55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全年预算数</w:t>
            </w:r>
          </w:p>
        </w:tc>
        <w:tc>
          <w:tcPr>
            <w:tcW w:w="66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全年执行数</w:t>
            </w:r>
          </w:p>
        </w:tc>
        <w:tc>
          <w:tcPr>
            <w:tcW w:w="45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分值</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执行率</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9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9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年度资金总额</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90.28</w:t>
            </w:r>
          </w:p>
        </w:tc>
        <w:tc>
          <w:tcPr>
            <w:tcW w:w="55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90.28</w:t>
            </w:r>
          </w:p>
        </w:tc>
        <w:tc>
          <w:tcPr>
            <w:tcW w:w="66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90.28</w:t>
            </w:r>
          </w:p>
        </w:tc>
        <w:tc>
          <w:tcPr>
            <w:tcW w:w="45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9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9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其中：当年财政拨款</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90.28</w:t>
            </w:r>
          </w:p>
        </w:tc>
        <w:tc>
          <w:tcPr>
            <w:tcW w:w="55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90.28</w:t>
            </w:r>
          </w:p>
        </w:tc>
        <w:tc>
          <w:tcPr>
            <w:tcW w:w="66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90.28</w:t>
            </w:r>
          </w:p>
        </w:tc>
        <w:tc>
          <w:tcPr>
            <w:tcW w:w="45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9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上年结转资金</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55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66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45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9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9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其他资金</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55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66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45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年度总体目标</w:t>
            </w:r>
          </w:p>
        </w:tc>
        <w:tc>
          <w:tcPr>
            <w:tcW w:w="2541"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预期目标</w:t>
            </w:r>
          </w:p>
        </w:tc>
        <w:tc>
          <w:tcPr>
            <w:tcW w:w="191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541"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1、该项目经费，主要用于学校本年度水费、电费、临聘及安保人员工资及其他经费。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2、严格把控项目资金使用，使得项目资金落实到位。及时支付各类经费并按实上报资金使用状况，保障项目资金90.28万按计划执行。</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3、通过资金的使用，有效保障学校的工作正常开展。</w:t>
            </w:r>
          </w:p>
        </w:tc>
        <w:tc>
          <w:tcPr>
            <w:tcW w:w="191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截止到2022年12月31日，我校使用该资金支付了2种日常运转类费用，分别为水费及电费，并支付了安保25人及临聘人员3人的个2个月工资，使员工工资正常发放到位，购买了1次办公用品。在使用经费时严格按照区财政局及本校的财务制度进行支付，本资金同时严格的按照年初的预算使用范围在支付范围内进行支付，对各类资金进行按时按要求上报，通过对本资金的支付，有效的保障了学校正常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547"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547"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342"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159"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396" w:type="pct"/>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highlight w:val="none"/>
                <w:u w:val="none"/>
              </w:rPr>
            </w:pPr>
          </w:p>
        </w:tc>
        <w:tc>
          <w:tcPr>
            <w:tcW w:w="372" w:type="pct"/>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289"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159"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167"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281"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18"/>
                <w:szCs w:val="18"/>
                <w:highlight w:val="none"/>
                <w:u w:val="none"/>
              </w:rPr>
            </w:pPr>
          </w:p>
        </w:tc>
        <w:tc>
          <w:tcPr>
            <w:tcW w:w="343" w:type="pct"/>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一级指标</w:t>
            </w: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二级指标</w:t>
            </w:r>
          </w:p>
        </w:tc>
        <w:tc>
          <w:tcPr>
            <w:tcW w:w="1049"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三级指标</w:t>
            </w:r>
          </w:p>
        </w:tc>
        <w:tc>
          <w:tcPr>
            <w:tcW w:w="39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年度指标值</w:t>
            </w:r>
          </w:p>
        </w:tc>
        <w:tc>
          <w:tcPr>
            <w:tcW w:w="37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实际完成值</w:t>
            </w:r>
          </w:p>
        </w:tc>
        <w:tc>
          <w:tcPr>
            <w:tcW w:w="44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分值</w:t>
            </w:r>
          </w:p>
        </w:tc>
        <w:tc>
          <w:tcPr>
            <w:tcW w:w="46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得分</w:t>
            </w:r>
          </w:p>
        </w:tc>
        <w:tc>
          <w:tcPr>
            <w:tcW w:w="625"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049"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3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4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6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2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年度绩效指标完成情况</w:t>
            </w: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04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支付日常运转费用种类</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&gt;=2种</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2种</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25"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04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安保人员人数</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&lt;=25人</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25人</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25"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04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临时聘用人员人数</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&lt;=3人</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3人</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25"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04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购买办公用品次数</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&gt;=1次</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1次</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25"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04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学校正常运转率</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&gt;=95%</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625"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04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工资发放准确率</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625"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04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采购办公用品质量合格率</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&gt;=95%</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625"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04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资金支付及时率</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&gt;=95%</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625"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04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水费</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=9.96万元</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9.96万元</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25"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04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电费</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=39.62万元</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39.62万元</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25"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04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安保及临聘人员工资</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=38.65万元/年</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38.65万元/年</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25"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04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办公用品及维修设备经费</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=2.05万元</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2.05万元</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25"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经济效益指标</w:t>
            </w:r>
          </w:p>
        </w:tc>
        <w:tc>
          <w:tcPr>
            <w:tcW w:w="1049"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25"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04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加强宣传职业教育工作，提高学员技能水平</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有效提高</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完全达到预期效果</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625"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生态效益指标</w:t>
            </w:r>
          </w:p>
        </w:tc>
        <w:tc>
          <w:tcPr>
            <w:tcW w:w="1049"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625"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可持续影响指标</w:t>
            </w:r>
          </w:p>
        </w:tc>
        <w:tc>
          <w:tcPr>
            <w:tcW w:w="104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不断提高教育教学水平，促进学员就业发展</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有效促进</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完全达到预期效果</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625"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04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学员满意度</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&gt;=95%</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625"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04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教职工满意度</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&gt;=100%</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625"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4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547" w:type="pct"/>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18"/>
                <w:szCs w:val="18"/>
                <w:highlight w:val="none"/>
                <w:u w:val="none"/>
              </w:rPr>
            </w:pPr>
          </w:p>
        </w:tc>
        <w:tc>
          <w:tcPr>
            <w:tcW w:w="342" w:type="pct"/>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18"/>
                <w:szCs w:val="18"/>
                <w:highlight w:val="none"/>
                <w:u w:val="none"/>
              </w:rPr>
            </w:pPr>
          </w:p>
        </w:tc>
        <w:tc>
          <w:tcPr>
            <w:tcW w:w="159" w:type="pct"/>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89" w:type="pct"/>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59" w:type="pct"/>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96" w:type="pct"/>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67" w:type="pct"/>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461"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总分</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100.00分</w:t>
            </w:r>
          </w:p>
        </w:tc>
        <w:tc>
          <w:tcPr>
            <w:tcW w:w="62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95" w:type="pct"/>
            <w:gridSpan w:val="2"/>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项目负责人：</w:t>
            </w:r>
          </w:p>
        </w:tc>
        <w:tc>
          <w:tcPr>
            <w:tcW w:w="1437" w:type="pct"/>
            <w:gridSpan w:val="3"/>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李巍</w:t>
            </w:r>
          </w:p>
        </w:tc>
        <w:tc>
          <w:tcPr>
            <w:tcW w:w="1218" w:type="pct"/>
            <w:gridSpan w:val="4"/>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联系电话：</w:t>
            </w:r>
          </w:p>
        </w:tc>
        <w:tc>
          <w:tcPr>
            <w:tcW w:w="1249" w:type="pct"/>
            <w:gridSpan w:val="5"/>
            <w:tcBorders>
              <w:top w:val="single" w:color="000000" w:sz="4" w:space="0"/>
              <w:left w:val="nil"/>
              <w:bottom w:val="nil"/>
              <w:right w:val="nil"/>
            </w:tcBorders>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95" w:type="pct"/>
            <w:gridSpan w:val="2"/>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 办 人：</w:t>
            </w:r>
          </w:p>
        </w:tc>
        <w:tc>
          <w:tcPr>
            <w:tcW w:w="1437" w:type="pct"/>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胡悦</w:t>
            </w:r>
          </w:p>
        </w:tc>
        <w:tc>
          <w:tcPr>
            <w:tcW w:w="1218" w:type="pct"/>
            <w:gridSpan w:val="4"/>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联系电话：</w:t>
            </w:r>
          </w:p>
        </w:tc>
        <w:tc>
          <w:tcPr>
            <w:tcW w:w="1249" w:type="pct"/>
            <w:gridSpan w:val="5"/>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18196151230</w:t>
            </w: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br w:type="page"/>
      </w:r>
      <w:r>
        <w:rPr>
          <w:rFonts w:hint="eastAsia" w:ascii="黑体" w:hAnsi="黑体" w:eastAsia="黑体"/>
          <w:sz w:val="32"/>
          <w:szCs w:val="32"/>
          <w:highlight w:val="none"/>
        </w:rPr>
        <w:t>第三部分 专业名词解释</w:t>
      </w:r>
      <w:bookmarkEnd w:id="34"/>
      <w:bookmarkEnd w:id="35"/>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6" w:name="_Toc22784"/>
      <w:bookmarkStart w:id="37" w:name="_Toc28903"/>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38" w:name="_Toc2183"/>
      <w:bookmarkStart w:id="39" w:name="_Toc6062"/>
      <w:r>
        <w:rPr>
          <w:rFonts w:hint="eastAsia" w:ascii="黑体" w:hAnsi="黑体" w:eastAsia="黑体" w:cs="宋体"/>
          <w:bCs/>
          <w:kern w:val="0"/>
          <w:sz w:val="32"/>
          <w:szCs w:val="32"/>
          <w:highlight w:val="none"/>
        </w:rPr>
        <w:t>一、《收入支出决算总表》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0" w:name="_Toc30364"/>
      <w:bookmarkStart w:id="41" w:name="_Toc24532"/>
      <w:r>
        <w:rPr>
          <w:rFonts w:hint="eastAsia" w:ascii="黑体" w:hAnsi="黑体" w:eastAsia="黑体" w:cs="宋体"/>
          <w:bCs/>
          <w:kern w:val="0"/>
          <w:sz w:val="32"/>
          <w:szCs w:val="32"/>
          <w:highlight w:val="none"/>
        </w:rPr>
        <w:t>二、《收入决算表》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21304"/>
      <w:bookmarkStart w:id="43" w:name="_Toc32434"/>
      <w:r>
        <w:rPr>
          <w:rFonts w:hint="eastAsia" w:ascii="黑体" w:hAnsi="黑体" w:eastAsia="黑体" w:cs="宋体"/>
          <w:bCs/>
          <w:kern w:val="0"/>
          <w:sz w:val="32"/>
          <w:szCs w:val="32"/>
          <w:highlight w:val="none"/>
        </w:rPr>
        <w:t>三、《支出决算表》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28786"/>
      <w:bookmarkStart w:id="45" w:name="_Toc14238"/>
      <w:r>
        <w:rPr>
          <w:rFonts w:hint="eastAsia" w:ascii="黑体" w:hAnsi="黑体" w:eastAsia="黑体" w:cs="宋体"/>
          <w:bCs/>
          <w:kern w:val="0"/>
          <w:sz w:val="32"/>
          <w:szCs w:val="32"/>
          <w:highlight w:val="none"/>
        </w:rPr>
        <w:t>四、《财政拨款收入支出决算总表》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14869"/>
      <w:bookmarkStart w:id="47" w:name="_Toc10347"/>
      <w:r>
        <w:rPr>
          <w:rFonts w:hint="eastAsia" w:ascii="黑体" w:hAnsi="黑体" w:eastAsia="黑体" w:cs="宋体"/>
          <w:bCs/>
          <w:kern w:val="0"/>
          <w:sz w:val="32"/>
          <w:szCs w:val="32"/>
          <w:highlight w:val="none"/>
        </w:rPr>
        <w:t>五、《一般公共预算财政拨款支出决算表》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8" w:name="_Toc5626"/>
      <w:bookmarkStart w:id="49" w:name="_Toc8884"/>
      <w:r>
        <w:rPr>
          <w:rFonts w:hint="eastAsia" w:ascii="黑体" w:hAnsi="黑体" w:eastAsia="黑体" w:cs="宋体"/>
          <w:bCs/>
          <w:kern w:val="0"/>
          <w:sz w:val="32"/>
          <w:szCs w:val="32"/>
          <w:highlight w:val="none"/>
        </w:rPr>
        <w:t>六、《一般公共预算财政拨款基本支出决算表》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32663"/>
      <w:bookmarkStart w:id="51" w:name="_Toc29106"/>
      <w:r>
        <w:rPr>
          <w:rFonts w:hint="eastAsia" w:ascii="黑体" w:hAnsi="黑体" w:eastAsia="黑体" w:cs="宋体"/>
          <w:bCs/>
          <w:kern w:val="0"/>
          <w:sz w:val="32"/>
          <w:szCs w:val="32"/>
          <w:highlight w:val="none"/>
        </w:rPr>
        <w:t>《财政拨款“三公”经费支出决算表》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2" w:name="_Toc7643"/>
      <w:bookmarkStart w:id="53" w:name="_Toc5453"/>
      <w:r>
        <w:rPr>
          <w:rFonts w:hint="eastAsia" w:ascii="黑体" w:hAnsi="黑体" w:eastAsia="黑体" w:cs="宋体"/>
          <w:bCs/>
          <w:kern w:val="0"/>
          <w:sz w:val="32"/>
          <w:szCs w:val="32"/>
          <w:highlight w:val="none"/>
        </w:rPr>
        <w:t>八、《政府性基金预算财政拨款收入支出决算表》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F1B354-5638-4E69-9B3F-4A7D8E010A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03433E60-2568-43D8-9DC0-CCD8D7AC8352}"/>
  </w:font>
  <w:font w:name="仿宋_GB2312">
    <w:panose1 w:val="02010609030101010101"/>
    <w:charset w:val="86"/>
    <w:family w:val="modern"/>
    <w:pitch w:val="default"/>
    <w:sig w:usb0="00000001" w:usb1="080E0000" w:usb2="00000000" w:usb3="00000000" w:csb0="00040000" w:csb1="00000000"/>
    <w:embedRegular r:id="rId3" w:fontKey="{8537B0D2-9194-4211-A09A-878ABDAC833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NjEzNjE0ZTlhYzdkNWYzMTk3MGNlZGYyNjFlNjIifQ=="/>
  </w:docVars>
  <w:rsids>
    <w:rsidRoot w:val="00000000"/>
    <w:rsid w:val="005F481F"/>
    <w:rsid w:val="00920750"/>
    <w:rsid w:val="00BC57CD"/>
    <w:rsid w:val="011E1FE4"/>
    <w:rsid w:val="01284C10"/>
    <w:rsid w:val="01655E65"/>
    <w:rsid w:val="01AD5116"/>
    <w:rsid w:val="01F01BD2"/>
    <w:rsid w:val="025B2DC4"/>
    <w:rsid w:val="02EF1E8A"/>
    <w:rsid w:val="02F73D26"/>
    <w:rsid w:val="032C4E8C"/>
    <w:rsid w:val="03351867"/>
    <w:rsid w:val="034D4FEF"/>
    <w:rsid w:val="03630182"/>
    <w:rsid w:val="0397607D"/>
    <w:rsid w:val="03A10CAA"/>
    <w:rsid w:val="03E72B61"/>
    <w:rsid w:val="043E5B56"/>
    <w:rsid w:val="04610B65"/>
    <w:rsid w:val="04910D1F"/>
    <w:rsid w:val="04C9495C"/>
    <w:rsid w:val="04E84DE3"/>
    <w:rsid w:val="051F457C"/>
    <w:rsid w:val="054162A1"/>
    <w:rsid w:val="057E74F5"/>
    <w:rsid w:val="05883ED0"/>
    <w:rsid w:val="05BC001D"/>
    <w:rsid w:val="05CC12E2"/>
    <w:rsid w:val="05F70CBE"/>
    <w:rsid w:val="060B6FA9"/>
    <w:rsid w:val="06277B8D"/>
    <w:rsid w:val="063B53E6"/>
    <w:rsid w:val="065A1D10"/>
    <w:rsid w:val="06792773"/>
    <w:rsid w:val="06D05B2E"/>
    <w:rsid w:val="07320597"/>
    <w:rsid w:val="07554285"/>
    <w:rsid w:val="079A3FD8"/>
    <w:rsid w:val="07B92A66"/>
    <w:rsid w:val="08514A4D"/>
    <w:rsid w:val="09385C0D"/>
    <w:rsid w:val="09A95107"/>
    <w:rsid w:val="0A4E393A"/>
    <w:rsid w:val="0A6767AA"/>
    <w:rsid w:val="0A7B4867"/>
    <w:rsid w:val="0ADB7197"/>
    <w:rsid w:val="0B7F5D75"/>
    <w:rsid w:val="0B8C3ECC"/>
    <w:rsid w:val="0BB772BD"/>
    <w:rsid w:val="0C20422F"/>
    <w:rsid w:val="0C7227A7"/>
    <w:rsid w:val="0D576FA9"/>
    <w:rsid w:val="0DED16BC"/>
    <w:rsid w:val="0E4B68E1"/>
    <w:rsid w:val="0E8A515C"/>
    <w:rsid w:val="0F1A479E"/>
    <w:rsid w:val="0F227143"/>
    <w:rsid w:val="0FFF56D6"/>
    <w:rsid w:val="100915F3"/>
    <w:rsid w:val="1017657C"/>
    <w:rsid w:val="10840D71"/>
    <w:rsid w:val="10C61D50"/>
    <w:rsid w:val="10E70644"/>
    <w:rsid w:val="10EA1EE2"/>
    <w:rsid w:val="11987B90"/>
    <w:rsid w:val="11BA18B5"/>
    <w:rsid w:val="11D706B9"/>
    <w:rsid w:val="12301B77"/>
    <w:rsid w:val="12850115"/>
    <w:rsid w:val="12922832"/>
    <w:rsid w:val="12F42BA4"/>
    <w:rsid w:val="130A686C"/>
    <w:rsid w:val="132C0590"/>
    <w:rsid w:val="13620456"/>
    <w:rsid w:val="13A26AA4"/>
    <w:rsid w:val="13FD017F"/>
    <w:rsid w:val="14902DA1"/>
    <w:rsid w:val="14A16D5C"/>
    <w:rsid w:val="14AA3E63"/>
    <w:rsid w:val="14C173FE"/>
    <w:rsid w:val="1537146E"/>
    <w:rsid w:val="15622938"/>
    <w:rsid w:val="15AB60E4"/>
    <w:rsid w:val="15B11221"/>
    <w:rsid w:val="161517B0"/>
    <w:rsid w:val="161701F4"/>
    <w:rsid w:val="161C2B3E"/>
    <w:rsid w:val="165F0C7D"/>
    <w:rsid w:val="1675224E"/>
    <w:rsid w:val="16D276A1"/>
    <w:rsid w:val="17127A9D"/>
    <w:rsid w:val="183F48C2"/>
    <w:rsid w:val="18E15979"/>
    <w:rsid w:val="19946E8F"/>
    <w:rsid w:val="1A5A3C35"/>
    <w:rsid w:val="1AE300CE"/>
    <w:rsid w:val="1B5B120E"/>
    <w:rsid w:val="1B860A5A"/>
    <w:rsid w:val="1BB630ED"/>
    <w:rsid w:val="1BD712B5"/>
    <w:rsid w:val="1BDD4EB1"/>
    <w:rsid w:val="1BE91714"/>
    <w:rsid w:val="1C5A616E"/>
    <w:rsid w:val="1C6B037B"/>
    <w:rsid w:val="1CCB6903"/>
    <w:rsid w:val="1DAF458D"/>
    <w:rsid w:val="1E206F43"/>
    <w:rsid w:val="1F254897"/>
    <w:rsid w:val="1FC63F44"/>
    <w:rsid w:val="20077DF1"/>
    <w:rsid w:val="2043516B"/>
    <w:rsid w:val="20895274"/>
    <w:rsid w:val="20992FDD"/>
    <w:rsid w:val="20B61DE1"/>
    <w:rsid w:val="20DD6197"/>
    <w:rsid w:val="21050673"/>
    <w:rsid w:val="210C7C53"/>
    <w:rsid w:val="210E5779"/>
    <w:rsid w:val="21D62776"/>
    <w:rsid w:val="22431452"/>
    <w:rsid w:val="225B2C40"/>
    <w:rsid w:val="22600256"/>
    <w:rsid w:val="227E06DD"/>
    <w:rsid w:val="2318643B"/>
    <w:rsid w:val="23241284"/>
    <w:rsid w:val="23BC04D2"/>
    <w:rsid w:val="23D74548"/>
    <w:rsid w:val="24084702"/>
    <w:rsid w:val="24194B61"/>
    <w:rsid w:val="2423153B"/>
    <w:rsid w:val="24455956"/>
    <w:rsid w:val="24F9229C"/>
    <w:rsid w:val="25203CCD"/>
    <w:rsid w:val="25BD32CA"/>
    <w:rsid w:val="25EE7927"/>
    <w:rsid w:val="262D044F"/>
    <w:rsid w:val="26357304"/>
    <w:rsid w:val="2665408D"/>
    <w:rsid w:val="26BC7A25"/>
    <w:rsid w:val="278272DA"/>
    <w:rsid w:val="27C923FA"/>
    <w:rsid w:val="27CF2642"/>
    <w:rsid w:val="27E86D24"/>
    <w:rsid w:val="28620159"/>
    <w:rsid w:val="287702CA"/>
    <w:rsid w:val="289447B6"/>
    <w:rsid w:val="28D76D98"/>
    <w:rsid w:val="295108F9"/>
    <w:rsid w:val="296248B4"/>
    <w:rsid w:val="29BD1AEA"/>
    <w:rsid w:val="29C94933"/>
    <w:rsid w:val="2A053397"/>
    <w:rsid w:val="2A5C57A7"/>
    <w:rsid w:val="2AD25A69"/>
    <w:rsid w:val="2AD757E4"/>
    <w:rsid w:val="2AE726E9"/>
    <w:rsid w:val="2B606BD1"/>
    <w:rsid w:val="2BE912BD"/>
    <w:rsid w:val="2C610E53"/>
    <w:rsid w:val="2CC969F8"/>
    <w:rsid w:val="2CD47877"/>
    <w:rsid w:val="2CE35D0C"/>
    <w:rsid w:val="2D0D2D89"/>
    <w:rsid w:val="2D1136DF"/>
    <w:rsid w:val="2D266D2E"/>
    <w:rsid w:val="2D4C6CDF"/>
    <w:rsid w:val="2DB807CB"/>
    <w:rsid w:val="2DEA131C"/>
    <w:rsid w:val="2DFB7085"/>
    <w:rsid w:val="2E4427DA"/>
    <w:rsid w:val="2EDE7A8D"/>
    <w:rsid w:val="2F0401BB"/>
    <w:rsid w:val="2FB27C17"/>
    <w:rsid w:val="2FD27414"/>
    <w:rsid w:val="300C557A"/>
    <w:rsid w:val="305A757E"/>
    <w:rsid w:val="3062163D"/>
    <w:rsid w:val="30707ED2"/>
    <w:rsid w:val="314825E1"/>
    <w:rsid w:val="316A07AA"/>
    <w:rsid w:val="319677F1"/>
    <w:rsid w:val="31C63837"/>
    <w:rsid w:val="31CC4FC0"/>
    <w:rsid w:val="31D16A7B"/>
    <w:rsid w:val="31E829B1"/>
    <w:rsid w:val="326B2D88"/>
    <w:rsid w:val="337551E4"/>
    <w:rsid w:val="33995376"/>
    <w:rsid w:val="341D7D55"/>
    <w:rsid w:val="346239BA"/>
    <w:rsid w:val="3489363D"/>
    <w:rsid w:val="34BF0E0C"/>
    <w:rsid w:val="34CE2DFE"/>
    <w:rsid w:val="353B7567"/>
    <w:rsid w:val="354E03E2"/>
    <w:rsid w:val="35831E3A"/>
    <w:rsid w:val="35F170FF"/>
    <w:rsid w:val="360B0081"/>
    <w:rsid w:val="36121410"/>
    <w:rsid w:val="3659703F"/>
    <w:rsid w:val="36BE6EA2"/>
    <w:rsid w:val="36EE3C2B"/>
    <w:rsid w:val="38B13162"/>
    <w:rsid w:val="38F66DC7"/>
    <w:rsid w:val="39100BF0"/>
    <w:rsid w:val="3914510A"/>
    <w:rsid w:val="39355B41"/>
    <w:rsid w:val="39A6259B"/>
    <w:rsid w:val="39CD7B28"/>
    <w:rsid w:val="39D8471E"/>
    <w:rsid w:val="39F00C47"/>
    <w:rsid w:val="3A916136"/>
    <w:rsid w:val="3A9B27AA"/>
    <w:rsid w:val="3B762441"/>
    <w:rsid w:val="3B822B94"/>
    <w:rsid w:val="3BDA2466"/>
    <w:rsid w:val="3C776471"/>
    <w:rsid w:val="3CC82828"/>
    <w:rsid w:val="3D023F8C"/>
    <w:rsid w:val="3D1617E6"/>
    <w:rsid w:val="3D5275AC"/>
    <w:rsid w:val="3E1A3557"/>
    <w:rsid w:val="3E7F094E"/>
    <w:rsid w:val="3EED47C8"/>
    <w:rsid w:val="3F163D1F"/>
    <w:rsid w:val="3F9B06C8"/>
    <w:rsid w:val="403703F1"/>
    <w:rsid w:val="40834692"/>
    <w:rsid w:val="413F7884"/>
    <w:rsid w:val="41831414"/>
    <w:rsid w:val="430465F4"/>
    <w:rsid w:val="437D60BD"/>
    <w:rsid w:val="43990F7E"/>
    <w:rsid w:val="43AA712C"/>
    <w:rsid w:val="43DD305D"/>
    <w:rsid w:val="442E1B0B"/>
    <w:rsid w:val="444C01E3"/>
    <w:rsid w:val="445D5F4C"/>
    <w:rsid w:val="44E4041B"/>
    <w:rsid w:val="45101210"/>
    <w:rsid w:val="45D67D64"/>
    <w:rsid w:val="46845A12"/>
    <w:rsid w:val="46890656"/>
    <w:rsid w:val="46901EEE"/>
    <w:rsid w:val="469C74D2"/>
    <w:rsid w:val="47C84024"/>
    <w:rsid w:val="48531B40"/>
    <w:rsid w:val="49180694"/>
    <w:rsid w:val="495A6EFE"/>
    <w:rsid w:val="495F4514"/>
    <w:rsid w:val="4A3D4856"/>
    <w:rsid w:val="4A563B69"/>
    <w:rsid w:val="4AB32A0E"/>
    <w:rsid w:val="4B3B0B23"/>
    <w:rsid w:val="4B4C0111"/>
    <w:rsid w:val="4C013661"/>
    <w:rsid w:val="4C575977"/>
    <w:rsid w:val="4C83676C"/>
    <w:rsid w:val="4C8D1398"/>
    <w:rsid w:val="4CB15087"/>
    <w:rsid w:val="4CE511D4"/>
    <w:rsid w:val="4CEC4311"/>
    <w:rsid w:val="4E4837C9"/>
    <w:rsid w:val="4EF43951"/>
    <w:rsid w:val="4F4E4E0F"/>
    <w:rsid w:val="4F7800DE"/>
    <w:rsid w:val="4FA2515B"/>
    <w:rsid w:val="502B6EFE"/>
    <w:rsid w:val="503E7FF5"/>
    <w:rsid w:val="50A64757"/>
    <w:rsid w:val="50B60EBE"/>
    <w:rsid w:val="50BD020E"/>
    <w:rsid w:val="50DB5F45"/>
    <w:rsid w:val="513B7615"/>
    <w:rsid w:val="516E3547"/>
    <w:rsid w:val="51F15F26"/>
    <w:rsid w:val="521F2A93"/>
    <w:rsid w:val="525A1D1D"/>
    <w:rsid w:val="52F92565"/>
    <w:rsid w:val="52F932E4"/>
    <w:rsid w:val="53220A8C"/>
    <w:rsid w:val="537D2167"/>
    <w:rsid w:val="543A1E06"/>
    <w:rsid w:val="549239F0"/>
    <w:rsid w:val="54B020C8"/>
    <w:rsid w:val="55222FC6"/>
    <w:rsid w:val="55B87486"/>
    <w:rsid w:val="55BE30DF"/>
    <w:rsid w:val="569E667C"/>
    <w:rsid w:val="56D93B58"/>
    <w:rsid w:val="574A05B2"/>
    <w:rsid w:val="576378C6"/>
    <w:rsid w:val="57DF0BFB"/>
    <w:rsid w:val="57F65106"/>
    <w:rsid w:val="57FF2230"/>
    <w:rsid w:val="58006EC2"/>
    <w:rsid w:val="582E57DE"/>
    <w:rsid w:val="583059FA"/>
    <w:rsid w:val="58906498"/>
    <w:rsid w:val="58D97E3F"/>
    <w:rsid w:val="59351B79"/>
    <w:rsid w:val="594F0101"/>
    <w:rsid w:val="595C281E"/>
    <w:rsid w:val="59914276"/>
    <w:rsid w:val="59DB7BE7"/>
    <w:rsid w:val="5A0236F9"/>
    <w:rsid w:val="5A1B4488"/>
    <w:rsid w:val="5ADA1C4D"/>
    <w:rsid w:val="5AFA5E4B"/>
    <w:rsid w:val="5B12588A"/>
    <w:rsid w:val="5B2864B2"/>
    <w:rsid w:val="5BF46D3E"/>
    <w:rsid w:val="5D543F38"/>
    <w:rsid w:val="5DBE7604"/>
    <w:rsid w:val="5E21774A"/>
    <w:rsid w:val="5E927E2E"/>
    <w:rsid w:val="5F3062DF"/>
    <w:rsid w:val="5F6B5569"/>
    <w:rsid w:val="5FA17648"/>
    <w:rsid w:val="604162CA"/>
    <w:rsid w:val="608508AD"/>
    <w:rsid w:val="60A57C4F"/>
    <w:rsid w:val="60EC0F48"/>
    <w:rsid w:val="60F65306"/>
    <w:rsid w:val="615C160D"/>
    <w:rsid w:val="61734BA9"/>
    <w:rsid w:val="61A46A97"/>
    <w:rsid w:val="626A1B08"/>
    <w:rsid w:val="627B5AC3"/>
    <w:rsid w:val="62DD7D21"/>
    <w:rsid w:val="63676048"/>
    <w:rsid w:val="636E5628"/>
    <w:rsid w:val="63D47B81"/>
    <w:rsid w:val="63E36016"/>
    <w:rsid w:val="641461CF"/>
    <w:rsid w:val="643248A8"/>
    <w:rsid w:val="64356146"/>
    <w:rsid w:val="64713622"/>
    <w:rsid w:val="64A01811"/>
    <w:rsid w:val="64B452BD"/>
    <w:rsid w:val="64D15E6F"/>
    <w:rsid w:val="652341F0"/>
    <w:rsid w:val="6535464F"/>
    <w:rsid w:val="65901886"/>
    <w:rsid w:val="65D97752"/>
    <w:rsid w:val="66154481"/>
    <w:rsid w:val="66A6332B"/>
    <w:rsid w:val="67955879"/>
    <w:rsid w:val="67DA14DE"/>
    <w:rsid w:val="67E660D5"/>
    <w:rsid w:val="6804655B"/>
    <w:rsid w:val="68570D81"/>
    <w:rsid w:val="68660FC4"/>
    <w:rsid w:val="68677C8E"/>
    <w:rsid w:val="686A0AB4"/>
    <w:rsid w:val="68896A60"/>
    <w:rsid w:val="68B136ED"/>
    <w:rsid w:val="68B27D65"/>
    <w:rsid w:val="68D128E1"/>
    <w:rsid w:val="68DB0208"/>
    <w:rsid w:val="691B3B5C"/>
    <w:rsid w:val="695D23C7"/>
    <w:rsid w:val="69AD798C"/>
    <w:rsid w:val="6A334ED5"/>
    <w:rsid w:val="6A7E25F5"/>
    <w:rsid w:val="6AD77F57"/>
    <w:rsid w:val="6B3B2294"/>
    <w:rsid w:val="6B68175F"/>
    <w:rsid w:val="6B6A38CC"/>
    <w:rsid w:val="6C5106BA"/>
    <w:rsid w:val="6C635F46"/>
    <w:rsid w:val="6C88775B"/>
    <w:rsid w:val="6CF90658"/>
    <w:rsid w:val="6D0B038C"/>
    <w:rsid w:val="6DCF3167"/>
    <w:rsid w:val="6DFA6436"/>
    <w:rsid w:val="6E070CA7"/>
    <w:rsid w:val="6E0F7A08"/>
    <w:rsid w:val="6EA36ACE"/>
    <w:rsid w:val="6F9B59F7"/>
    <w:rsid w:val="6FA04DBB"/>
    <w:rsid w:val="6FF45107"/>
    <w:rsid w:val="70096E04"/>
    <w:rsid w:val="705A140E"/>
    <w:rsid w:val="706E310B"/>
    <w:rsid w:val="708B7819"/>
    <w:rsid w:val="70C42D2B"/>
    <w:rsid w:val="70E3144C"/>
    <w:rsid w:val="71473612"/>
    <w:rsid w:val="718F7F65"/>
    <w:rsid w:val="71B675A7"/>
    <w:rsid w:val="71D23226"/>
    <w:rsid w:val="720535FB"/>
    <w:rsid w:val="72DA05E4"/>
    <w:rsid w:val="72F21DD2"/>
    <w:rsid w:val="72FF629D"/>
    <w:rsid w:val="734E0622"/>
    <w:rsid w:val="739509AF"/>
    <w:rsid w:val="73B9469D"/>
    <w:rsid w:val="73DC213A"/>
    <w:rsid w:val="73FB6630"/>
    <w:rsid w:val="7416389E"/>
    <w:rsid w:val="74185868"/>
    <w:rsid w:val="742E508B"/>
    <w:rsid w:val="74BF5CE3"/>
    <w:rsid w:val="74E76DCD"/>
    <w:rsid w:val="7521074C"/>
    <w:rsid w:val="753F6E24"/>
    <w:rsid w:val="75475CD9"/>
    <w:rsid w:val="755A3C5E"/>
    <w:rsid w:val="75B01AD0"/>
    <w:rsid w:val="75D67789"/>
    <w:rsid w:val="76455D4E"/>
    <w:rsid w:val="764741E2"/>
    <w:rsid w:val="768E4AA4"/>
    <w:rsid w:val="76D31F1A"/>
    <w:rsid w:val="76FD6F97"/>
    <w:rsid w:val="775748F9"/>
    <w:rsid w:val="77707769"/>
    <w:rsid w:val="779A47E6"/>
    <w:rsid w:val="77CF26E1"/>
    <w:rsid w:val="77ED6F44"/>
    <w:rsid w:val="791B3704"/>
    <w:rsid w:val="794E7636"/>
    <w:rsid w:val="796B3BDD"/>
    <w:rsid w:val="79A436FA"/>
    <w:rsid w:val="79F006ED"/>
    <w:rsid w:val="79F449F1"/>
    <w:rsid w:val="7A1F7224"/>
    <w:rsid w:val="7AAA2F92"/>
    <w:rsid w:val="7AAA6F7F"/>
    <w:rsid w:val="7B02692A"/>
    <w:rsid w:val="7B226FCC"/>
    <w:rsid w:val="7B5B428C"/>
    <w:rsid w:val="7BD36518"/>
    <w:rsid w:val="7C3410C6"/>
    <w:rsid w:val="7C773BB2"/>
    <w:rsid w:val="7CC06A9D"/>
    <w:rsid w:val="7CEC7892"/>
    <w:rsid w:val="7CFD1A9F"/>
    <w:rsid w:val="7D31394D"/>
    <w:rsid w:val="7E6873EC"/>
    <w:rsid w:val="7E6B6EDC"/>
    <w:rsid w:val="7F587460"/>
    <w:rsid w:val="7FAE52D2"/>
    <w:rsid w:val="7FC701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qFormat/>
    <w:uiPriority w:val="0"/>
    <w:pPr>
      <w:spacing w:after="120" w:afterAutospacing="0"/>
    </w:pPr>
  </w:style>
  <w:style w:type="paragraph" w:styleId="4">
    <w:name w:val="toc 3"/>
    <w:basedOn w:val="1"/>
    <w:next w:val="1"/>
    <w:autoRedefine/>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toc 2"/>
    <w:basedOn w:val="1"/>
    <w:next w:val="1"/>
    <w:qFormat/>
    <w:uiPriority w:val="0"/>
    <w:pPr>
      <w:ind w:left="420" w:leftChars="200"/>
    </w:pPr>
  </w:style>
  <w:style w:type="character" w:styleId="11">
    <w:name w:val="Strong"/>
    <w:basedOn w:val="10"/>
    <w:qFormat/>
    <w:uiPriority w:val="0"/>
    <w:rPr>
      <w:b/>
      <w:bCs/>
    </w:rPr>
  </w:style>
  <w:style w:type="paragraph" w:customStyle="1" w:styleId="12">
    <w:name w:val="WPSOffice手动目录 3"/>
    <w:autoRedefine/>
    <w:qFormat/>
    <w:uiPriority w:val="0"/>
    <w:pPr>
      <w:ind w:leftChars="400"/>
    </w:pPr>
    <w:rPr>
      <w:rFonts w:ascii="Times New Roman" w:hAnsi="Times New Roman" w:eastAsia="宋体" w:cs="Times New Roman"/>
      <w:sz w:val="20"/>
      <w:szCs w:val="20"/>
    </w:rPr>
  </w:style>
  <w:style w:type="paragraph" w:customStyle="1" w:styleId="13">
    <w:name w:val="WPSOffice手动目录 2"/>
    <w:autoRedefine/>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5909</Words>
  <Characters>6491</Characters>
  <Lines>0</Lines>
  <Paragraphs>0</Paragraphs>
  <TotalTime>2</TotalTime>
  <ScaleCrop>false</ScaleCrop>
  <LinksUpToDate>false</LinksUpToDate>
  <CharactersWithSpaces>6511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卡师夫</cp:lastModifiedBy>
  <dcterms:modified xsi:type="dcterms:W3CDTF">2024-02-19T08:45:37Z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8F1ADCC899BB49F1AFFF4F1BD7462525_13</vt:lpwstr>
  </property>
</Properties>
</file>