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中国人民政治协商会议新疆乌鲁木齐市</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水磨沟区委员会办公室2022年</w:t>
      </w:r>
      <w:r>
        <w:rPr>
          <w:rFonts w:hint="eastAsia" w:ascii="方正小标宋_GBK" w:hAnsi="宋体" w:eastAsia="方正小标宋_GBK"/>
          <w:sz w:val="44"/>
          <w:szCs w:val="44"/>
          <w:highlight w:val="none"/>
        </w:rPr>
        <w:t>度</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9"/>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b/>
          <w:bCs/>
          <w:sz w:val="32"/>
          <w:szCs w:val="32"/>
          <w:highlight w:val="none"/>
        </w:rPr>
      </w:pPr>
      <w:r>
        <w:rPr>
          <w:rFonts w:hint="eastAsia" w:ascii="仿宋_GB2312" w:eastAsia="仿宋_GB2312"/>
          <w:sz w:val="32"/>
          <w:szCs w:val="32"/>
          <w:highlight w:val="none"/>
        </w:rPr>
        <w:br w:type="page"/>
      </w:r>
      <w:bookmarkStart w:id="0" w:name="_Toc3671"/>
      <w:bookmarkStart w:id="1" w:name="_Toc24028"/>
      <w:bookmarkStart w:id="2" w:name="_Toc6835"/>
      <w:r>
        <w:rPr>
          <w:rFonts w:hint="eastAsia" w:ascii="黑体" w:hAnsi="黑体" w:eastAsia="黑体"/>
          <w:b w:val="0"/>
          <w:bCs w:val="0"/>
          <w:sz w:val="32"/>
          <w:szCs w:val="32"/>
          <w:highlight w:val="none"/>
        </w:rPr>
        <w:t>第一部分 单位概况</w:t>
      </w:r>
      <w:bookmarkEnd w:id="0"/>
      <w:bookmarkEnd w:id="1"/>
      <w:bookmarkEnd w:id="2"/>
    </w:p>
    <w:p>
      <w:pPr>
        <w:keepNext w:val="0"/>
        <w:keepLines w:val="0"/>
        <w:pageBreakBefore w:val="0"/>
        <w:widowControl w:val="0"/>
        <w:kinsoku/>
        <w:wordWrap/>
        <w:overflowPunct/>
        <w:topLinePunct w:val="0"/>
        <w:bidi w:val="0"/>
        <w:adjustRightInd/>
        <w:snapToGrid/>
        <w:spacing w:line="240" w:lineRule="auto"/>
        <w:ind w:firstLine="643" w:firstLineChars="200"/>
        <w:jc w:val="both"/>
        <w:textAlignment w:val="auto"/>
        <w:rPr>
          <w:rFonts w:hint="eastAsia" w:ascii="仿宋_GB2312" w:eastAsia="仿宋_GB2312"/>
          <w:b/>
          <w:bCs/>
          <w:spacing w:val="0"/>
          <w:sz w:val="32"/>
          <w:szCs w:val="32"/>
          <w:highlight w:val="none"/>
          <w:lang w:eastAsia="zh-CN"/>
        </w:rPr>
      </w:pPr>
      <w:bookmarkStart w:id="3" w:name="_Toc30738"/>
      <w:bookmarkStart w:id="4" w:name="_Toc521"/>
      <w:bookmarkStart w:id="5" w:name="_Toc15274"/>
      <w:bookmarkStart w:id="6" w:name="_Toc3092"/>
      <w:r>
        <w:rPr>
          <w:rFonts w:hint="eastAsia" w:ascii="仿宋_GB2312" w:eastAsia="仿宋_GB2312"/>
          <w:b/>
          <w:bCs/>
          <w:spacing w:val="0"/>
          <w:sz w:val="32"/>
          <w:szCs w:val="32"/>
          <w:highlight w:val="none"/>
          <w:lang w:eastAsia="zh-CN"/>
        </w:rPr>
        <w:t>一、主要职能</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bookmarkStart w:id="7" w:name="_Toc31238"/>
      <w:bookmarkStart w:id="8" w:name="_Toc8561"/>
      <w:bookmarkStart w:id="9" w:name="_Toc24146"/>
      <w:r>
        <w:rPr>
          <w:rFonts w:hint="eastAsia" w:ascii="仿宋_GB2312" w:hAnsi="仿宋" w:eastAsia="仿宋_GB2312"/>
          <w:sz w:val="32"/>
          <w:szCs w:val="32"/>
        </w:rPr>
        <w:t>（</w:t>
      </w:r>
      <w:r>
        <w:rPr>
          <w:rFonts w:hint="eastAsia" w:ascii="仿宋_GB2312" w:eastAsia="仿宋_GB2312"/>
          <w:spacing w:val="0"/>
          <w:sz w:val="32"/>
          <w:szCs w:val="32"/>
          <w:highlight w:val="none"/>
          <w:lang w:eastAsia="zh-CN"/>
        </w:rPr>
        <w:t>一）负责区政协党组会议、全体会议、常务委员会会议，主席会议、专委会议以及以区政协名义召开的各种会议的会务工作；负责区政协重大活动的计划、组织工作。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（二）负责组织实施区政协委员会全体会议、常务委员会会议、主席会议的决议和决定。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（三）负责区政协机关文件、文稿的起草、修改、校核、印发和日常文书处理工作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（四）负责与上级政协和区委、区人大、区政府办公室的联系，负责与各民主党派、工商联、工青妇等有关单位的联系。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（五）负责区政协的年度工作计划、工作方案、相关会议材料、领导的讲话和有关文件的起草，以及材料的上报下发。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（六）负责委员视察、考察、座谈、研讨、调研、学习等活动的计划、组织和服务工作。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（七）负责区政协委员的服务和来信来访工作。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（八）负责区政协各专门委员会开展活动的协调和服务工作。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（九）负责区政协的档案、资料、信访、安全、保密、接待、精神文明创建、财务财产及人员、车辆管理等工作。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（十）负责反映督办委员社情民意信息工作。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（十一）负责区政协委员履职形成的调研、视察报告和提案的修改、报送、督办工作。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（十二）负责区政协日常的事务性工作。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（十三）完成区委交办的其他任务。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二、机构设置及</w:t>
      </w:r>
      <w:bookmarkEnd w:id="7"/>
      <w:r>
        <w:rPr>
          <w:rFonts w:hint="eastAsia" w:ascii="仿宋_GB2312" w:eastAsia="仿宋_GB2312"/>
          <w:spacing w:val="0"/>
          <w:sz w:val="32"/>
          <w:szCs w:val="32"/>
          <w:highlight w:val="none"/>
          <w:lang w:eastAsia="zh-CN"/>
        </w:rPr>
        <w:t>人员情况</w:t>
      </w:r>
      <w:bookmarkEnd w:id="8"/>
      <w:bookmarkEnd w:id="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中国人民政治协商会议新疆乌鲁木齐市水磨沟区委员会办公室2022年度，实有人数10人，其中：在职人员10人，离休人员0人，退休人员0人。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从部门决算单位构成看，中国人民政治协商会议新疆乌鲁木齐市水磨沟区委员会办公室部门决算包括：中国人民政治协商会议新疆乌鲁木齐市水磨沟区委员会办公室决算。单位无下属预算单位，下设</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个处室，分别是：</w:t>
      </w:r>
      <w:r>
        <w:rPr>
          <w:rFonts w:hint="eastAsia" w:ascii="仿宋_GB2312" w:eastAsia="仿宋_GB2312"/>
          <w:spacing w:val="0"/>
          <w:sz w:val="32"/>
          <w:szCs w:val="32"/>
          <w:highlight w:val="none"/>
          <w:lang w:val="en-US" w:eastAsia="zh-CN"/>
        </w:rPr>
        <w:t>政协办公室</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bookmarkStart w:id="10" w:name="_Toc6991"/>
      <w:bookmarkStart w:id="11" w:name="_Toc23946"/>
      <w:r>
        <w:rPr>
          <w:rFonts w:hint="eastAsia" w:ascii="黑体" w:hAnsi="黑体" w:eastAsia="黑体"/>
          <w:sz w:val="32"/>
          <w:szCs w:val="32"/>
          <w:highlight w:val="none"/>
        </w:rPr>
        <w:t>第二部分 部门决算情况说明</w:t>
      </w:r>
      <w:bookmarkEnd w:id="6"/>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2" w:name="_Toc12566"/>
      <w:bookmarkStart w:id="13" w:name="_Toc18175"/>
      <w:bookmarkStart w:id="14" w:name="_Toc19108"/>
      <w:r>
        <w:rPr>
          <w:rFonts w:hint="eastAsia"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225.35万元，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214.46万元，使用非财政拨款结余</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万元，年初结转和结余10.89万元。</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与上年相比，减少91.06万元，下降28.78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，主要原因是：换届选举经费减少，临聘人员经费减少，雇员经费减少。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本年支出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225.35万元，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211.47万元，</w:t>
      </w:r>
      <w:r>
        <w:rPr>
          <w:rFonts w:hint="eastAsia" w:ascii="仿宋_GB2312" w:eastAsia="仿宋_GB2312"/>
          <w:spacing w:val="0"/>
          <w:sz w:val="32"/>
          <w:szCs w:val="32"/>
          <w:highlight w:val="none"/>
          <w:lang w:val="en-US" w:eastAsia="zh-CN"/>
        </w:rPr>
        <w:t>结余分配0</w:t>
      </w:r>
      <w:r>
        <w:rPr>
          <w:rFonts w:hint="eastAsia" w:ascii="仿宋_GB2312" w:eastAsia="仿宋_GB2312"/>
          <w:spacing w:val="0"/>
          <w:sz w:val="32"/>
          <w:szCs w:val="32"/>
          <w:highlight w:val="none"/>
          <w:lang w:eastAsia="zh-CN"/>
        </w:rPr>
        <w:t>万元，年末结转和结余13.88万元。支出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与上年相比，减少91.06万元，下降28.78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，主要原因是：换届选举经费减少，临聘人员经费减少，雇员经费减少。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5" w:name="_Toc8730"/>
      <w:bookmarkStart w:id="16" w:name="_Toc21353"/>
      <w:bookmarkStart w:id="17"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2022年度本年收入</w:t>
      </w:r>
      <w:r>
        <w:rPr>
          <w:rFonts w:hint="eastAsia" w:ascii="仿宋_GB2312" w:eastAsia="仿宋_GB2312"/>
          <w:spacing w:val="0"/>
          <w:sz w:val="32"/>
          <w:szCs w:val="32"/>
          <w:highlight w:val="none"/>
          <w:lang w:val="en-US" w:eastAsia="zh-CN"/>
        </w:rPr>
        <w:t>214.46</w:t>
      </w:r>
      <w:r>
        <w:rPr>
          <w:rFonts w:hint="eastAsia" w:ascii="仿宋_GB2312" w:eastAsia="仿宋_GB2312"/>
          <w:spacing w:val="0"/>
          <w:sz w:val="32"/>
          <w:szCs w:val="32"/>
          <w:highlight w:val="none"/>
          <w:lang w:eastAsia="zh-CN"/>
        </w:rPr>
        <w:t>万元，其中：财政拨款收入</w:t>
      </w:r>
      <w:r>
        <w:rPr>
          <w:rFonts w:hint="eastAsia" w:ascii="仿宋_GB2312" w:eastAsia="仿宋_GB2312"/>
          <w:spacing w:val="0"/>
          <w:sz w:val="32"/>
          <w:szCs w:val="32"/>
          <w:highlight w:val="none"/>
          <w:lang w:val="en-US" w:eastAsia="zh-CN"/>
        </w:rPr>
        <w:t>214.44</w:t>
      </w:r>
      <w:r>
        <w:rPr>
          <w:rFonts w:hint="eastAsia" w:ascii="仿宋_GB2312" w:eastAsia="仿宋_GB2312"/>
          <w:spacing w:val="0"/>
          <w:sz w:val="32"/>
          <w:szCs w:val="32"/>
          <w:highlight w:val="none"/>
          <w:lang w:eastAsia="zh-CN"/>
        </w:rPr>
        <w:t>万元，占99.99</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；上级补助收入</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；事业收入</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；经营收入</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；附属单位上缴收入</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；其他收入</w:t>
      </w:r>
      <w:r>
        <w:rPr>
          <w:rFonts w:hint="eastAsia" w:ascii="仿宋_GB2312" w:eastAsia="仿宋_GB2312"/>
          <w:spacing w:val="0"/>
          <w:sz w:val="32"/>
          <w:szCs w:val="32"/>
          <w:highlight w:val="none"/>
          <w:lang w:val="en-US" w:eastAsia="zh-CN"/>
        </w:rPr>
        <w:t>0.02</w:t>
      </w:r>
      <w:r>
        <w:rPr>
          <w:rFonts w:hint="eastAsia" w:ascii="仿宋_GB2312" w:eastAsia="仿宋_GB2312"/>
          <w:spacing w:val="0"/>
          <w:sz w:val="32"/>
          <w:szCs w:val="32"/>
          <w:highlight w:val="none"/>
          <w:lang w:eastAsia="zh-CN"/>
        </w:rPr>
        <w:t>万元，占0.01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27961"/>
      <w:bookmarkStart w:id="19" w:name="_Toc6508"/>
      <w:bookmarkStart w:id="20" w:name="_Toc30363"/>
      <w:r>
        <w:rPr>
          <w:rFonts w:hint="eastAsia"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2022年度本年支出</w:t>
      </w:r>
      <w:r>
        <w:rPr>
          <w:rFonts w:hint="eastAsia" w:ascii="仿宋_GB2312" w:eastAsia="仿宋_GB2312"/>
          <w:spacing w:val="0"/>
          <w:sz w:val="32"/>
          <w:szCs w:val="32"/>
          <w:highlight w:val="none"/>
          <w:lang w:val="en-US" w:eastAsia="zh-CN"/>
        </w:rPr>
        <w:t>211.47</w:t>
      </w:r>
      <w:r>
        <w:rPr>
          <w:rFonts w:hint="eastAsia" w:ascii="仿宋_GB2312" w:eastAsia="仿宋_GB2312"/>
          <w:spacing w:val="0"/>
          <w:sz w:val="32"/>
          <w:szCs w:val="32"/>
          <w:highlight w:val="none"/>
          <w:lang w:eastAsia="zh-CN"/>
        </w:rPr>
        <w:t>万元，其中：基本支出</w:t>
      </w:r>
      <w:r>
        <w:rPr>
          <w:rFonts w:hint="eastAsia" w:ascii="仿宋_GB2312" w:eastAsia="仿宋_GB2312"/>
          <w:spacing w:val="0"/>
          <w:sz w:val="32"/>
          <w:szCs w:val="32"/>
          <w:highlight w:val="none"/>
          <w:lang w:val="en-US" w:eastAsia="zh-CN"/>
        </w:rPr>
        <w:t>210.87</w:t>
      </w:r>
      <w:r>
        <w:rPr>
          <w:rFonts w:hint="eastAsia" w:ascii="仿宋_GB2312" w:eastAsia="仿宋_GB2312"/>
          <w:spacing w:val="0"/>
          <w:sz w:val="32"/>
          <w:szCs w:val="32"/>
          <w:highlight w:val="none"/>
          <w:lang w:eastAsia="zh-CN"/>
        </w:rPr>
        <w:t>万元，占99.72</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；项目支出</w:t>
      </w:r>
      <w:r>
        <w:rPr>
          <w:rFonts w:hint="eastAsia" w:ascii="仿宋_GB2312" w:eastAsia="仿宋_GB2312"/>
          <w:spacing w:val="0"/>
          <w:sz w:val="32"/>
          <w:szCs w:val="32"/>
          <w:highlight w:val="none"/>
          <w:lang w:val="en-US" w:eastAsia="zh-CN"/>
        </w:rPr>
        <w:t>0.60</w:t>
      </w:r>
      <w:r>
        <w:rPr>
          <w:rFonts w:hint="eastAsia" w:ascii="仿宋_GB2312" w:eastAsia="仿宋_GB2312"/>
          <w:spacing w:val="0"/>
          <w:sz w:val="32"/>
          <w:szCs w:val="32"/>
          <w:highlight w:val="none"/>
          <w:lang w:eastAsia="zh-CN"/>
        </w:rPr>
        <w:t>万元，占0.28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；上缴上级支出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；经营支出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；对附属单位补助支出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kern w:val="0"/>
          <w:sz w:val="32"/>
          <w:szCs w:val="32"/>
          <w:highlight w:val="none"/>
          <w:lang w:eastAsia="zh-CN"/>
        </w:rPr>
      </w:pPr>
      <w:bookmarkStart w:id="21" w:name="_Toc733"/>
      <w:bookmarkStart w:id="22" w:name="_Toc30865"/>
      <w:bookmarkStart w:id="23" w:name="_Toc439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2022年度财政拨款收入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225.04万元，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eastAsia="zh-CN"/>
        </w:rPr>
        <w:t>10.59万元，</w:t>
      </w:r>
      <w:r>
        <w:rPr>
          <w:rFonts w:hint="eastAsia" w:ascii="仿宋_GB2312" w:eastAsia="仿宋_GB2312"/>
          <w:spacing w:val="0"/>
          <w:sz w:val="32"/>
          <w:szCs w:val="32"/>
          <w:highlight w:val="none"/>
          <w:lang w:val="en-US" w:eastAsia="zh-CN"/>
        </w:rPr>
        <w:t>财政拨款本年收入</w:t>
      </w:r>
      <w:r>
        <w:rPr>
          <w:rFonts w:hint="eastAsia" w:ascii="仿宋_GB2312" w:eastAsia="仿宋_GB2312"/>
          <w:spacing w:val="0"/>
          <w:sz w:val="32"/>
          <w:szCs w:val="32"/>
          <w:highlight w:val="none"/>
          <w:lang w:eastAsia="zh-CN"/>
        </w:rPr>
        <w:t>214.44万元。财政拨款收入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与上年相比，减少87.30万元，下降27.95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，主要原因是：换届选举经费减少，临聘人员经费、雇员经费</w:t>
      </w:r>
      <w:r>
        <w:rPr>
          <w:rFonts w:hint="eastAsia" w:ascii="仿宋_GB2312" w:eastAsia="仿宋_GB2312"/>
          <w:spacing w:val="0"/>
          <w:sz w:val="32"/>
          <w:szCs w:val="32"/>
          <w:highlight w:val="none"/>
          <w:lang w:val="en-US" w:eastAsia="zh-CN"/>
        </w:rPr>
        <w:t>调整到往来款-预拨资金。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225.04万元，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eastAsia="zh-CN"/>
        </w:rPr>
        <w:t>13.57万元，</w:t>
      </w:r>
      <w:r>
        <w:rPr>
          <w:rFonts w:hint="eastAsia" w:ascii="仿宋_GB2312" w:eastAsia="仿宋_GB2312"/>
          <w:spacing w:val="0"/>
          <w:sz w:val="32"/>
          <w:szCs w:val="32"/>
          <w:highlight w:val="none"/>
          <w:lang w:val="en-US" w:eastAsia="zh-CN"/>
        </w:rPr>
        <w:t>财政拨款本年支出</w:t>
      </w:r>
      <w:r>
        <w:rPr>
          <w:rFonts w:hint="eastAsia" w:ascii="仿宋_GB2312" w:eastAsia="仿宋_GB2312"/>
          <w:spacing w:val="0"/>
          <w:sz w:val="32"/>
          <w:szCs w:val="32"/>
          <w:highlight w:val="none"/>
          <w:lang w:eastAsia="zh-CN"/>
        </w:rPr>
        <w:t>211.47万元。财政拨款</w:t>
      </w:r>
      <w:r>
        <w:rPr>
          <w:rFonts w:hint="eastAsia" w:ascii="仿宋_GB2312" w:eastAsia="仿宋_GB2312"/>
          <w:spacing w:val="0"/>
          <w:sz w:val="32"/>
          <w:szCs w:val="32"/>
          <w:highlight w:val="none"/>
          <w:lang w:val="en-US" w:eastAsia="zh-CN"/>
        </w:rPr>
        <w:t>支出总计</w:t>
      </w:r>
      <w:r>
        <w:rPr>
          <w:rFonts w:hint="eastAsia" w:ascii="仿宋_GB2312" w:eastAsia="仿宋_GB2312"/>
          <w:spacing w:val="0"/>
          <w:sz w:val="32"/>
          <w:szCs w:val="32"/>
          <w:highlight w:val="none"/>
          <w:lang w:eastAsia="zh-CN"/>
        </w:rPr>
        <w:t>与上年相比，减少87.30万元，下降27.95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，主要原因是：换届选举经费减少，临聘人员经费、雇员经费</w:t>
      </w:r>
      <w:r>
        <w:rPr>
          <w:rFonts w:hint="eastAsia" w:ascii="仿宋_GB2312" w:eastAsia="仿宋_GB2312"/>
          <w:spacing w:val="0"/>
          <w:sz w:val="32"/>
          <w:szCs w:val="32"/>
          <w:highlight w:val="none"/>
          <w:lang w:val="en-US" w:eastAsia="zh-CN"/>
        </w:rPr>
        <w:t>调整到往来款-预拨资金。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与年初预算数相比情况：财政拨款收入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年初预算数278.68万元，决算数225.04万元，预决算差异率-19.25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，主要原因是：政协事务政协会议政协全委会经费</w:t>
      </w:r>
      <w:r>
        <w:rPr>
          <w:rFonts w:hint="eastAsia" w:ascii="仿宋_GB2312" w:eastAsia="仿宋_GB2312"/>
          <w:spacing w:val="0"/>
          <w:sz w:val="32"/>
          <w:szCs w:val="32"/>
          <w:highlight w:val="none"/>
          <w:lang w:val="en-US" w:eastAsia="zh-CN"/>
        </w:rPr>
        <w:t>无支出，  其他政协事务支出委员日常活动经费支出减少</w:t>
      </w: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年初预算数278.68万元，决算数225.04万元，预决算差异率-19.25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，主要原因是：政协事务政协会议政协全委会经费</w:t>
      </w:r>
      <w:r>
        <w:rPr>
          <w:rFonts w:hint="eastAsia" w:ascii="仿宋_GB2312" w:eastAsia="仿宋_GB2312"/>
          <w:spacing w:val="0"/>
          <w:sz w:val="32"/>
          <w:szCs w:val="32"/>
          <w:highlight w:val="none"/>
          <w:lang w:val="en-US" w:eastAsia="zh-CN"/>
        </w:rPr>
        <w:t>无支出，其他政协事务支出委员日常活动经费支出减少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1969"/>
      <w:bookmarkStart w:id="25" w:name="_Toc13833"/>
      <w:bookmarkStart w:id="26" w:name="_Toc12666"/>
      <w:r>
        <w:rPr>
          <w:rFonts w:hint="eastAsia" w:ascii="黑体" w:hAnsi="黑体" w:eastAsia="黑体" w:cs="宋体"/>
          <w:bCs/>
          <w:kern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7" w:name="_Toc6505"/>
      <w:bookmarkStart w:id="28" w:name="_Toc7106"/>
      <w:r>
        <w:rPr>
          <w:rFonts w:hint="eastAsia" w:ascii="黑体" w:hAnsi="黑体" w:eastAsia="黑体"/>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2022年度一般公共预算财政拨款支出211.47万元，占本年支出合计的</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，与上年相比减少90.27万元，下降29.92</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，主要原因是：换届选举经费减少，临聘人员经费、雇员经费</w:t>
      </w:r>
      <w:r>
        <w:rPr>
          <w:rFonts w:hint="eastAsia" w:ascii="仿宋_GB2312" w:eastAsia="仿宋_GB2312"/>
          <w:spacing w:val="0"/>
          <w:sz w:val="32"/>
          <w:szCs w:val="32"/>
          <w:highlight w:val="none"/>
          <w:lang w:val="en-US" w:eastAsia="zh-CN"/>
        </w:rPr>
        <w:t xml:space="preserve">调整到往来款-预拨资金。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pacing w:val="0"/>
          <w:sz w:val="32"/>
          <w:szCs w:val="32"/>
          <w:highlight w:val="none"/>
          <w:lang w:eastAsia="zh-CN"/>
        </w:rPr>
      </w:pPr>
      <w:bookmarkStart w:id="29" w:name="_Toc18111"/>
      <w:bookmarkStart w:id="30" w:name="_Toc31862"/>
      <w:r>
        <w:rPr>
          <w:rFonts w:hint="eastAsia" w:ascii="黑体" w:hAnsi="黑体" w:eastAsia="黑体" w:cs="黑体"/>
          <w:spacing w:val="0"/>
          <w:sz w:val="32"/>
          <w:szCs w:val="32"/>
          <w:highlight w:val="none"/>
          <w:lang w:eastAsia="zh-CN"/>
        </w:rPr>
        <w:t>（二）一般公共预算</w:t>
      </w:r>
      <w:r>
        <w:rPr>
          <w:rFonts w:hint="eastAsia" w:ascii="黑体" w:hAnsi="黑体" w:eastAsia="黑体" w:cs="黑体"/>
          <w:spacing w:val="0"/>
          <w:sz w:val="32"/>
          <w:szCs w:val="32"/>
          <w:highlight w:val="none"/>
          <w:lang w:val="en-US" w:eastAsia="zh-CN"/>
        </w:rPr>
        <w:t>财政拨款支出决算</w:t>
      </w:r>
      <w:r>
        <w:rPr>
          <w:rFonts w:hint="eastAsia" w:ascii="黑体" w:hAnsi="黑体" w:eastAsia="黑体" w:cs="黑体"/>
          <w:spacing w:val="0"/>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1.一般公共服务支出（类）195.67万元，占92.53</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.社会保障和就业支出（类）15.80万元，占7.47</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1" w:name="_Toc19900"/>
      <w:bookmarkStart w:id="32" w:name="_Toc24627"/>
      <w:r>
        <w:rPr>
          <w:rFonts w:hint="eastAsia" w:ascii="黑体" w:hAnsi="黑体" w:eastAsia="黑体"/>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bookmarkStart w:id="33" w:name="_Toc18202"/>
      <w:bookmarkStart w:id="34" w:name="_Toc11146"/>
      <w:bookmarkStart w:id="35" w:name="_Toc13818"/>
      <w:r>
        <w:rPr>
          <w:rFonts w:hint="eastAsia" w:ascii="仿宋_GB2312" w:eastAsia="仿宋_GB2312"/>
          <w:spacing w:val="0"/>
          <w:sz w:val="32"/>
          <w:szCs w:val="32"/>
          <w:highlight w:val="none"/>
          <w:lang w:eastAsia="zh-CN"/>
        </w:rPr>
        <w:t>1.一般公共服务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val="en-US" w:eastAsia="zh-CN"/>
        </w:rPr>
        <w:t>政协</w:t>
      </w:r>
      <w:r>
        <w:rPr>
          <w:rFonts w:hint="eastAsia" w:ascii="仿宋_GB2312" w:eastAsia="仿宋_GB2312"/>
          <w:spacing w:val="0"/>
          <w:sz w:val="32"/>
          <w:szCs w:val="32"/>
          <w:highlight w:val="none"/>
          <w:lang w:eastAsia="zh-CN"/>
        </w:rPr>
        <w:t>事务（款）行政运行（项）: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为195.1</w:t>
      </w:r>
      <w:r>
        <w:rPr>
          <w:rFonts w:hint="eastAsia" w:ascii="仿宋_GB2312" w:eastAsia="仿宋_GB2312"/>
          <w:spacing w:val="0"/>
          <w:sz w:val="32"/>
          <w:szCs w:val="32"/>
          <w:highlight w:val="none"/>
          <w:lang w:val="en-US" w:eastAsia="zh-CN"/>
        </w:rPr>
        <w:t>7</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减少11.2</w:t>
      </w: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万元，下降5.45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公用经费办公费用支出减少，邮电费用支出减少，差旅费没有支出，公务用车运行维护费支出减少。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val="en-US" w:eastAsia="zh-CN"/>
        </w:rPr>
        <w:t>政协</w:t>
      </w:r>
      <w:r>
        <w:rPr>
          <w:rFonts w:hint="eastAsia" w:ascii="仿宋_GB2312" w:eastAsia="仿宋_GB2312"/>
          <w:spacing w:val="0"/>
          <w:sz w:val="32"/>
          <w:szCs w:val="32"/>
          <w:highlight w:val="none"/>
          <w:lang w:eastAsia="zh-CN"/>
        </w:rPr>
        <w:t>事务（款）政协会议（项）: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减少50.24万元，下降100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，主要原因是：一般公共服务</w:t>
      </w:r>
      <w:r>
        <w:rPr>
          <w:rFonts w:hint="eastAsia" w:ascii="仿宋_GB2312" w:eastAsia="仿宋_GB2312"/>
          <w:spacing w:val="0"/>
          <w:sz w:val="32"/>
          <w:szCs w:val="32"/>
          <w:highlight w:val="none"/>
          <w:lang w:val="en-US" w:eastAsia="zh-CN"/>
        </w:rPr>
        <w:t>政协</w:t>
      </w:r>
      <w:r>
        <w:rPr>
          <w:rFonts w:hint="eastAsia" w:ascii="仿宋_GB2312" w:eastAsia="仿宋_GB2312"/>
          <w:spacing w:val="0"/>
          <w:sz w:val="32"/>
          <w:szCs w:val="32"/>
          <w:highlight w:val="none"/>
          <w:lang w:eastAsia="zh-CN"/>
        </w:rPr>
        <w:t>事务政协会议</w:t>
      </w:r>
      <w:r>
        <w:rPr>
          <w:rFonts w:hint="eastAsia" w:ascii="仿宋_GB2312" w:eastAsia="仿宋_GB2312"/>
          <w:spacing w:val="0"/>
          <w:sz w:val="32"/>
          <w:szCs w:val="32"/>
          <w:highlight w:val="none"/>
          <w:lang w:val="en-US" w:eastAsia="zh-CN"/>
        </w:rPr>
        <w:t>经费没有支出</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3</w:t>
      </w:r>
      <w:r>
        <w:rPr>
          <w:rFonts w:hint="eastAsia"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val="en-US" w:eastAsia="zh-CN"/>
        </w:rPr>
        <w:t>政协</w:t>
      </w:r>
      <w:r>
        <w:rPr>
          <w:rFonts w:hint="eastAsia" w:ascii="仿宋_GB2312" w:eastAsia="仿宋_GB2312"/>
          <w:spacing w:val="0"/>
          <w:sz w:val="32"/>
          <w:szCs w:val="32"/>
          <w:highlight w:val="none"/>
          <w:lang w:eastAsia="zh-CN"/>
        </w:rPr>
        <w:t>事务（款）其他政协事务支出（项）: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为0.51万元，比上年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减少6.76万元，下降</w:t>
      </w:r>
      <w:r>
        <w:rPr>
          <w:rFonts w:hint="eastAsia" w:ascii="仿宋_GB2312" w:eastAsia="仿宋_GB2312"/>
          <w:spacing w:val="0"/>
          <w:sz w:val="32"/>
          <w:szCs w:val="32"/>
          <w:highlight w:val="none"/>
          <w:lang w:val="en-US" w:eastAsia="zh-CN"/>
        </w:rPr>
        <w:t>92.98%</w:t>
      </w:r>
      <w:r>
        <w:rPr>
          <w:rFonts w:hint="eastAsia" w:ascii="仿宋_GB2312" w:eastAsia="仿宋_GB2312"/>
          <w:spacing w:val="0"/>
          <w:sz w:val="32"/>
          <w:szCs w:val="32"/>
          <w:highlight w:val="none"/>
          <w:lang w:eastAsia="zh-CN"/>
        </w:rPr>
        <w:t>，主要原因是：临聘人员经费、雇员经费</w:t>
      </w:r>
      <w:r>
        <w:rPr>
          <w:rFonts w:hint="eastAsia" w:ascii="仿宋_GB2312" w:eastAsia="仿宋_GB2312"/>
          <w:spacing w:val="0"/>
          <w:sz w:val="32"/>
          <w:szCs w:val="32"/>
          <w:highlight w:val="none"/>
          <w:lang w:val="en-US" w:eastAsia="zh-CN"/>
        </w:rPr>
        <w:t>支出调整到往来款-预拨资金。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（类）民族事务（款）其他民族事务支出（项）: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val="en-US" w:eastAsia="zh-CN"/>
        </w:rPr>
        <w:t>0.86</w:t>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，主要原因是：</w:t>
      </w:r>
      <w:r>
        <w:rPr>
          <w:rFonts w:hint="eastAsia" w:ascii="仿宋_GB2312" w:hAnsi="仿宋_GB2312" w:eastAsia="仿宋_GB2312" w:cs="仿宋_GB2312"/>
          <w:kern w:val="0"/>
          <w:sz w:val="32"/>
          <w:szCs w:val="32"/>
          <w:highlight w:val="none"/>
          <w:lang w:val="en-US" w:eastAsia="zh-CN"/>
        </w:rPr>
        <w:t>本年度</w:t>
      </w:r>
      <w:r>
        <w:rPr>
          <w:rFonts w:hint="eastAsia" w:ascii="仿宋_GB2312" w:eastAsia="仿宋_GB2312"/>
          <w:spacing w:val="0"/>
          <w:sz w:val="32"/>
          <w:szCs w:val="32"/>
          <w:highlight w:val="none"/>
          <w:lang w:eastAsia="zh-CN"/>
        </w:rPr>
        <w:t>其他民族事务支出</w:t>
      </w:r>
      <w:r>
        <w:rPr>
          <w:rFonts w:hint="eastAsia" w:ascii="仿宋_GB2312" w:hAnsi="仿宋_GB2312" w:eastAsia="仿宋_GB2312" w:cs="仿宋_GB2312"/>
          <w:kern w:val="0"/>
          <w:sz w:val="32"/>
          <w:szCs w:val="32"/>
          <w:highlight w:val="none"/>
          <w:lang w:val="en-US" w:eastAsia="zh-CN"/>
        </w:rPr>
        <w:t>无此科目支出。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.社会保障和就业支出（类）民政管理事务（款）基层政权建设和社区治理（项）: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为0.09万元，比上年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减少7.54万元，下降98.8</w:t>
      </w: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，主要原因是：非在编人员绩效</w:t>
      </w:r>
      <w:r>
        <w:rPr>
          <w:rFonts w:hint="eastAsia" w:ascii="仿宋_GB2312" w:eastAsia="仿宋_GB2312"/>
          <w:spacing w:val="0"/>
          <w:sz w:val="32"/>
          <w:szCs w:val="32"/>
          <w:highlight w:val="none"/>
          <w:lang w:val="en-US" w:eastAsia="zh-CN"/>
        </w:rPr>
        <w:t>经费支出减少，临聘人员经费支出调整到往来款-预拨资金。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6</w:t>
      </w:r>
      <w:r>
        <w:rPr>
          <w:rFonts w:hint="eastAsia" w:ascii="仿宋_GB2312" w:eastAsia="仿宋_GB2312"/>
          <w:spacing w:val="0"/>
          <w:sz w:val="32"/>
          <w:szCs w:val="32"/>
          <w:highlight w:val="none"/>
          <w:lang w:eastAsia="zh-CN"/>
        </w:rPr>
        <w:t>.社会保障和就业支出（类）行政事业单位养老支出（款）机关事业单位基本养老保险缴费支出（项）: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为15.71万元，比上年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减少0.19万元，下降1.</w:t>
      </w:r>
      <w:r>
        <w:rPr>
          <w:rFonts w:hint="eastAsia" w:ascii="仿宋_GB2312" w:eastAsia="仿宋_GB2312"/>
          <w:spacing w:val="0"/>
          <w:sz w:val="32"/>
          <w:szCs w:val="32"/>
          <w:highlight w:val="none"/>
          <w:lang w:val="en-US" w:eastAsia="zh-CN"/>
        </w:rPr>
        <w:t>19%</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人员经费年底预算不到位，基本户垫付支出。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pacing w:val="0"/>
          <w:sz w:val="32"/>
          <w:szCs w:val="32"/>
          <w:highlight w:val="none"/>
          <w:lang w:val="en-US" w:eastAsia="zh-CN"/>
        </w:rPr>
        <w:t>7</w:t>
      </w:r>
      <w:r>
        <w:rPr>
          <w:rFonts w:hint="eastAsia" w:ascii="仿宋_GB2312" w:eastAsia="仿宋_GB2312"/>
          <w:spacing w:val="0"/>
          <w:sz w:val="32"/>
          <w:szCs w:val="32"/>
          <w:highlight w:val="none"/>
          <w:lang w:eastAsia="zh-CN"/>
        </w:rPr>
        <w:t>.城乡社区支出（类）其他城乡社区支出（款）其他城乡社区支出（项）: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val="en-US" w:eastAsia="zh-CN"/>
        </w:rPr>
        <w:t>12.1</w:t>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，主要原因是：</w:t>
      </w:r>
      <w:r>
        <w:rPr>
          <w:rFonts w:hint="eastAsia" w:ascii="仿宋_GB2312" w:hAnsi="仿宋_GB2312" w:eastAsia="仿宋_GB2312" w:cs="仿宋_GB2312"/>
          <w:kern w:val="0"/>
          <w:sz w:val="32"/>
          <w:szCs w:val="32"/>
          <w:highlight w:val="none"/>
          <w:lang w:val="en-US" w:eastAsia="zh-CN"/>
        </w:rPr>
        <w:t>本年度</w:t>
      </w:r>
      <w:r>
        <w:rPr>
          <w:rFonts w:hint="eastAsia" w:ascii="仿宋_GB2312" w:eastAsia="仿宋_GB2312"/>
          <w:spacing w:val="0"/>
          <w:sz w:val="32"/>
          <w:szCs w:val="32"/>
          <w:highlight w:val="none"/>
          <w:lang w:eastAsia="zh-CN"/>
        </w:rPr>
        <w:t>其他城乡社区支出</w:t>
      </w:r>
      <w:r>
        <w:rPr>
          <w:rFonts w:hint="eastAsia" w:ascii="仿宋_GB2312" w:hAnsi="仿宋_GB2312" w:eastAsia="仿宋_GB2312" w:cs="仿宋_GB2312"/>
          <w:kern w:val="0"/>
          <w:sz w:val="32"/>
          <w:szCs w:val="32"/>
          <w:highlight w:val="none"/>
          <w:lang w:val="en-US" w:eastAsia="zh-CN"/>
        </w:rPr>
        <w:t>无此科目支出。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pacing w:val="0"/>
          <w:sz w:val="32"/>
          <w:szCs w:val="32"/>
          <w:highlight w:val="none"/>
          <w:lang w:val="en-US" w:eastAsia="zh-CN"/>
        </w:rPr>
        <w:t>8</w:t>
      </w:r>
      <w:r>
        <w:rPr>
          <w:rFonts w:hint="eastAsia" w:ascii="仿宋_GB2312" w:eastAsia="仿宋_GB2312"/>
          <w:spacing w:val="0"/>
          <w:sz w:val="32"/>
          <w:szCs w:val="32"/>
          <w:highlight w:val="none"/>
          <w:lang w:eastAsia="zh-CN"/>
        </w:rPr>
        <w:t>.其他支出（类）其他支出（款）其他支出（项）: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val="en-US" w:eastAsia="zh-CN"/>
        </w:rPr>
        <w:t>1.33</w:t>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，主要原因是：</w:t>
      </w:r>
      <w:r>
        <w:rPr>
          <w:rFonts w:hint="eastAsia" w:ascii="仿宋_GB2312" w:hAnsi="仿宋_GB2312" w:eastAsia="仿宋_GB2312" w:cs="仿宋_GB2312"/>
          <w:kern w:val="0"/>
          <w:sz w:val="32"/>
          <w:szCs w:val="32"/>
          <w:highlight w:val="none"/>
          <w:lang w:val="en-US" w:eastAsia="zh-CN"/>
        </w:rPr>
        <w:t>本年度</w:t>
      </w:r>
      <w:r>
        <w:rPr>
          <w:rFonts w:hint="eastAsia" w:ascii="仿宋_GB2312" w:eastAsia="仿宋_GB2312"/>
          <w:spacing w:val="0"/>
          <w:sz w:val="32"/>
          <w:szCs w:val="32"/>
          <w:highlight w:val="none"/>
          <w:lang w:eastAsia="zh-CN"/>
        </w:rPr>
        <w:t>其他支出</w:t>
      </w:r>
      <w:r>
        <w:rPr>
          <w:rFonts w:hint="eastAsia" w:ascii="仿宋_GB2312" w:hAnsi="仿宋_GB2312" w:eastAsia="仿宋_GB2312" w:cs="仿宋_GB2312"/>
          <w:kern w:val="0"/>
          <w:sz w:val="32"/>
          <w:szCs w:val="32"/>
          <w:highlight w:val="none"/>
          <w:lang w:val="en-US" w:eastAsia="zh-CN"/>
        </w:rPr>
        <w:t>无此科目支出。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2022年度一般公共预算财政拨款基本支出210.87万元，其中：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人员经费199.20万元，包括：基本工资、津贴补贴、奖金、机关事业单位基本养老保险缴费、职业年金缴费、职工基本医疗保险缴费、公务员医疗补助缴费、其他社会保障缴费、住房公积金。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公用经费11.67万元，包括：办公费、邮电费、公务用车运行维护费。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6" w:name="_Toc31388"/>
      <w:bookmarkStart w:id="37" w:name="_Toc7190"/>
      <w:bookmarkStart w:id="38" w:name="_Toc32115"/>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36"/>
      <w:bookmarkEnd w:id="37"/>
      <w:bookmarkEnd w:id="38"/>
    </w:p>
    <w:p>
      <w:pPr>
        <w:ind w:firstLine="640" w:firstLineChars="200"/>
        <w:rPr>
          <w:rFonts w:hint="eastAsia" w:ascii="仿宋_GB2312" w:eastAsia="仿宋_GB2312"/>
          <w:spacing w:val="0"/>
          <w:sz w:val="32"/>
          <w:szCs w:val="32"/>
          <w:highlight w:val="none"/>
          <w:lang w:val="en-US" w:eastAsia="zh-CN"/>
        </w:rPr>
      </w:pPr>
      <w:bookmarkStart w:id="39" w:name="_Toc19137"/>
      <w:bookmarkStart w:id="40" w:name="_Toc16383"/>
      <w:bookmarkStart w:id="41" w:name="_Toc7927"/>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财政拨款</w:t>
      </w:r>
      <w:r>
        <w:rPr>
          <w:rFonts w:hint="eastAsia" w:ascii="仿宋_GB2312" w:eastAsia="仿宋_GB2312"/>
          <w:spacing w:val="0"/>
          <w:sz w:val="32"/>
          <w:szCs w:val="32"/>
          <w:highlight w:val="none"/>
          <w:lang w:eastAsia="zh-CN"/>
        </w:rPr>
        <w:t>“三公”经费支出决算</w:t>
      </w:r>
      <w:r>
        <w:rPr>
          <w:rFonts w:hint="eastAsia" w:ascii="仿宋_GB2312" w:eastAsia="仿宋_GB2312"/>
          <w:spacing w:val="0"/>
          <w:sz w:val="32"/>
          <w:szCs w:val="32"/>
          <w:highlight w:val="none"/>
          <w:lang w:val="en-US" w:eastAsia="zh-CN"/>
        </w:rPr>
        <w:t>11</w:t>
      </w:r>
      <w:r>
        <w:rPr>
          <w:rFonts w:hint="eastAsia" w:ascii="仿宋_GB2312" w:eastAsia="仿宋_GB2312"/>
          <w:spacing w:val="0"/>
          <w:sz w:val="32"/>
          <w:szCs w:val="32"/>
          <w:highlight w:val="none"/>
          <w:lang w:eastAsia="zh-CN"/>
        </w:rPr>
        <w:t>万元，比上年减少4.95万元，下降31.03</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车辆油料费支出减少，公务用车运行维护费用支出减少</w:t>
      </w:r>
      <w:r>
        <w:rPr>
          <w:rFonts w:hint="eastAsia" w:ascii="仿宋_GB2312" w:eastAsia="仿宋_GB2312"/>
          <w:spacing w:val="0"/>
          <w:sz w:val="32"/>
          <w:szCs w:val="32"/>
          <w:highlight w:val="none"/>
          <w:lang w:eastAsia="zh-CN"/>
        </w:rPr>
        <w:t>。其中：因公出国（境）费支出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，比上年减少</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无因公出国（境）费支出</w:t>
      </w:r>
      <w:r>
        <w:rPr>
          <w:rFonts w:hint="eastAsia" w:ascii="仿宋_GB2312" w:eastAsia="仿宋_GB2312"/>
          <w:spacing w:val="0"/>
          <w:sz w:val="32"/>
          <w:szCs w:val="32"/>
          <w:highlight w:val="none"/>
          <w:lang w:eastAsia="zh-CN"/>
        </w:rPr>
        <w:t>；公务用车购置及运行维护费支出11万元，占100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，比上年减少4.95万元，下降31.03</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车辆油料费支出减少，公务用车运行维护费用支出减少；公务接待费支出0万元，占0%，比上年</w:t>
      </w:r>
      <w:r>
        <w:rPr>
          <w:rFonts w:hint="eastAsia"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val="en-US" w:eastAsia="zh-CN"/>
        </w:rPr>
        <w:t>0万元，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无公务接待费支出</w:t>
      </w:r>
      <w:r>
        <w:rPr>
          <w:rFonts w:hint="eastAsia" w:ascii="仿宋_GB2312" w:eastAsia="仿宋_GB2312"/>
          <w:spacing w:val="0"/>
          <w:sz w:val="32"/>
          <w:szCs w:val="32"/>
          <w:highlight w:val="none"/>
          <w:lang w:val="en-US" w:eastAsia="zh-CN"/>
        </w:rPr>
        <w:t>。具体情况如下：</w:t>
      </w:r>
    </w:p>
    <w:p>
      <w:pPr>
        <w:ind w:firstLine="640" w:firstLineChars="200"/>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因公出国（境）费支出0万元，开支内容包括</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无因公出国（境）费支出</w:t>
      </w:r>
      <w:r>
        <w:rPr>
          <w:rFonts w:hint="eastAsia" w:ascii="仿宋_GB2312" w:eastAsia="仿宋_GB2312"/>
          <w:spacing w:val="0"/>
          <w:sz w:val="32"/>
          <w:szCs w:val="32"/>
          <w:highlight w:val="none"/>
          <w:lang w:val="en-US" w:eastAsia="zh-CN"/>
        </w:rPr>
        <w:t>。单位全年安排的因公出国（境）团组0个，因公出国（境）0人次。</w:t>
      </w:r>
    </w:p>
    <w:p>
      <w:pPr>
        <w:ind w:firstLine="640" w:firstLineChars="200"/>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公务用车购置及运行维护费11万元，其中：公务用车购置费0万元，公务用车运行维护费11万元。公务用车运行维护费开支内容包括车辆油料费，车辆保险费，车辆维修费。公务用车购置数0辆，公务用车保有量5辆。</w:t>
      </w:r>
    </w:p>
    <w:p>
      <w:pPr>
        <w:ind w:firstLine="640" w:firstLineChars="200"/>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万元，开支内容包括</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无公务接待费支出</w:t>
      </w:r>
      <w:r>
        <w:rPr>
          <w:rFonts w:hint="eastAsia" w:ascii="仿宋_GB2312" w:eastAsia="仿宋_GB2312"/>
          <w:spacing w:val="0"/>
          <w:sz w:val="32"/>
          <w:szCs w:val="32"/>
          <w:highlight w:val="none"/>
          <w:lang w:eastAsia="zh-CN"/>
        </w:rPr>
        <w:t>。单位全年安排的国内公务接待</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批次，</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预算数相比情况：“三公”经费支出</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预算数18.63万元，决算数</w:t>
      </w:r>
      <w:r>
        <w:rPr>
          <w:rFonts w:hint="eastAsia" w:ascii="仿宋_GB2312" w:eastAsia="仿宋_GB2312"/>
          <w:spacing w:val="0"/>
          <w:sz w:val="32"/>
          <w:szCs w:val="32"/>
          <w:highlight w:val="none"/>
          <w:lang w:val="en-US" w:eastAsia="zh-CN"/>
        </w:rPr>
        <w:t>11</w:t>
      </w:r>
      <w:r>
        <w:rPr>
          <w:rFonts w:hint="eastAsia" w:ascii="仿宋_GB2312" w:eastAsia="仿宋_GB2312"/>
          <w:spacing w:val="0"/>
          <w:sz w:val="32"/>
          <w:szCs w:val="32"/>
          <w:highlight w:val="none"/>
          <w:lang w:eastAsia="zh-CN"/>
        </w:rPr>
        <w:t>万元，预决算差异率-40.96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车辆油料费支出减少，公务用车运行维护费用支出减少</w:t>
      </w:r>
      <w:r>
        <w:rPr>
          <w:rFonts w:hint="eastAsia" w:ascii="仿宋_GB2312" w:eastAsia="仿宋_GB2312"/>
          <w:spacing w:val="0"/>
          <w:sz w:val="32"/>
          <w:szCs w:val="32"/>
          <w:highlight w:val="none"/>
          <w:lang w:eastAsia="zh-CN"/>
        </w:rPr>
        <w:t>。其中：因公出国（境）费</w:t>
      </w:r>
      <w:r>
        <w:rPr>
          <w:rFonts w:hint="eastAsia" w:ascii="仿宋_GB2312" w:eastAsia="仿宋_GB2312"/>
          <w:spacing w:val="0"/>
          <w:sz w:val="32"/>
          <w:szCs w:val="32"/>
          <w:highlight w:val="none"/>
          <w:lang w:val="en-US" w:eastAsia="zh-CN"/>
        </w:rPr>
        <w:t>全年预算数0</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我单位无因公出国（境）费支出</w:t>
      </w:r>
      <w:r>
        <w:rPr>
          <w:rFonts w:hint="eastAsia" w:ascii="仿宋_GB2312" w:eastAsia="仿宋_GB2312"/>
          <w:spacing w:val="0"/>
          <w:sz w:val="32"/>
          <w:szCs w:val="32"/>
          <w:highlight w:val="none"/>
          <w:lang w:eastAsia="zh-CN"/>
        </w:rPr>
        <w:t>；公务用车购置费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我单位无</w:t>
      </w:r>
      <w:r>
        <w:rPr>
          <w:rFonts w:hint="eastAsia" w:ascii="仿宋_GB2312" w:eastAsia="仿宋_GB2312"/>
          <w:spacing w:val="0"/>
          <w:sz w:val="32"/>
          <w:szCs w:val="32"/>
          <w:highlight w:val="none"/>
          <w:lang w:eastAsia="zh-CN"/>
        </w:rPr>
        <w:t>公务用车购置费；公务用车运行费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预算数18.60万元，决算数</w:t>
      </w:r>
      <w:r>
        <w:rPr>
          <w:rFonts w:hint="eastAsia" w:ascii="仿宋_GB2312" w:eastAsia="仿宋_GB2312"/>
          <w:spacing w:val="0"/>
          <w:sz w:val="32"/>
          <w:szCs w:val="32"/>
          <w:highlight w:val="none"/>
          <w:lang w:val="en-US" w:eastAsia="zh-CN"/>
        </w:rPr>
        <w:t>11</w:t>
      </w:r>
      <w:r>
        <w:rPr>
          <w:rFonts w:hint="eastAsia" w:ascii="仿宋_GB2312" w:eastAsia="仿宋_GB2312"/>
          <w:spacing w:val="0"/>
          <w:sz w:val="32"/>
          <w:szCs w:val="32"/>
          <w:highlight w:val="none"/>
          <w:lang w:eastAsia="zh-CN"/>
        </w:rPr>
        <w:t>万元，预决算差异率-40.86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车辆油料费支出减少，公务用车运行维护费用支出减少</w:t>
      </w: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预算数0.03万元，决算数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万元，预决算差异</w:t>
      </w:r>
      <w:bookmarkStart w:id="91" w:name="_GoBack"/>
      <w:r>
        <w:rPr>
          <w:rFonts w:hint="eastAsia" w:ascii="仿宋_GB2312" w:eastAsia="仿宋_GB2312"/>
          <w:spacing w:val="0"/>
          <w:sz w:val="32"/>
          <w:szCs w:val="32"/>
          <w:highlight w:val="none"/>
          <w:lang w:eastAsia="zh-CN"/>
        </w:rPr>
        <w:t>率</w:t>
      </w:r>
      <w:r>
        <w:rPr>
          <w:rFonts w:hint="eastAsia" w:ascii="仿宋_GB2312" w:eastAsia="仿宋_GB2312"/>
          <w:spacing w:val="0"/>
          <w:sz w:val="32"/>
          <w:szCs w:val="32"/>
          <w:highlight w:val="none"/>
          <w:lang w:val="en-US" w:eastAsia="zh-CN"/>
        </w:rPr>
        <w:t>-100%</w:t>
      </w:r>
      <w:bookmarkEnd w:id="91"/>
      <w:r>
        <w:rPr>
          <w:rFonts w:hint="eastAsia" w:ascii="仿宋_GB2312" w:eastAsia="仿宋_GB2312"/>
          <w:spacing w:val="0"/>
          <w:sz w:val="32"/>
          <w:szCs w:val="32"/>
          <w:highlight w:val="none"/>
          <w:lang w:eastAsia="zh-CN"/>
        </w:rPr>
        <w:t>，主要原因是：</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我单位无公务接待费支出</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2" w:name="_Toc19129"/>
      <w:bookmarkStart w:id="43" w:name="_Toc18027"/>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4" w:name="_Toc10328"/>
      <w:bookmarkStart w:id="45" w:name="_Toc7314"/>
      <w:bookmarkStart w:id="46" w:name="_Toc15901"/>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47" w:name="_Toc30555"/>
      <w:bookmarkStart w:id="48" w:name="_Toc18970"/>
      <w:bookmarkStart w:id="49"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47"/>
      <w:bookmarkEnd w:id="48"/>
      <w:bookmarkEnd w:id="49"/>
    </w:p>
    <w:p>
      <w:pPr>
        <w:ind w:firstLine="640" w:firstLineChars="200"/>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2022年度中国人民政治协商会议新疆乌鲁木齐市水磨沟区委员会办公室（行政单位和参照公务员法管理事业单位）机关运行经费支出11.67万元，比上年减少18.77万元，下降61.6</w:t>
      </w:r>
      <w:r>
        <w:rPr>
          <w:rFonts w:hint="eastAsia" w:ascii="仿宋_GB2312" w:eastAsia="仿宋_GB2312"/>
          <w:spacing w:val="0"/>
          <w:sz w:val="32"/>
          <w:szCs w:val="32"/>
          <w:highlight w:val="none"/>
          <w:lang w:val="en-US" w:eastAsia="zh-CN"/>
        </w:rPr>
        <w:t>6%</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办公费用支出减少，邮电费用支出减少，差旅费无支出，公务用车运行维护费支出减少。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50" w:name="_Toc26704"/>
      <w:bookmarkStart w:id="51" w:name="_Toc20762"/>
      <w:bookmarkStart w:id="52" w:name="_Toc4448"/>
      <w:r>
        <w:rPr>
          <w:rFonts w:hint="eastAsia" w:ascii="黑体" w:hAnsi="黑体" w:eastAsia="黑体"/>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2022年度政府采购支出总额</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万元，其中：政府采购货物支出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万元、政府采购工程支出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万元、政府采购服务支出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授予中小企业合同金额</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万元，占政府采购支出总额的</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，其中：授予小微企业合同金额</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万元，占政府采购支出总额的</w:t>
      </w:r>
      <w:r>
        <w:rPr>
          <w:rFonts w:hint="eastAsia" w:ascii="仿宋_GB2312" w:eastAsia="仿宋_GB2312"/>
          <w:spacing w:val="0"/>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53" w:name="_Toc28327"/>
      <w:bookmarkStart w:id="54" w:name="_Toc12816"/>
      <w:bookmarkStart w:id="55" w:name="_Toc4591"/>
      <w:r>
        <w:rPr>
          <w:rFonts w:hint="eastAsia" w:ascii="黑体" w:hAnsi="黑体" w:eastAsia="黑体"/>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eastAsia="zh-CN"/>
        </w:rPr>
        <w:t>2022年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pacing w:val="0"/>
          <w:sz w:val="32"/>
          <w:szCs w:val="32"/>
          <w:highlight w:val="none"/>
          <w:lang w:eastAsia="zh-CN"/>
        </w:rPr>
        <w:t>161.69</w:t>
      </w:r>
      <w:r>
        <w:rPr>
          <w:rFonts w:hint="eastAsia" w:ascii="仿宋_GB2312" w:eastAsia="仿宋_GB2312"/>
          <w:spacing w:val="0"/>
          <w:sz w:val="32"/>
          <w:szCs w:val="32"/>
          <w:highlight w:val="none"/>
          <w:lang w:val="en-US" w:eastAsia="zh-CN"/>
        </w:rPr>
        <w:t>万元，房</w:t>
      </w:r>
      <w:r>
        <w:rPr>
          <w:rFonts w:hint="eastAsia" w:ascii="仿宋_GB2312" w:eastAsia="仿宋_GB2312"/>
          <w:spacing w:val="0"/>
          <w:sz w:val="32"/>
          <w:szCs w:val="32"/>
          <w:highlight w:val="none"/>
          <w:lang w:eastAsia="zh-CN"/>
        </w:rPr>
        <w:t>屋</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平方米，价值</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万元。车辆</w:t>
      </w: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辆，价值94.09万元，其中：副部（省）级及以上领导用车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辆、主要领导干部用车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辆、机要通信用车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辆、应急保障用车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辆、执法执勤用车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辆、特种专业技术用车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辆、离退休干部用车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辆、其他用车</w:t>
      </w: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辆，其他用车主要是：</w:t>
      </w:r>
      <w:r>
        <w:rPr>
          <w:rFonts w:hint="eastAsia" w:ascii="仿宋_GB2312" w:eastAsia="仿宋_GB2312"/>
          <w:spacing w:val="0"/>
          <w:sz w:val="32"/>
          <w:szCs w:val="32"/>
          <w:highlight w:val="none"/>
          <w:lang w:val="en-US" w:eastAsia="zh-CN"/>
        </w:rPr>
        <w:t>我单位其他用车主要是一般</w:t>
      </w:r>
      <w:r>
        <w:rPr>
          <w:rFonts w:hint="eastAsia" w:ascii="仿宋_GB2312" w:eastAsia="仿宋_GB2312"/>
          <w:spacing w:val="0"/>
          <w:sz w:val="32"/>
          <w:szCs w:val="32"/>
          <w:highlight w:val="none"/>
          <w:lang w:eastAsia="zh-CN"/>
        </w:rPr>
        <w:t>公务用车；单价100万元（含）以上设备（不含车辆）</w:t>
      </w:r>
      <w:r>
        <w:rPr>
          <w:rFonts w:hint="eastAsia" w:ascii="仿宋_GB2312" w:eastAsia="仿宋_GB2312"/>
          <w:spacing w:val="0"/>
          <w:sz w:val="32"/>
          <w:szCs w:val="32"/>
          <w:highlight w:val="none"/>
          <w:lang w:val="en-US" w:eastAsia="zh-CN"/>
        </w:rPr>
        <w:t>0台</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56" w:name="_Toc9222"/>
      <w:bookmarkStart w:id="57" w:name="_Toc435"/>
      <w:bookmarkStart w:id="58" w:name="_Toc1432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56"/>
      <w:bookmarkEnd w:id="57"/>
      <w:bookmarkEnd w:id="58"/>
    </w:p>
    <w:p>
      <w:pPr>
        <w:numPr>
          <w:ilvl w:val="0"/>
          <w:numId w:val="0"/>
        </w:numPr>
        <w:ind w:left="400" w:leftChars="0" w:firstLine="640" w:firstLineChars="200"/>
        <w:rPr>
          <w:rFonts w:hint="eastAsia" w:ascii="仿宋_GB2312" w:eastAsia="仿宋_GB2312"/>
          <w:sz w:val="32"/>
          <w:szCs w:val="32"/>
          <w:highlight w:val="none"/>
          <w:lang w:eastAsia="zh-CN"/>
        </w:rPr>
      </w:pPr>
      <w:bookmarkStart w:id="59" w:name="_Toc24143"/>
      <w:r>
        <w:rPr>
          <w:rFonts w:hint="eastAsia" w:ascii="仿宋_GB2312" w:eastAsia="仿宋_GB2312"/>
          <w:sz w:val="32"/>
          <w:szCs w:val="32"/>
          <w:highlight w:val="none"/>
          <w:lang w:eastAsia="zh-CN"/>
        </w:rPr>
        <w:t>根据预算绩效管理要求，我单位2022年度开展预算绩效评价项目</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全年预算数5.51</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全年执行数0.51</w:t>
      </w:r>
      <w:r>
        <w:rPr>
          <w:rFonts w:hint="eastAsia" w:ascii="仿宋_GB2312" w:eastAsia="仿宋_GB2312"/>
          <w:sz w:val="32"/>
          <w:szCs w:val="32"/>
          <w:highlight w:val="none"/>
          <w:lang w:eastAsia="zh-CN"/>
        </w:rPr>
        <w:t>万元。预算绩效管理取得的成效：一是委员日常活动经费：年初预算数</w:t>
      </w:r>
      <w:r>
        <w:rPr>
          <w:rFonts w:hint="eastAsia" w:ascii="仿宋_GB2312" w:eastAsia="仿宋_GB2312"/>
          <w:sz w:val="32"/>
          <w:szCs w:val="32"/>
          <w:highlight w:val="none"/>
          <w:lang w:val="en-US" w:eastAsia="zh-CN"/>
        </w:rPr>
        <w:t>0.51</w:t>
      </w:r>
      <w:r>
        <w:rPr>
          <w:rFonts w:hint="eastAsia" w:ascii="仿宋_GB2312" w:eastAsia="仿宋_GB2312"/>
          <w:sz w:val="32"/>
          <w:szCs w:val="32"/>
          <w:highlight w:val="none"/>
          <w:lang w:eastAsia="zh-CN"/>
        </w:rPr>
        <w:t>万元，全年预算数</w:t>
      </w:r>
      <w:r>
        <w:rPr>
          <w:rFonts w:hint="eastAsia" w:ascii="仿宋_GB2312" w:eastAsia="仿宋_GB2312"/>
          <w:sz w:val="32"/>
          <w:szCs w:val="32"/>
          <w:highlight w:val="none"/>
          <w:lang w:val="en-US" w:eastAsia="zh-CN"/>
        </w:rPr>
        <w:t>0.51</w:t>
      </w:r>
      <w:r>
        <w:rPr>
          <w:rFonts w:hint="eastAsia" w:ascii="仿宋_GB2312" w:eastAsia="仿宋_GB2312"/>
          <w:sz w:val="32"/>
          <w:szCs w:val="32"/>
          <w:highlight w:val="none"/>
          <w:lang w:eastAsia="zh-CN"/>
        </w:rPr>
        <w:t>万元，全年执行</w:t>
      </w:r>
      <w:r>
        <w:rPr>
          <w:rFonts w:hint="eastAsia" w:ascii="仿宋_GB2312" w:eastAsia="仿宋_GB2312"/>
          <w:sz w:val="32"/>
          <w:szCs w:val="32"/>
          <w:highlight w:val="none"/>
          <w:lang w:val="en-US" w:eastAsia="zh-CN"/>
        </w:rPr>
        <w:t>0.51</w:t>
      </w:r>
      <w:r>
        <w:rPr>
          <w:rFonts w:hint="eastAsia" w:ascii="仿宋_GB2312" w:eastAsia="仿宋_GB2312"/>
          <w:sz w:val="32"/>
          <w:szCs w:val="32"/>
          <w:highlight w:val="none"/>
          <w:lang w:eastAsia="zh-CN"/>
        </w:rPr>
        <w:t>万元，执行率100%。二是</w:t>
      </w:r>
      <w:r>
        <w:rPr>
          <w:rFonts w:hint="eastAsia" w:ascii="仿宋_GB2312" w:eastAsia="仿宋_GB2312"/>
          <w:sz w:val="32"/>
          <w:szCs w:val="32"/>
          <w:highlight w:val="none"/>
          <w:lang w:val="en-US" w:eastAsia="zh-CN"/>
        </w:rPr>
        <w:t>基层政协补助经费</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万元，全年预算数</w:t>
      </w:r>
      <w:r>
        <w:rPr>
          <w:rFonts w:hint="eastAsia" w:ascii="仿宋_GB2312" w:eastAsia="仿宋_GB2312"/>
          <w:sz w:val="32"/>
          <w:szCs w:val="32"/>
          <w:highlight w:val="none"/>
          <w:lang w:val="en-US" w:eastAsia="zh-CN"/>
        </w:rPr>
        <w:t>0.10</w:t>
      </w:r>
      <w:r>
        <w:rPr>
          <w:rFonts w:hint="eastAsia" w:ascii="仿宋_GB2312" w:eastAsia="仿宋_GB2312"/>
          <w:sz w:val="32"/>
          <w:szCs w:val="32"/>
          <w:highlight w:val="none"/>
          <w:lang w:eastAsia="zh-CN"/>
        </w:rPr>
        <w:t>万元，全年执行</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lang w:eastAsia="zh-CN"/>
        </w:rPr>
        <w:t>万元，执行率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w:t>
      </w:r>
    </w:p>
    <w:p>
      <w:pPr>
        <w:numPr>
          <w:ilvl w:val="0"/>
          <w:numId w:val="0"/>
        </w:numPr>
        <w:ind w:left="40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发现的问题及原因：一是部门职能不明确，个别工作分工不清晰，且人员培训和绩效考核制度不够完善，考核方案部分内容和人员名单更新滞后；二是预算编制科学性的问题。首先预算编制之合理性相对不足，主要表现在预算调整数较大，年度目标与长期规划衔接的紧密程度需要增强。下一步改进措施：一是构建专业、客观、独立、多样的绩效评价主体。在可能的条件下，引入社会绩效评价组织，专家，高效研究人员等。还应加强对外公开的效率，促使公众参与到部门整体绩效评价执行的过程中，重视社会公众对绩效评价的监督。最后，要加强部门内部绩效评价人员的培训，提高其指标设计和绩效评价的专业技能。</w:t>
      </w:r>
    </w:p>
    <w:p>
      <w:pPr>
        <w:numPr>
          <w:ilvl w:val="0"/>
          <w:numId w:val="0"/>
        </w:numPr>
        <w:ind w:left="400" w:leftChars="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是提高部门整体支出绩效目标设定的合理性。部门设定的绩效目标要与部门的职能有相关性，这样便于后续的评价部门的履职情况，同样能使得部门在运用预算资金的过程中能始终牢记部门职能，不偏离社会责任。把所有与财政支出相关的指标全部列入不现实，可以兼顾好重要性和综合性原则。对于整体工作的反映，尽量采用综合性指标；对于具体项目的反映，尽量采用有代表性的重要指标。</w:t>
      </w:r>
    </w:p>
    <w:p>
      <w:pPr>
        <w:numPr>
          <w:ilvl w:val="0"/>
          <w:numId w:val="0"/>
        </w:numPr>
        <w:ind w:left="400" w:leftChars="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是重视部门整体支出绩效评价中的问题总结，这是发现问题的开端。其次，将结果进行公示，以促进部门间的相互竞争和部门外部的监督。利用绩效评价结果也可以反向促进单位内部预算资金统筹安排和项目的执行，提高工作人员的工作效率，进而提高社会效益。</w:t>
      </w: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p>
      <w:pPr>
        <w:numPr>
          <w:ilvl w:val="0"/>
          <w:numId w:val="0"/>
        </w:numPr>
        <w:ind w:left="400" w:leftChars="0"/>
        <w:rPr>
          <w:rFonts w:hint="eastAsia" w:ascii="仿宋_GB2312" w:eastAsia="仿宋_GB2312"/>
          <w:sz w:val="32"/>
          <w:szCs w:val="32"/>
          <w:highlight w:val="none"/>
          <w:lang w:eastAsia="zh-CN"/>
        </w:rPr>
      </w:pP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7"/>
        <w:gridCol w:w="290"/>
        <w:gridCol w:w="242"/>
        <w:gridCol w:w="1775"/>
        <w:gridCol w:w="1906"/>
        <w:gridCol w:w="969"/>
        <w:gridCol w:w="561"/>
        <w:gridCol w:w="455"/>
        <w:gridCol w:w="111"/>
        <w:gridCol w:w="241"/>
        <w:gridCol w:w="71"/>
        <w:gridCol w:w="17"/>
        <w:gridCol w:w="481"/>
        <w:gridCol w:w="278"/>
        <w:gridCol w:w="12"/>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6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委员日常活动经费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545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中国人民政治协商会议乌鲁木齐市水磨沟区委员会办公室</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中国人民政治协商会议乌鲁木齐市水磨沟区委员会办公室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6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0.51</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74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22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目标2：足额及时拨付资金及时上报资金的使用情况，保障项目资金12万元按计划执行。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目标3：保障开展政协委员各项工作，委员更好的发挥参政议政</w:t>
            </w:r>
          </w:p>
        </w:tc>
        <w:tc>
          <w:tcPr>
            <w:tcW w:w="221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持续夯实共同思想政治基础。坚持把深学细照笃行习近平新时代中国特色社会主义思想摆在首位，严格执行理论学习“第一议题”制度，完善以党组理论学习为引领的学习制度体系，不断以“跟进学”强化“跟着走”。年初以来，坚持把迎接党的二十大、学习宣传贯彻党的二十大精神作为贯穿全年的重大政治任务，以书香政协建设为载体，以“迎盛会、守初心、担使命、筑同心”委员读书活动为主题，开展专题学习和党组学习会16次。组织各界委员第一时间收看党的二十大开幕盛况，采取线上与线下相结合方式，持续深入开展学习、研讨、宣传、贯彻活动，引导政协委员、政协机关干部、界别群众深刻领悟“两个确立”的决定性意义，坚决做到“两个维护”，牢记“三个务必”、走好“五个必由之路”，自觉把党的二十大作出的重大决策付诸行动、见之于成效。有计划、分专题学习习近平总书记视察新疆时、带领中共中央政治局常委瞻仰延安革命纪念地时、考察陕西延安和河南安阳时的重要讲话精神，学习《中国共产党政治协商工作条例》《关于加强和改进新时代市县政协工作的实施意见》《习近平谈治国理政》（第四卷）以及自治区、市、区重要会议精神，在常学常新中提升政治站位、增进思想共识、引领履职实践，推动重要讲话、重要精神在政协落地落实。 （二）坚决服从区委领导。党组严守政治纪律政治规矩，自觉接受区委领导。今年以来向区委请示报告政协全体会议、协商计划、工作要点、班子成员分工以及区委交办的重要工作等事项9次，主动把党的领导落实到区政协工作各方面和全过程。持续把履职着力点放在落实区委部署要求、支持政府工作上，班子成员竭智尽力完成委交办的疫情防控、招商引资、乡村振兴、重点项目建设、包保信访积案等包联督导任务。党组紧紧围绕区委确定的各项事业高质量发展目标任务，制定年度履职计划，确保政协履职与区委思想同心、目标同向、行动同步。 （三）强化政协党的建设。坚持以党的政治建设为统领，切实发挥党组把方向、管大局、保落实的领导作用。全体会议期间，成立临时党组织，形成中共党员委员联系党外委员制度，实现党的组织对党员委员的全覆盖，党的工作对政协委员的全覆盖，引领各界委员在小组讨论、大会发言等环节积极发言，执行选举纪律，推动会议任务圆满完成。紧紧围绕自治区马兴瑞书记提出的“新疆干部要转变思想观念”这一要求，组织党组班子成员深刻剖析，认真对照检查，用好批评与自我批评的武器，开好民主生活会，打造忠诚干净担当的领导干部队伍。紧扣推动党史学习教育常态化、长效化，落实“三会一课”，开展一系列主题党日活动，引导党员干部把以史为鉴抓在经常，把学思践悟融入日常，把为民服务做在平常，切实发扬斗争精神，走好新的赶考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42"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775"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906"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69"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1"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41"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8"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81"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9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4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5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政协委员人数</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=120人</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100人</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因疫情原因，开展委员履职活动次数减少，参与活动人数减少，故资金支出减少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年度工作任务完成率</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政协委员覆盖率</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公用经费支付及时率</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委员人均经费</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=1000元/人</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50元/人</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因疫情原因，开展委员履职活动次数减少，参与活动人数减少，故资金支出减少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保证委员活动正常开展，确保委员履行政治协商、民主监督、参政议政职能</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效果显著</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政协委员满意度</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90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57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3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88.80分</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923" w:type="dxa"/>
            <w:gridSpan w:val="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余刚</w:t>
            </w:r>
          </w:p>
        </w:tc>
        <w:tc>
          <w:tcPr>
            <w:tcW w:w="2096" w:type="dxa"/>
            <w:gridSpan w:val="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650" w:type="dxa"/>
            <w:gridSpan w:val="7"/>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66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3923"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余刚</w:t>
            </w:r>
          </w:p>
        </w:tc>
        <w:tc>
          <w:tcPr>
            <w:tcW w:w="209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6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4684409</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6"/>
        <w:gridCol w:w="755"/>
        <w:gridCol w:w="755"/>
        <w:gridCol w:w="756"/>
        <w:gridCol w:w="704"/>
        <w:gridCol w:w="441"/>
        <w:gridCol w:w="630"/>
        <w:gridCol w:w="510"/>
        <w:gridCol w:w="184"/>
        <w:gridCol w:w="545"/>
        <w:gridCol w:w="620"/>
        <w:gridCol w:w="431"/>
        <w:gridCol w:w="494"/>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833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33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682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乌财行［2021］180号关于提前下达2022年度自治区基层政协补助经费的通知转移支付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32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中国人民政治协商会议乌鲁木齐市水磨沟区委员会办公室</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8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中国人民政治协商会议乌鲁木齐市水磨沟区委员会办公室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404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5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4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保障政协委员开展各项活动。</w:t>
            </w:r>
          </w:p>
        </w:tc>
        <w:tc>
          <w:tcPr>
            <w:tcW w:w="35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因疫情原因，开展委员活动次数减少，故资金未使用。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55"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04"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41"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4"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45"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31"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94"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9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2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委员活动次数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5次</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每次委员参加人数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&lt;=15人</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15人</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活动完成率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委员活动参与率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委员活动成本</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&lt;=1万元</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0万元</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因疫情原因，开展委员活动次数减少，故资金未全部使用。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委员活动有序开展</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活动如期进行</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达到预期效果</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委员满意度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0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53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80.00分</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215" w:type="dxa"/>
            <w:gridSpan w:val="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余刚</w:t>
            </w:r>
          </w:p>
        </w:tc>
        <w:tc>
          <w:tcPr>
            <w:tcW w:w="1765" w:type="dxa"/>
            <w:gridSpan w:val="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845" w:type="dxa"/>
            <w:gridSpan w:val="5"/>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51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 办 人：</w:t>
            </w:r>
          </w:p>
        </w:tc>
        <w:tc>
          <w:tcPr>
            <w:tcW w:w="22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龚传杰</w:t>
            </w:r>
          </w:p>
        </w:tc>
        <w:tc>
          <w:tcPr>
            <w:tcW w:w="176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84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4684418</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bookmarkStart w:id="60" w:name="_Toc10437"/>
      <w:bookmarkStart w:id="61" w:name="_Toc4580"/>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32549"/>
      <w:bookmarkStart w:id="64" w:name="_Toc5876"/>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6062"/>
      <w:bookmarkStart w:id="66" w:name="_Toc5272"/>
      <w:bookmarkStart w:id="67" w:name="_Toc3595"/>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0364"/>
      <w:bookmarkStart w:id="69" w:name="_Toc6432"/>
      <w:bookmarkStart w:id="70" w:name="_Toc30518"/>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4682"/>
      <w:bookmarkStart w:id="72" w:name="_Toc23872"/>
      <w:bookmarkStart w:id="73" w:name="_Toc21304"/>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17363"/>
      <w:bookmarkStart w:id="75" w:name="_Toc14238"/>
      <w:bookmarkStart w:id="76" w:name="_Toc32114"/>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0347"/>
      <w:bookmarkStart w:id="78" w:name="_Toc1532"/>
      <w:bookmarkStart w:id="79" w:name="_Toc16665"/>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24067"/>
      <w:bookmarkStart w:id="81" w:name="_Toc5626"/>
      <w:bookmarkStart w:id="82" w:name="_Toc2980"/>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9459"/>
      <w:bookmarkStart w:id="84" w:name="_Toc3931"/>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20536"/>
      <w:bookmarkStart w:id="87" w:name="_Toc5453"/>
      <w:bookmarkStart w:id="88" w:name="_Toc482"/>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30064"/>
      <w:bookmarkStart w:id="90" w:name="_Toc19300"/>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RYBixgEAAHMDAAAOAAAAAAAAAAEAIAAAAB4BAABkcnMvZTJvRG9jLnht&#10;bFBLBQYAAAAABgAGAFkBAABW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172A27"/>
    <w:rsid w:val="000C0687"/>
    <w:rsid w:val="00E65F3E"/>
    <w:rsid w:val="011726B8"/>
    <w:rsid w:val="01205ED0"/>
    <w:rsid w:val="019A0226"/>
    <w:rsid w:val="020B1E19"/>
    <w:rsid w:val="02F73D26"/>
    <w:rsid w:val="034D4FEF"/>
    <w:rsid w:val="043E5B56"/>
    <w:rsid w:val="04C8148A"/>
    <w:rsid w:val="054D0FBB"/>
    <w:rsid w:val="06182106"/>
    <w:rsid w:val="061D0810"/>
    <w:rsid w:val="06792773"/>
    <w:rsid w:val="06DB1E8B"/>
    <w:rsid w:val="075331D8"/>
    <w:rsid w:val="084F3BDB"/>
    <w:rsid w:val="086F792B"/>
    <w:rsid w:val="095D4246"/>
    <w:rsid w:val="0A1C6A2B"/>
    <w:rsid w:val="0A7B4867"/>
    <w:rsid w:val="0B0A7910"/>
    <w:rsid w:val="0B8C3ECC"/>
    <w:rsid w:val="0C7227A7"/>
    <w:rsid w:val="0CF4037C"/>
    <w:rsid w:val="0D95707B"/>
    <w:rsid w:val="0DEF1CFF"/>
    <w:rsid w:val="0E7E7983"/>
    <w:rsid w:val="0EA91236"/>
    <w:rsid w:val="0EBD730F"/>
    <w:rsid w:val="0F3C2B50"/>
    <w:rsid w:val="102E443C"/>
    <w:rsid w:val="126E7FF3"/>
    <w:rsid w:val="13065313"/>
    <w:rsid w:val="142B5C8A"/>
    <w:rsid w:val="149C57E9"/>
    <w:rsid w:val="15032004"/>
    <w:rsid w:val="15374569"/>
    <w:rsid w:val="15D87032"/>
    <w:rsid w:val="17047080"/>
    <w:rsid w:val="17A9659B"/>
    <w:rsid w:val="180137B7"/>
    <w:rsid w:val="18157084"/>
    <w:rsid w:val="187E287E"/>
    <w:rsid w:val="19DB6010"/>
    <w:rsid w:val="19FD596B"/>
    <w:rsid w:val="1A700524"/>
    <w:rsid w:val="1B1E4C54"/>
    <w:rsid w:val="1B3B0F26"/>
    <w:rsid w:val="1B975C14"/>
    <w:rsid w:val="1BAF0BA6"/>
    <w:rsid w:val="1CA148EC"/>
    <w:rsid w:val="1D0C360F"/>
    <w:rsid w:val="1D1C0892"/>
    <w:rsid w:val="1D9D7450"/>
    <w:rsid w:val="1DAF458D"/>
    <w:rsid w:val="1DCF632C"/>
    <w:rsid w:val="1DFA6FC7"/>
    <w:rsid w:val="1EA8342C"/>
    <w:rsid w:val="1F516E45"/>
    <w:rsid w:val="1F683448"/>
    <w:rsid w:val="204C3744"/>
    <w:rsid w:val="20DD6197"/>
    <w:rsid w:val="22E8790D"/>
    <w:rsid w:val="23BC04D2"/>
    <w:rsid w:val="24843D1F"/>
    <w:rsid w:val="24A705FF"/>
    <w:rsid w:val="24B03559"/>
    <w:rsid w:val="252D4147"/>
    <w:rsid w:val="25F31891"/>
    <w:rsid w:val="260B6293"/>
    <w:rsid w:val="270C6310"/>
    <w:rsid w:val="27CF2642"/>
    <w:rsid w:val="28475EF4"/>
    <w:rsid w:val="292A036C"/>
    <w:rsid w:val="295F55B3"/>
    <w:rsid w:val="29B10A15"/>
    <w:rsid w:val="2A053397"/>
    <w:rsid w:val="2B89234B"/>
    <w:rsid w:val="2CB371D5"/>
    <w:rsid w:val="2D1136DF"/>
    <w:rsid w:val="2D321718"/>
    <w:rsid w:val="2D99794A"/>
    <w:rsid w:val="2E18598A"/>
    <w:rsid w:val="2EA87867"/>
    <w:rsid w:val="2F1A7CE7"/>
    <w:rsid w:val="2F9F6E6D"/>
    <w:rsid w:val="2FD27414"/>
    <w:rsid w:val="30BC0E56"/>
    <w:rsid w:val="313D2BF3"/>
    <w:rsid w:val="319501D5"/>
    <w:rsid w:val="31C63837"/>
    <w:rsid w:val="31D7657D"/>
    <w:rsid w:val="33B777EE"/>
    <w:rsid w:val="350E78F0"/>
    <w:rsid w:val="353961C6"/>
    <w:rsid w:val="354E515D"/>
    <w:rsid w:val="36197594"/>
    <w:rsid w:val="36AC5739"/>
    <w:rsid w:val="36B11A99"/>
    <w:rsid w:val="36F312EC"/>
    <w:rsid w:val="370552AF"/>
    <w:rsid w:val="38140F47"/>
    <w:rsid w:val="385E38D3"/>
    <w:rsid w:val="385E7907"/>
    <w:rsid w:val="388B6EB1"/>
    <w:rsid w:val="3914510A"/>
    <w:rsid w:val="39662DA7"/>
    <w:rsid w:val="39885148"/>
    <w:rsid w:val="3A3D4BC0"/>
    <w:rsid w:val="3B564E69"/>
    <w:rsid w:val="3B8A672D"/>
    <w:rsid w:val="3BDA1EE6"/>
    <w:rsid w:val="3C4B7D92"/>
    <w:rsid w:val="3CEF7BCF"/>
    <w:rsid w:val="3D5275AC"/>
    <w:rsid w:val="3D935F58"/>
    <w:rsid w:val="3E2B6937"/>
    <w:rsid w:val="3FE010A9"/>
    <w:rsid w:val="40834692"/>
    <w:rsid w:val="42335575"/>
    <w:rsid w:val="42373254"/>
    <w:rsid w:val="434738FE"/>
    <w:rsid w:val="46901EEE"/>
    <w:rsid w:val="46915E44"/>
    <w:rsid w:val="469C74D2"/>
    <w:rsid w:val="46F870EF"/>
    <w:rsid w:val="470C497C"/>
    <w:rsid w:val="48022301"/>
    <w:rsid w:val="48A00A76"/>
    <w:rsid w:val="49114B81"/>
    <w:rsid w:val="496D274B"/>
    <w:rsid w:val="4A064A10"/>
    <w:rsid w:val="4A9250D2"/>
    <w:rsid w:val="4AC03E25"/>
    <w:rsid w:val="4B4C0111"/>
    <w:rsid w:val="4B674EE5"/>
    <w:rsid w:val="4CB52456"/>
    <w:rsid w:val="4DA46938"/>
    <w:rsid w:val="4DF44538"/>
    <w:rsid w:val="4E906461"/>
    <w:rsid w:val="4F626015"/>
    <w:rsid w:val="4F7E792D"/>
    <w:rsid w:val="50653746"/>
    <w:rsid w:val="50705D78"/>
    <w:rsid w:val="50DB5F45"/>
    <w:rsid w:val="51376198"/>
    <w:rsid w:val="51B73A83"/>
    <w:rsid w:val="51DA59C1"/>
    <w:rsid w:val="51E70463"/>
    <w:rsid w:val="5217704A"/>
    <w:rsid w:val="525D7070"/>
    <w:rsid w:val="52981897"/>
    <w:rsid w:val="529D6258"/>
    <w:rsid w:val="52A11FF1"/>
    <w:rsid w:val="52F92565"/>
    <w:rsid w:val="53F2125F"/>
    <w:rsid w:val="54975A32"/>
    <w:rsid w:val="54D806CC"/>
    <w:rsid w:val="55CF1C7C"/>
    <w:rsid w:val="56040013"/>
    <w:rsid w:val="5625599A"/>
    <w:rsid w:val="56DF422C"/>
    <w:rsid w:val="571A2F2D"/>
    <w:rsid w:val="571C510A"/>
    <w:rsid w:val="57337379"/>
    <w:rsid w:val="57B91AC2"/>
    <w:rsid w:val="583059FA"/>
    <w:rsid w:val="5A2D3BDC"/>
    <w:rsid w:val="5A9D66AD"/>
    <w:rsid w:val="5AFD7B77"/>
    <w:rsid w:val="5B983671"/>
    <w:rsid w:val="5D223904"/>
    <w:rsid w:val="5F0F21D9"/>
    <w:rsid w:val="5FA17648"/>
    <w:rsid w:val="5FB37CDB"/>
    <w:rsid w:val="6041184F"/>
    <w:rsid w:val="607863E6"/>
    <w:rsid w:val="61A46A97"/>
    <w:rsid w:val="620A0ABA"/>
    <w:rsid w:val="627D5AD6"/>
    <w:rsid w:val="62DD7D21"/>
    <w:rsid w:val="63F66C47"/>
    <w:rsid w:val="642C1DF0"/>
    <w:rsid w:val="65D97752"/>
    <w:rsid w:val="665A3587"/>
    <w:rsid w:val="66941F28"/>
    <w:rsid w:val="66F76672"/>
    <w:rsid w:val="67815D12"/>
    <w:rsid w:val="68CC5B24"/>
    <w:rsid w:val="68DB0208"/>
    <w:rsid w:val="692C17C2"/>
    <w:rsid w:val="696C3F4A"/>
    <w:rsid w:val="69AD798C"/>
    <w:rsid w:val="6A110AD7"/>
    <w:rsid w:val="6A5A3D01"/>
    <w:rsid w:val="6A9547D5"/>
    <w:rsid w:val="6B68175F"/>
    <w:rsid w:val="6C4774C3"/>
    <w:rsid w:val="6C733C48"/>
    <w:rsid w:val="6E0F7A08"/>
    <w:rsid w:val="6E21123F"/>
    <w:rsid w:val="6EC12F9C"/>
    <w:rsid w:val="70380EB5"/>
    <w:rsid w:val="706630BF"/>
    <w:rsid w:val="70F3754D"/>
    <w:rsid w:val="71473612"/>
    <w:rsid w:val="718F7F65"/>
    <w:rsid w:val="71F605DF"/>
    <w:rsid w:val="71FD163F"/>
    <w:rsid w:val="72340C45"/>
    <w:rsid w:val="725A06E1"/>
    <w:rsid w:val="72C20820"/>
    <w:rsid w:val="730920D9"/>
    <w:rsid w:val="73135EE5"/>
    <w:rsid w:val="73CE3CDD"/>
    <w:rsid w:val="73EB7C08"/>
    <w:rsid w:val="73FB6630"/>
    <w:rsid w:val="74242FAA"/>
    <w:rsid w:val="7447570D"/>
    <w:rsid w:val="74511E48"/>
    <w:rsid w:val="749A544D"/>
    <w:rsid w:val="74E76DCD"/>
    <w:rsid w:val="766620C8"/>
    <w:rsid w:val="767E23C3"/>
    <w:rsid w:val="769901DB"/>
    <w:rsid w:val="76D53A35"/>
    <w:rsid w:val="77ED6F44"/>
    <w:rsid w:val="79F52457"/>
    <w:rsid w:val="7A3E54DB"/>
    <w:rsid w:val="7B124498"/>
    <w:rsid w:val="7B164F0F"/>
    <w:rsid w:val="7B957477"/>
    <w:rsid w:val="7C883F0C"/>
    <w:rsid w:val="7D35544B"/>
    <w:rsid w:val="7D697356"/>
    <w:rsid w:val="7DEC608F"/>
    <w:rsid w:val="7ED903D7"/>
    <w:rsid w:val="7F3D6FF7"/>
    <w:rsid w:val="7FE405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unhideWhenUsed/>
    <w:qFormat/>
    <w:uiPriority w:val="0"/>
    <w:pPr>
      <w:adjustRightInd w:val="0"/>
      <w:snapToGrid w:val="0"/>
      <w:spacing w:beforeLines="0" w:after="120" w:afterLines="0"/>
      <w:ind w:left="420" w:leftChars="200"/>
      <w:jc w:val="left"/>
    </w:pPr>
    <w:rPr>
      <w:rFonts w:hint="default" w:ascii="Tahoma" w:hAnsi="Tahoma" w:eastAsia="微软雅黑"/>
      <w:kern w:val="0"/>
      <w:sz w:val="22"/>
    </w:rPr>
  </w:style>
  <w:style w:type="paragraph" w:customStyle="1" w:styleId="4">
    <w:name w:val="Char Char Char"/>
    <w:basedOn w:val="1"/>
    <w:qFormat/>
    <w:uiPriority w:val="0"/>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3"/>
    <w:next w:val="1"/>
    <w:unhideWhenUsed/>
    <w:qFormat/>
    <w:uiPriority w:val="0"/>
    <w:pPr>
      <w:spacing w:before="100" w:beforeLines="0" w:beforeAutospacing="1" w:afterLines="0"/>
      <w:ind w:left="0" w:firstLine="420" w:firstLineChars="200"/>
    </w:pPr>
    <w:rPr>
      <w:rFonts w:hint="default" w:ascii="Times New Roman" w:hAnsi="Times New Roman"/>
      <w:sz w:val="22"/>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6273</Words>
  <Characters>6792</Characters>
  <Lines>0</Lines>
  <Paragraphs>0</Paragraphs>
  <TotalTime>12</TotalTime>
  <ScaleCrop>false</ScaleCrop>
  <LinksUpToDate>false</LinksUpToDate>
  <CharactersWithSpaces>6824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2024-02-19T04:01:33Z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5889CA49F289491788E2CD4FF81259D5</vt:lpwstr>
  </property>
</Properties>
</file>