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eastAsia="zh-CN"/>
        </w:rPr>
        <w:t>中国共产主义青年团乌鲁木齐市水磨沟区委员会2022年</w:t>
      </w:r>
      <w:r>
        <w:rPr>
          <w:rFonts w:hint="eastAsia" w:ascii="方正小标宋_GBK" w:hAnsi="宋体" w:eastAsia="方正小标宋_GBK"/>
          <w:sz w:val="44"/>
          <w:szCs w:val="44"/>
          <w:highlight w:val="none"/>
        </w:rPr>
        <w:t>度部门决算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第一部分 单位概况</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一、主要职能</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第二部分 部门决算情况说明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一、收入支出决算总体情况说明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三、支出决算情况说明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四、财政拨款收入支出决算总体情况说明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五、一般公共预算财政拨款支出决算情况说明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六、一般公共预算财政拨款基本支出决算情况说明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p>
    <w:p>
      <w:pPr>
        <w:rPr>
          <w:rFonts w:hint="eastAsia"/>
          <w:highlight w:val="none"/>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（二）政府采购情况</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（三）国有资产占用情况说明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第三部分 专业名词解释</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第四部分 部门决算报表（见附表）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二、《收入决算表》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三、《支出决算表》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四、《财政拨款收入支出决算总表》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五、《一般公共预算财政拨款支出决算表》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六、《一般公共预算财政拨款基本支出决算表》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七、《财政拨款“三公”经费支出决算表》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32314"/>
      <w:bookmarkStart w:id="1" w:name="_Toc24028"/>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Cs/>
          <w:kern w:val="0"/>
          <w:sz w:val="32"/>
          <w:szCs w:val="32"/>
          <w:highlight w:val="none"/>
          <w:lang w:eastAsia="zh-CN"/>
        </w:rPr>
      </w:pPr>
      <w:bookmarkStart w:id="4" w:name="_Toc31238"/>
      <w:bookmarkStart w:id="5" w:name="_Toc2151"/>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）领导全区共青团的工作。根据区委的中心工作和团市委 的工作要求，制定全区共青团工作的计划；负责检查和督促全 区各基层团组织的工作。</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二</w:t>
      </w:r>
      <w:r>
        <w:rPr>
          <w:rFonts w:hint="eastAsia" w:ascii="仿宋_GB2312" w:hAnsi="仿宋_GB2312" w:eastAsia="仿宋_GB2312" w:cs="仿宋_GB2312"/>
          <w:bCs/>
          <w:kern w:val="0"/>
          <w:sz w:val="32"/>
          <w:szCs w:val="32"/>
          <w:highlight w:val="none"/>
          <w:lang w:eastAsia="zh-CN"/>
        </w:rPr>
        <w:t>）组织全区团员青年在社会主义两个文明建设的里程中发 挥先锋模范作用。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三</w:t>
      </w:r>
      <w:r>
        <w:rPr>
          <w:rFonts w:hint="eastAsia" w:ascii="仿宋_GB2312" w:hAnsi="仿宋_GB2312" w:eastAsia="仿宋_GB2312" w:cs="仿宋_GB2312"/>
          <w:bCs/>
          <w:kern w:val="0"/>
          <w:sz w:val="32"/>
          <w:szCs w:val="32"/>
          <w:highlight w:val="none"/>
          <w:lang w:eastAsia="zh-CN"/>
        </w:rPr>
        <w:t>）加强共青团的组织建设和作风建设，整顿共青团的组织， 带好共青团的队伍。协助党委部门选拔、管理、考核、培训共 青团的干部，宣传、表彰、推荐优秀青少年。</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四</w:t>
      </w:r>
      <w:r>
        <w:rPr>
          <w:rFonts w:hint="eastAsia" w:ascii="仿宋_GB2312" w:hAnsi="仿宋_GB2312" w:eastAsia="仿宋_GB2312" w:cs="仿宋_GB2312"/>
          <w:bCs/>
          <w:kern w:val="0"/>
          <w:sz w:val="32"/>
          <w:szCs w:val="32"/>
          <w:highlight w:val="none"/>
          <w:lang w:eastAsia="zh-CN"/>
        </w:rPr>
        <w:t xml:space="preserve">）指导并组织全区青少年的思想道德、理论教育，以及宣 传文化活动和活动阵地建设，开展各项活动。 </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五</w:t>
      </w:r>
      <w:r>
        <w:rPr>
          <w:rFonts w:hint="eastAsia" w:ascii="仿宋_GB2312" w:hAnsi="仿宋_GB2312" w:eastAsia="仿宋_GB2312" w:cs="仿宋_GB2312"/>
          <w:bCs/>
          <w:kern w:val="0"/>
          <w:sz w:val="32"/>
          <w:szCs w:val="32"/>
          <w:highlight w:val="none"/>
          <w:lang w:eastAsia="zh-CN"/>
        </w:rPr>
        <w:t>）组织调查青少年思想动态和青年工作情况，研究青年运 动、青少年工作理论、青少年思想教育、青少年事业发展等工 作，提出相应对策。</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六</w:t>
      </w:r>
      <w:r>
        <w:rPr>
          <w:rFonts w:hint="eastAsia" w:ascii="仿宋_GB2312" w:hAnsi="仿宋_GB2312" w:eastAsia="仿宋_GB2312" w:cs="仿宋_GB2312"/>
          <w:bCs/>
          <w:kern w:val="0"/>
          <w:sz w:val="32"/>
          <w:szCs w:val="32"/>
          <w:highlight w:val="none"/>
          <w:lang w:eastAsia="zh-CN"/>
        </w:rPr>
        <w:t xml:space="preserve">）协助教育行政主管部门做好全区中、小学生的教育管理 工作，维护学校稳定和社会安定团结。 </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 xml:space="preserve">）负责全区青少年外事和区内外青少年友好交流工作。 </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）参与有关青少年工作法规的制定、实施、监督等工作， 协助党和政府处理、协调与青少年利益相关的事务，维护和代 表青少年的合法权益。</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 xml:space="preserve">）组织、指导各级团组织做好青少年事业发展的管理工作。 </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十</w:t>
      </w:r>
      <w:r>
        <w:rPr>
          <w:rFonts w:hint="eastAsia" w:ascii="仿宋_GB2312" w:hAnsi="仿宋_GB2312" w:eastAsia="仿宋_GB2312" w:cs="仿宋_GB2312"/>
          <w:bCs/>
          <w:kern w:val="0"/>
          <w:sz w:val="32"/>
          <w:szCs w:val="32"/>
          <w:highlight w:val="none"/>
          <w:lang w:eastAsia="zh-CN"/>
        </w:rPr>
        <w:t>）承担区委、区政府和团市委交办的其他事项。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中国共产主义青年团新疆乌鲁木齐市水磨沟区委员会2022年度，实有人数2人，其中：在职人员2人，离休人员0人，退休人员0人。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从部门决算单位构成看，中国共产主义青年团新疆乌鲁木齐市水磨沟区委员会部门决算包括：中国共产主义青年团新疆乌鲁木齐市水磨沟区委员会决算，</w:t>
      </w:r>
      <w:r>
        <w:rPr>
          <w:rFonts w:hint="eastAsia" w:ascii="仿宋_GB2312" w:hAnsi="黑体" w:eastAsia="仿宋_GB2312" w:cs="宋体"/>
          <w:bCs/>
          <w:kern w:val="0"/>
          <w:sz w:val="32"/>
          <w:szCs w:val="32"/>
          <w:highlight w:val="none"/>
        </w:rPr>
        <w:t>单位无下属预算单位，</w:t>
      </w:r>
      <w:r>
        <w:rPr>
          <w:rFonts w:hint="eastAsia" w:ascii="仿宋_GB2312" w:hAnsi="仿宋_GB2312" w:eastAsia="仿宋_GB2312" w:cs="仿宋_GB2312"/>
          <w:bCs/>
          <w:kern w:val="0"/>
          <w:sz w:val="32"/>
          <w:szCs w:val="32"/>
          <w:highlight w:val="none"/>
          <w:lang w:val="en-US" w:eastAsia="zh-CN" w:bidi="ar-SA"/>
        </w:rPr>
        <w:t>下设1个处室，分别是：团委办公室。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3092"/>
      <w:bookmarkStart w:id="7" w:name="_Toc29374"/>
      <w:r>
        <w:rPr>
          <w:rFonts w:hint="eastAsia" w:ascii="仿宋_GB2312" w:hAnsi="仿宋_GB2312" w:eastAsia="仿宋_GB2312" w:cs="仿宋_GB2312"/>
          <w:bCs/>
          <w:kern w:val="0"/>
          <w:sz w:val="32"/>
          <w:szCs w:val="32"/>
          <w:highlight w:val="none"/>
          <w:lang w:val="en-US" w:eastAsia="zh-CN" w:bidi="ar-SA"/>
        </w:rPr>
        <w:br w:type="page"/>
      </w: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eastAsia="zh-CN"/>
        </w:rPr>
        <w:t>2022年度</w:t>
      </w:r>
      <w:r>
        <w:rPr>
          <w:rFonts w:hint="eastAsia" w:ascii="仿宋_GB2312" w:eastAsia="仿宋_GB2312"/>
          <w:spacing w:val="0"/>
          <w:sz w:val="32"/>
          <w:szCs w:val="32"/>
          <w:highlight w:val="none"/>
          <w:lang w:val="en-US" w:eastAsia="zh-CN"/>
        </w:rPr>
        <w:t>收入总计77.23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其中：本年收入合计73.17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4.05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58.22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42.98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年底将收入红山青年大学生基层成长计划津补贴调账成为预拨资金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总计77.23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其中：本年支出合计64.49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12.74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58.22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42.98%</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年底将支出红山青年大学生基层成长计划津补贴调账成为预拨资金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本年收入</w:t>
      </w:r>
      <w:r>
        <w:rPr>
          <w:rFonts w:hint="eastAsia" w:ascii="仿宋_GB2312" w:eastAsia="仿宋_GB2312"/>
          <w:sz w:val="32"/>
          <w:szCs w:val="32"/>
          <w:highlight w:val="none"/>
          <w:lang w:val="en-US" w:eastAsia="zh-CN"/>
        </w:rPr>
        <w:t>73.17</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en-US" w:eastAsia="zh-CN"/>
        </w:rPr>
        <w:t>72.29</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98.8</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0.88</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64.49</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40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62.03</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24.5</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37.</w:t>
      </w:r>
      <w:r>
        <w:rPr>
          <w:rFonts w:hint="eastAsia" w:ascii="仿宋_GB2312" w:eastAsia="仿宋_GB2312"/>
          <w:sz w:val="32"/>
          <w:szCs w:val="32"/>
          <w:highlight w:val="none"/>
          <w:lang w:val="en-US" w:eastAsia="zh-CN"/>
        </w:rPr>
        <w:tab/>
      </w:r>
      <w:r>
        <w:rPr>
          <w:rFonts w:hint="eastAsia" w:ascii="仿宋_GB2312" w:eastAsia="仿宋_GB2312"/>
          <w:sz w:val="32"/>
          <w:szCs w:val="32"/>
          <w:highlight w:val="none"/>
          <w:lang w:val="en-US" w:eastAsia="zh-CN"/>
        </w:rPr>
        <w:t>97</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总计73.16</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其中：年初财政拨款结转和结余0.87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财政拨款本年收入72.29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47.72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39.48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年底将收入红山青年大学生基层成长计划津补贴调账成为预拨资金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总计73.16</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其中：年末财政拨款结转和结余9.36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财政拨款本年支出63.8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47.72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39.48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年底将支出红山青年大学生基层成长计划津补贴调账成为预拨资金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140.26</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73.16</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-47.84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红山青年大学生基层成长计划津补贴收入的减少和人员经费的减少</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140.26</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73.16</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-47.84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红山青年大学生基层成长计划津补贴支出的行政运行支出的减少</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eastAsia="zh-CN"/>
        </w:rPr>
        <w:t>2022年度一般公共预算财政拨款支出</w:t>
      </w:r>
      <w:r>
        <w:rPr>
          <w:rFonts w:hint="eastAsia" w:ascii="仿宋_GB2312" w:eastAsia="仿宋_GB2312"/>
          <w:spacing w:val="0"/>
          <w:sz w:val="32"/>
          <w:szCs w:val="32"/>
          <w:highlight w:val="none"/>
          <w:lang w:val="en-US" w:eastAsia="zh-CN"/>
        </w:rPr>
        <w:t>63.8</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98.93</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z w:val="32"/>
          <w:szCs w:val="32"/>
          <w:highlight w:val="none"/>
          <w:lang w:val="en-US" w:eastAsia="zh-CN"/>
        </w:rPr>
        <w:t>56.21</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z w:val="32"/>
          <w:szCs w:val="32"/>
          <w:highlight w:val="none"/>
          <w:lang w:val="en-US" w:eastAsia="zh-CN"/>
        </w:rPr>
        <w:t>46.84</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z w:val="32"/>
          <w:szCs w:val="32"/>
          <w:highlight w:val="none"/>
          <w:lang w:val="en-US" w:eastAsia="zh-CN"/>
        </w:rPr>
        <w:t>红山青年大学生基层成长计划津补贴支出的行政运行支出的减少</w:t>
      </w:r>
      <w:r>
        <w:rPr>
          <w:rFonts w:hint="eastAsia" w:ascii="仿宋_GB2312" w:eastAsia="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lang w:val="en-US" w:eastAsia="zh-CN"/>
        </w:rPr>
        <w:t>37.07</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58.1</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2.教育支出</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kern w:val="0"/>
          <w:sz w:val="32"/>
          <w:szCs w:val="32"/>
          <w:highlight w:val="none"/>
          <w:lang w:val="en-US" w:eastAsia="zh-CN"/>
        </w:rPr>
        <w:t>23.8万元，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37.3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3.社会保障和就业支出</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kern w:val="0"/>
          <w:sz w:val="32"/>
          <w:szCs w:val="32"/>
          <w:highlight w:val="none"/>
          <w:lang w:val="en-US" w:eastAsia="zh-CN"/>
        </w:rPr>
        <w:t>2.92万元，</w:t>
      </w:r>
      <w:r>
        <w:rPr>
          <w:rFonts w:hint="eastAsia" w:ascii="仿宋_GB2312" w:hAnsi="仿宋_GB2312" w:eastAsia="仿宋_GB2312" w:cs="仿宋_GB2312"/>
          <w:kern w:val="0"/>
          <w:sz w:val="32"/>
          <w:szCs w:val="32"/>
          <w:highlight w:val="none"/>
        </w:rPr>
        <w:t>占</w:t>
      </w:r>
      <w:r>
        <w:rPr>
          <w:rFonts w:hint="eastAsia" w:ascii="仿宋_GB2312" w:hAnsi="仿宋_GB2312" w:eastAsia="仿宋_GB2312" w:cs="仿宋_GB2312"/>
          <w:kern w:val="0"/>
          <w:sz w:val="32"/>
          <w:szCs w:val="32"/>
          <w:highlight w:val="none"/>
          <w:lang w:val="en-US" w:eastAsia="zh-CN"/>
        </w:rPr>
        <w:t>4.6</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1.一般公共服务（类）群众团体事务（款）行政运行（项）: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eastAsia="仿宋_GB2312"/>
          <w:spacing w:val="0"/>
          <w:sz w:val="32"/>
          <w:szCs w:val="32"/>
          <w:highlight w:val="none"/>
          <w:lang w:val="en-US" w:eastAsia="zh-CN"/>
        </w:rPr>
        <w:t>37.07</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eastAsia="仿宋_GB2312"/>
          <w:sz w:val="32"/>
          <w:szCs w:val="32"/>
          <w:highlight w:val="none"/>
          <w:lang w:val="en-US" w:eastAsia="zh-CN"/>
        </w:rPr>
        <w:t>9.22</w:t>
      </w:r>
      <w:r>
        <w:rPr>
          <w:rFonts w:hint="eastAsia" w:ascii="仿宋_GB2312" w:hAnsi="仿宋_GB2312" w:eastAsia="仿宋_GB2312" w:cs="仿宋_GB2312"/>
          <w:kern w:val="0"/>
          <w:sz w:val="32"/>
          <w:szCs w:val="32"/>
          <w:highlight w:val="none"/>
        </w:rPr>
        <w:t>万元，下降</w:t>
      </w:r>
      <w:r>
        <w:rPr>
          <w:rFonts w:hint="eastAsia" w:ascii="仿宋_GB2312" w:eastAsia="仿宋_GB2312"/>
          <w:sz w:val="32"/>
          <w:szCs w:val="32"/>
          <w:highlight w:val="none"/>
          <w:lang w:val="en-US" w:eastAsia="zh-CN"/>
        </w:rPr>
        <w:t>19.92</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人员调动导致人员经费和公用经费的减少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kern w:val="0"/>
          <w:sz w:val="32"/>
          <w:szCs w:val="32"/>
          <w:highlight w:val="none"/>
        </w:rPr>
        <w:t>2.教育支出</w:t>
      </w:r>
      <w:r>
        <w:rPr>
          <w:rFonts w:hint="eastAsia" w:ascii="仿宋_GB2312" w:hAnsi="仿宋_GB2312" w:eastAsia="仿宋_GB2312" w:cs="仿宋_GB2312"/>
          <w:kern w:val="0"/>
          <w:sz w:val="32"/>
          <w:szCs w:val="32"/>
          <w:highlight w:val="none"/>
          <w:lang w:val="en-US" w:eastAsia="zh-CN"/>
        </w:rPr>
        <w:t>（类）普通教育（款）</w:t>
      </w:r>
      <w:r>
        <w:rPr>
          <w:rFonts w:hint="eastAsia" w:ascii="仿宋_GB2312" w:hAnsi="仿宋_GB2312" w:eastAsia="仿宋_GB2312" w:cs="仿宋_GB2312"/>
          <w:kern w:val="0"/>
          <w:sz w:val="32"/>
          <w:szCs w:val="32"/>
          <w:highlight w:val="none"/>
        </w:rPr>
        <w:t>其他普通教育支出</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支出</w:t>
      </w:r>
      <w:r>
        <w:rPr>
          <w:rFonts w:hint="eastAsia" w:ascii="仿宋_GB2312" w:hAnsi="仿宋_GB2312" w:eastAsia="仿宋_GB2312" w:cs="仿宋_GB2312"/>
          <w:kern w:val="0"/>
          <w:sz w:val="32"/>
          <w:szCs w:val="32"/>
          <w:highlight w:val="none"/>
          <w:lang w:val="en-US" w:eastAsia="zh-CN"/>
        </w:rPr>
        <w:t>决算数23.8万元，</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eastAsia="仿宋_GB2312"/>
          <w:sz w:val="32"/>
          <w:szCs w:val="32"/>
          <w:highlight w:val="none"/>
          <w:lang w:val="en-US" w:eastAsia="zh-CN"/>
        </w:rPr>
        <w:t>43.18</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下降64.47%</w:t>
      </w:r>
      <w:r>
        <w:rPr>
          <w:rFonts w:hint="eastAsia" w:ascii="仿宋_GB2312" w:eastAsia="仿宋_GB2312"/>
          <w:sz w:val="32"/>
          <w:szCs w:val="32"/>
          <w:highlight w:val="none"/>
          <w:lang w:val="en-US" w:eastAsia="zh-CN"/>
        </w:rPr>
        <w:t>，</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val="en-US" w:eastAsia="zh-CN"/>
        </w:rPr>
        <w:t>红山青年大学生基层成长计划津补贴支出的减少。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eastAsia="仿宋_GB2312"/>
          <w:sz w:val="32"/>
          <w:szCs w:val="32"/>
          <w:highlight w:val="none"/>
          <w:lang w:val="en-US" w:eastAsia="zh-CN"/>
        </w:rPr>
        <w:t>3、社会保障和就业支出</w:t>
      </w:r>
      <w:r>
        <w:rPr>
          <w:rFonts w:hint="eastAsia" w:ascii="仿宋_GB2312" w:hAnsi="仿宋_GB2312" w:eastAsia="仿宋_GB2312" w:cs="仿宋_GB2312"/>
          <w:kern w:val="0"/>
          <w:sz w:val="32"/>
          <w:szCs w:val="32"/>
          <w:highlight w:val="none"/>
          <w:lang w:val="en-US" w:eastAsia="zh-CN"/>
        </w:rPr>
        <w:t>（类）民政管理事务（款）</w:t>
      </w:r>
      <w:r>
        <w:rPr>
          <w:rFonts w:hint="eastAsia" w:ascii="仿宋_GB2312" w:eastAsia="仿宋_GB2312"/>
          <w:sz w:val="32"/>
          <w:szCs w:val="32"/>
          <w:highlight w:val="none"/>
          <w:lang w:val="en-US" w:eastAsia="zh-CN"/>
        </w:rPr>
        <w:t>基层政权建设和社区治理</w:t>
      </w:r>
      <w:r>
        <w:rPr>
          <w:rFonts w:hint="eastAsia" w:ascii="仿宋_GB2312" w:hAnsi="仿宋_GB2312" w:eastAsia="仿宋_GB2312" w:cs="仿宋_GB2312"/>
          <w:kern w:val="0"/>
          <w:sz w:val="32"/>
          <w:szCs w:val="32"/>
          <w:highlight w:val="none"/>
          <w:lang w:val="en-US" w:eastAsia="zh-CN"/>
        </w:rPr>
        <w:t>（项）</w:t>
      </w:r>
      <w:r>
        <w:rPr>
          <w:rFonts w:hint="eastAsia" w:ascii="仿宋_GB2312" w:eastAsia="仿宋_GB2312"/>
          <w:sz w:val="32"/>
          <w:szCs w:val="32"/>
          <w:highlight w:val="none"/>
          <w:lang w:val="en-US" w:eastAsia="zh-CN"/>
        </w:rPr>
        <w:t>支出决算数为0，</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eastAsia="仿宋_GB2312"/>
          <w:sz w:val="32"/>
          <w:szCs w:val="32"/>
          <w:highlight w:val="none"/>
          <w:lang w:val="en-US" w:eastAsia="zh-CN"/>
        </w:rPr>
        <w:t>0.42</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eastAsia="仿宋_GB2312"/>
          <w:sz w:val="32"/>
          <w:szCs w:val="32"/>
          <w:highlight w:val="none"/>
          <w:lang w:val="en-US" w:eastAsia="zh-CN"/>
        </w:rPr>
        <w:t>，</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访惠聚成员补助没有发放。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4、社会保障和就业支出（类）行政事业单位养老支出（款）机关事业单位基本养老保险缴费（项）支出</w:t>
      </w:r>
      <w:r>
        <w:rPr>
          <w:rFonts w:hint="eastAsia" w:ascii="仿宋_GB2312" w:eastAsia="仿宋_GB2312"/>
          <w:sz w:val="32"/>
          <w:szCs w:val="32"/>
          <w:highlight w:val="none"/>
          <w:lang w:val="en-US" w:eastAsia="zh-CN"/>
        </w:rPr>
        <w:t>决算数为2.92万元，</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eastAsia="仿宋_GB2312"/>
          <w:sz w:val="32"/>
          <w:szCs w:val="32"/>
          <w:highlight w:val="none"/>
          <w:lang w:val="en-US" w:eastAsia="zh-CN"/>
        </w:rPr>
        <w:t>0.49</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下降12.57%</w:t>
      </w:r>
      <w:r>
        <w:rPr>
          <w:rFonts w:hint="eastAsia" w:ascii="仿宋_GB2312" w:eastAsia="仿宋_GB2312"/>
          <w:sz w:val="32"/>
          <w:szCs w:val="32"/>
          <w:highlight w:val="none"/>
          <w:lang w:val="en-US" w:eastAsia="zh-CN"/>
        </w:rPr>
        <w:t>，</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本单位本年有人员调出，所以机关事业单位基本养老保险缴费支出有所减少。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5、城乡社区支出（类）其他城乡社区支出（款） 其他城乡社区支出（项）支出</w:t>
      </w:r>
      <w:r>
        <w:rPr>
          <w:rFonts w:hint="eastAsia" w:ascii="仿宋_GB2312" w:eastAsia="仿宋_GB2312"/>
          <w:sz w:val="32"/>
          <w:szCs w:val="32"/>
          <w:highlight w:val="none"/>
          <w:lang w:val="en-US" w:eastAsia="zh-CN"/>
        </w:rPr>
        <w:t>决算数为0万元，</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2.72</w:t>
      </w:r>
      <w:bookmarkStart w:id="54" w:name="_GoBack"/>
      <w:bookmarkEnd w:id="54"/>
      <w:r>
        <w:rPr>
          <w:rFonts w:hint="eastAsia" w:ascii="仿宋_GB2312" w:hAnsi="仿宋_GB2312" w:eastAsia="仿宋_GB2312" w:cs="仿宋_GB2312"/>
          <w:kern w:val="0"/>
          <w:sz w:val="32"/>
          <w:szCs w:val="32"/>
          <w:highlight w:val="none"/>
          <w:lang w:val="en-US" w:eastAsia="zh-CN"/>
        </w:rPr>
        <w:t>万元，下降100%，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雇员经费当年根据财政要求调整为预拨资金。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6、其他支出（类）其他支出（款） 其他支出（项）支出</w:t>
      </w:r>
      <w:r>
        <w:rPr>
          <w:rFonts w:hint="eastAsia" w:ascii="仿宋_GB2312" w:eastAsia="仿宋_GB2312"/>
          <w:sz w:val="32"/>
          <w:szCs w:val="32"/>
          <w:highlight w:val="none"/>
          <w:lang w:val="en-US" w:eastAsia="zh-CN"/>
        </w:rPr>
        <w:t>决算数为0万元，</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0.18万元，下降100%，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“访惠聚”活动成员补助经费当年未发生。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11146"/>
      <w:bookmarkStart w:id="19" w:name="_Toc30870"/>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40</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39.25</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0.75</w:t>
      </w:r>
      <w:r>
        <w:rPr>
          <w:rFonts w:hint="eastAsia" w:ascii="仿宋_GB2312" w:eastAsia="仿宋_GB2312"/>
          <w:sz w:val="32"/>
          <w:szCs w:val="32"/>
          <w:highlight w:val="none"/>
        </w:rPr>
        <w:t>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劳务费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7190"/>
      <w:bookmarkStart w:id="21" w:name="_Toc21518"/>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0.41</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1.52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78.76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主要原因是：因</w:t>
      </w:r>
      <w:r>
        <w:rPr>
          <w:rFonts w:hint="eastAsia" w:ascii="仿宋_GB2312" w:eastAsia="仿宋_GB2312"/>
          <w:sz w:val="32"/>
          <w:szCs w:val="32"/>
          <w:highlight w:val="none"/>
          <w:lang w:val="en-US" w:eastAsia="zh-CN"/>
        </w:rPr>
        <w:t>下半年</w:t>
      </w:r>
      <w:r>
        <w:rPr>
          <w:rFonts w:hint="eastAsia" w:ascii="仿宋_GB2312" w:eastAsia="仿宋_GB2312"/>
          <w:sz w:val="32"/>
          <w:szCs w:val="32"/>
          <w:highlight w:val="none"/>
          <w:lang w:eastAsia="zh-CN"/>
        </w:rPr>
        <w:t>出车频次减少，油料费</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lang w:eastAsia="zh-CN"/>
        </w:rPr>
        <w:t>等相应减少。</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w:t>
      </w:r>
      <w:r>
        <w:rPr>
          <w:rFonts w:hint="eastAsia" w:ascii="仿宋_GB2312" w:eastAsia="仿宋_GB2312"/>
          <w:sz w:val="32"/>
          <w:szCs w:val="32"/>
          <w:highlight w:val="none"/>
        </w:rPr>
        <w:t>因公出国（境）费</w:t>
      </w:r>
      <w:r>
        <w:rPr>
          <w:rFonts w:hint="eastAsia" w:ascii="仿宋_GB2312" w:eastAsia="仿宋_GB2312"/>
          <w:sz w:val="32"/>
          <w:szCs w:val="32"/>
          <w:highlight w:val="none"/>
          <w:lang w:val="en-US" w:eastAsia="zh-CN"/>
        </w:rPr>
        <w:t>当年未发生支出</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0.41</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%，比上年减少</w:t>
      </w:r>
      <w:r>
        <w:rPr>
          <w:rFonts w:hint="eastAsia" w:ascii="仿宋_GB2312" w:eastAsia="仿宋_GB2312"/>
          <w:sz w:val="32"/>
          <w:szCs w:val="32"/>
          <w:highlight w:val="none"/>
          <w:lang w:val="en-US" w:eastAsia="zh-CN"/>
        </w:rPr>
        <w:t>1.52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78.76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主要原因是：因</w:t>
      </w:r>
      <w:r>
        <w:rPr>
          <w:rFonts w:hint="eastAsia" w:ascii="仿宋_GB2312" w:eastAsia="仿宋_GB2312"/>
          <w:sz w:val="32"/>
          <w:szCs w:val="32"/>
          <w:highlight w:val="none"/>
          <w:lang w:val="en-US" w:eastAsia="zh-CN"/>
        </w:rPr>
        <w:t>下半年</w:t>
      </w:r>
      <w:r>
        <w:rPr>
          <w:rFonts w:hint="eastAsia" w:ascii="仿宋_GB2312" w:eastAsia="仿宋_GB2312"/>
          <w:sz w:val="32"/>
          <w:szCs w:val="32"/>
          <w:highlight w:val="none"/>
          <w:lang w:eastAsia="zh-CN"/>
        </w:rPr>
        <w:t>出车频次减少，油料费等相应减少</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w:t>
      </w: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当年未发生支出</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因公出国（境）费支出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开支内容是我单位本年无</w:t>
      </w:r>
      <w:r>
        <w:rPr>
          <w:rFonts w:hint="eastAsia" w:ascii="仿宋_GB2312" w:eastAsia="仿宋_GB2312"/>
          <w:spacing w:val="0"/>
          <w:sz w:val="32"/>
          <w:szCs w:val="32"/>
          <w:highlight w:val="none"/>
          <w:lang w:eastAsia="zh-CN"/>
        </w:rPr>
        <w:t>因公出国（境）费支出，单位全年安排的因公出国（境）团组</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个，因公出国（境）</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0.41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0.41</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开支</w:t>
      </w:r>
      <w:r>
        <w:rPr>
          <w:rFonts w:hint="eastAsia" w:ascii="仿宋_GB2312" w:eastAsia="仿宋_GB2312"/>
          <w:sz w:val="32"/>
          <w:szCs w:val="32"/>
          <w:highlight w:val="none"/>
        </w:rPr>
        <w:t>内容包括</w:t>
      </w:r>
      <w:r>
        <w:rPr>
          <w:rFonts w:hint="eastAsia" w:ascii="仿宋_GB2312" w:eastAsia="仿宋_GB2312"/>
          <w:sz w:val="32"/>
          <w:szCs w:val="32"/>
          <w:highlight w:val="none"/>
          <w:lang w:val="en-US" w:eastAsia="zh-CN"/>
        </w:rPr>
        <w:t>车辆维修费、车辆保险费、燃油费等</w:t>
      </w:r>
      <w:r>
        <w:rPr>
          <w:rFonts w:hint="eastAsia" w:ascii="仿宋_GB2312" w:eastAsia="仿宋_GB2312"/>
          <w:sz w:val="32"/>
          <w:szCs w:val="32"/>
          <w:highlight w:val="none"/>
        </w:rPr>
        <w:t>。公务用车购置数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公务接待费</w:t>
      </w:r>
      <w:r>
        <w:rPr>
          <w:rFonts w:hint="eastAsia" w:ascii="仿宋_GB2312" w:eastAsia="仿宋_GB2312"/>
          <w:spacing w:val="0"/>
          <w:sz w:val="32"/>
          <w:szCs w:val="32"/>
          <w:highlight w:val="none"/>
          <w:lang w:eastAsia="zh-CN"/>
        </w:rPr>
        <w:fldChar w:fldCharType="begin"/>
      </w:r>
      <w:r>
        <w:rPr>
          <w:highlight w:val="none"/>
        </w:rPr>
        <w:instrText xml:space="preserve"> LINK Excel.Sheet.8 "C:\\Users\\Dell\\Desktop\\人社局.xls" "F03!R12C5"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开支内容是我单位本年未发生公务接待费</w:t>
      </w:r>
      <w:r>
        <w:rPr>
          <w:rFonts w:hint="eastAsia" w:ascii="仿宋_GB2312" w:eastAsia="仿宋_GB2312"/>
          <w:spacing w:val="0"/>
          <w:sz w:val="32"/>
          <w:szCs w:val="32"/>
          <w:highlight w:val="none"/>
          <w:lang w:eastAsia="zh-CN"/>
        </w:rPr>
        <w:t>。单位全年安排的国内公务接待</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批次，</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2.23</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0.41</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-81.61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因</w:t>
      </w:r>
      <w:r>
        <w:rPr>
          <w:rFonts w:hint="eastAsia" w:ascii="仿宋_GB2312" w:eastAsia="仿宋_GB2312"/>
          <w:sz w:val="32"/>
          <w:szCs w:val="32"/>
          <w:highlight w:val="none"/>
          <w:lang w:val="en-US" w:eastAsia="zh-CN"/>
        </w:rPr>
        <w:t>下半年</w:t>
      </w:r>
      <w:r>
        <w:rPr>
          <w:rFonts w:hint="eastAsia" w:ascii="仿宋_GB2312" w:eastAsia="仿宋_GB2312"/>
          <w:sz w:val="32"/>
          <w:szCs w:val="32"/>
          <w:highlight w:val="none"/>
        </w:rPr>
        <w:t>出车频次减少，油料费等相应减少。</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w:t>
      </w:r>
      <w:r>
        <w:rPr>
          <w:rFonts w:hint="eastAsia" w:ascii="仿宋_GB2312" w:eastAsia="仿宋_GB2312"/>
          <w:sz w:val="32"/>
          <w:szCs w:val="32"/>
          <w:highlight w:val="none"/>
        </w:rPr>
        <w:t>因公出国（境）费</w:t>
      </w:r>
      <w:r>
        <w:rPr>
          <w:rFonts w:hint="eastAsia" w:ascii="仿宋_GB2312" w:eastAsia="仿宋_GB2312"/>
          <w:sz w:val="32"/>
          <w:szCs w:val="32"/>
          <w:highlight w:val="none"/>
          <w:lang w:val="en-US" w:eastAsia="zh-CN"/>
        </w:rPr>
        <w:t>当年未发生支出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当年未发生支出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2.23</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0.41</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-81.61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w:t>
      </w:r>
      <w:r>
        <w:rPr>
          <w:rFonts w:hint="eastAsia" w:ascii="仿宋_GB2312" w:eastAsia="仿宋_GB2312"/>
          <w:sz w:val="32"/>
          <w:szCs w:val="32"/>
          <w:highlight w:val="none"/>
        </w:rPr>
        <w:t>因</w:t>
      </w:r>
      <w:r>
        <w:rPr>
          <w:rFonts w:hint="eastAsia" w:ascii="仿宋_GB2312" w:eastAsia="仿宋_GB2312"/>
          <w:sz w:val="32"/>
          <w:szCs w:val="32"/>
          <w:highlight w:val="none"/>
          <w:lang w:val="en-US" w:eastAsia="zh-CN"/>
        </w:rPr>
        <w:t>下半年</w:t>
      </w:r>
      <w:r>
        <w:rPr>
          <w:rFonts w:hint="eastAsia" w:ascii="仿宋_GB2312" w:eastAsia="仿宋_GB2312"/>
          <w:sz w:val="32"/>
          <w:szCs w:val="32"/>
          <w:highlight w:val="none"/>
        </w:rPr>
        <w:t>出车频次减少，油料费</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rPr>
        <w:t>等相应减少。</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我单位当年未发生接待费支出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lang w:eastAsia="zh-CN"/>
        </w:rPr>
      </w:pPr>
      <w:bookmarkStart w:id="22" w:name="_Toc7927"/>
      <w:bookmarkStart w:id="23" w:name="_Toc5810"/>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7314"/>
      <w:bookmarkStart w:id="25" w:name="_Toc12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ind w:firstLine="640" w:firstLineChars="200"/>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2022年度</w:t>
      </w:r>
      <w:r>
        <w:rPr>
          <w:rFonts w:hint="eastAsia" w:ascii="仿宋_GB2312" w:hAnsi="仿宋_GB2312" w:eastAsia="仿宋_GB2312"/>
          <w:color w:val="auto"/>
          <w:kern w:val="0"/>
          <w:sz w:val="32"/>
          <w:highlight w:val="none"/>
          <w:lang w:val="en-US"/>
        </w:rPr>
        <w:t>中国共产主义青年团乌鲁木齐市水磨沟区委员会</w:t>
      </w:r>
      <w:r>
        <w:rPr>
          <w:rFonts w:hint="eastAsia" w:ascii="仿宋_GB2312" w:hAnsi="仿宋_GB2312" w:eastAsia="仿宋_GB2312"/>
          <w:kern w:val="0"/>
          <w:sz w:val="32"/>
          <w:highlight w:val="none"/>
          <w:lang w:val="en-US"/>
        </w:rPr>
        <w:t>（</w:t>
      </w:r>
      <w:r>
        <w:rPr>
          <w:rFonts w:hint="eastAsia" w:ascii="仿宋_GB2312" w:eastAsia="仿宋_GB2312"/>
          <w:sz w:val="32"/>
          <w:szCs w:val="32"/>
          <w:highlight w:val="none"/>
        </w:rPr>
        <w:t>行政单位和参照公务员法管理事业单位</w:t>
      </w:r>
      <w:r>
        <w:rPr>
          <w:rFonts w:hint="eastAsia" w:ascii="仿宋_GB2312" w:hAnsi="仿宋_GB2312" w:eastAsia="仿宋_GB2312"/>
          <w:kern w:val="0"/>
          <w:sz w:val="32"/>
          <w:highlight w:val="none"/>
          <w:lang w:val="en-US"/>
        </w:rPr>
        <w:t>）</w:t>
      </w:r>
      <w:r>
        <w:rPr>
          <w:rFonts w:hint="eastAsia" w:ascii="仿宋_GB2312" w:eastAsia="仿宋_GB2312"/>
          <w:sz w:val="32"/>
          <w:szCs w:val="32"/>
          <w:highlight w:val="none"/>
        </w:rPr>
        <w:t>机关运行经费支出</w:t>
      </w:r>
      <w:r>
        <w:rPr>
          <w:rFonts w:hint="eastAsia" w:ascii="仿宋_GB2312" w:eastAsia="仿宋_GB2312"/>
          <w:sz w:val="32"/>
          <w:szCs w:val="32"/>
          <w:highlight w:val="none"/>
          <w:lang w:val="en-US" w:eastAsia="zh-CN"/>
        </w:rPr>
        <w:t>0.75</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4.46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85.6</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w:t>
      </w:r>
      <w:r>
        <w:rPr>
          <w:rFonts w:hint="eastAsia" w:ascii="仿宋_GB2312" w:eastAsia="仿宋_GB2312"/>
          <w:sz w:val="32"/>
          <w:szCs w:val="32"/>
          <w:highlight w:val="none"/>
          <w:lang w:val="en-US" w:eastAsia="zh-CN"/>
        </w:rPr>
        <w:t>防控</w:t>
      </w:r>
      <w:r>
        <w:rPr>
          <w:rFonts w:hint="eastAsia" w:ascii="仿宋_GB2312" w:eastAsia="仿宋_GB2312"/>
          <w:sz w:val="32"/>
          <w:szCs w:val="32"/>
          <w:highlight w:val="none"/>
          <w:lang w:eastAsia="zh-CN"/>
        </w:rPr>
        <w:t>期间</w:t>
      </w:r>
      <w:r>
        <w:rPr>
          <w:rFonts w:hint="eastAsia" w:ascii="仿宋_GB2312" w:eastAsia="仿宋_GB2312"/>
          <w:sz w:val="32"/>
          <w:szCs w:val="32"/>
          <w:highlight w:val="none"/>
        </w:rPr>
        <w:t>导致办公经费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rPr>
        <w:t>等减少。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6704"/>
      <w:bookmarkStart w:id="29" w:name="_Toc227"/>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4591"/>
      <w:bookmarkStart w:id="31" w:name="_Toc83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eastAsia="zh-CN"/>
        </w:rPr>
        <w:t>2022年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固定资产原值20.41</w:t>
      </w:r>
      <w:r>
        <w:rPr>
          <w:rFonts w:hint="eastAsia" w:ascii="仿宋_GB2312" w:eastAsia="仿宋_GB2312"/>
          <w:sz w:val="32"/>
          <w:szCs w:val="32"/>
          <w:highlight w:val="none"/>
          <w:lang w:val="en-US" w:eastAsia="zh-CN"/>
        </w:rPr>
        <w:t>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pacing w:val="0"/>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pacing w:val="0"/>
          <w:sz w:val="32"/>
          <w:szCs w:val="32"/>
          <w:highlight w:val="none"/>
          <w:lang w:val="en-US" w:eastAsia="zh-CN"/>
        </w:rPr>
        <w:t>1</w:t>
      </w:r>
      <w:r>
        <w:rPr>
          <w:rFonts w:hint="eastAsia" w:ascii="仿宋_GB2312" w:eastAsia="仿宋_GB2312"/>
          <w:sz w:val="32"/>
          <w:szCs w:val="32"/>
          <w:highlight w:val="none"/>
        </w:rPr>
        <w:t>辆，价值</w:t>
      </w:r>
      <w:r>
        <w:rPr>
          <w:rFonts w:hint="eastAsia" w:ascii="仿宋_GB2312" w:eastAsia="仿宋_GB2312"/>
          <w:spacing w:val="0"/>
          <w:sz w:val="32"/>
          <w:szCs w:val="32"/>
          <w:highlight w:val="none"/>
          <w:lang w:val="en-US" w:eastAsia="zh-CN"/>
        </w:rPr>
        <w:t>10.52</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val="en-US" w:eastAsia="zh-CN"/>
        </w:rPr>
        <w:t>我单位其他用车为公务用车</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bookmarkStart w:id="32" w:name="_Toc435"/>
      <w:bookmarkStart w:id="33" w:name="_Toc11283"/>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lang w:val="en-US" w:eastAsia="zh-CN"/>
        </w:rPr>
        <w:t>一</w:t>
      </w:r>
      <w:r>
        <w:rPr>
          <w:rFonts w:hint="eastAsia" w:ascii="黑体" w:hAnsi="黑体" w:eastAsia="黑体" w:cs="宋体"/>
          <w:bCs/>
          <w:color w:val="auto"/>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bookmarkStart w:id="34" w:name="_Toc24143"/>
      <w:bookmarkStart w:id="35" w:name="_Toc3250"/>
      <w:r>
        <w:rPr>
          <w:rFonts w:hint="eastAsia" w:ascii="仿宋_GB2312" w:eastAsia="仿宋_GB2312"/>
          <w:sz w:val="32"/>
          <w:szCs w:val="32"/>
          <w:highlight w:val="none"/>
          <w:lang w:eastAsia="zh-CN"/>
        </w:rPr>
        <w:t>根据预算绩效管理要求，我单位2022年度开展预算绩效评价项目</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全年预算数83.89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全年执行数83.8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预算绩效管理取得的成效： 一是完善制度。把绩效评价工作列入年度工作计划,并加大对绩 效评价工作重要性和必要性的宣传力度，提高了项目资金使用 的绩效意识；二是重点突破。以预算绩效目标为突破口，单位审核及预算管理部门审核，报财政绩效评价备案，以便项目实 施完成，进行跟踪问效评价。发现的问题及原因：一是系统性不强，所反映的数据并不能够整体性的评估一个绩效预算方案 的可行性，预算绩效管理从业人员的专业素质偏低；二是预算 切合单位实际需要不足，追加预算不够细化，项目绩效支出的 绩效考核力度不够强。预算编制时考虑单位各个项目的收支情 况不够全面，责任划分不够明确，预算管理意识不够强，专项 资金管理办法不够完善，领导干部的依法行政意识不够强，跟 踪检查制度不够完善，常态化活动经费的管理制度不够完善。 绩效管理缺乏系统性。缺乏系统的绩效目标和刚性的制度约束。 绩效考评指标设计不当，容易产生误导性。强调激励的统一性 而忽略了激励的差异性。对绩效管理的认识缺乏统一性。预算 不太切合单位实际需要，追加预算不够细化，项目绩效支出的 绩效考核力度不够大。下一步改进措施:一是强化绩效方案的可 行性，增强工作人员的专业素质；二是要有合理化的、科学化、 规范化的预算编制，采用动态化预算编制方法，缩短预算执行 周期，建立专门的专项经费管理小组，最大限度提升对专项经 费的管理与使用。预算编制时考虑单位各个项目的收支情况， 协调好各个部门，各个岗位之间的责任，这样才能保障预算方 案可以有效执行。树立以财政政策为导向的绩效管理理念。建 立系统的绩效管理体系。一个完整的绩效管理体系，应该包括 绩效计划，绩效过程观察与控制，绩效考评，绩效反馈四个环节。建立有效的，全过程的绩效管理沟通机制。</w:t>
      </w:r>
    </w:p>
    <w:p>
      <w:pPr>
        <w:keepNext w:val="0"/>
        <w:keepLines w:val="0"/>
        <w:pageBreakBefore w:val="0"/>
        <w:widowControl w:val="0"/>
        <w:kinsoku/>
        <w:wordWrap/>
        <w:overflowPunct/>
        <w:topLinePunct w:val="0"/>
        <w:bidi w:val="0"/>
        <w:adjustRightInd/>
        <w:snapToGrid/>
        <w:spacing w:line="240" w:lineRule="auto"/>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具体项目自评情况附项目支出绩效自评表。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0"/>
        <w:rPr>
          <w:rFonts w:ascii="宋体" w:hAnsi="宋体" w:eastAsia="宋体" w:cs="宋体"/>
          <w:sz w:val="24"/>
          <w:szCs w:val="24"/>
          <w:highlight w:val="none"/>
        </w:rPr>
      </w:pPr>
    </w:p>
    <w:tbl>
      <w:tblPr>
        <w:tblStyle w:val="8"/>
        <w:tblW w:w="9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2"/>
        <w:gridCol w:w="633"/>
        <w:gridCol w:w="671"/>
        <w:gridCol w:w="886"/>
        <w:gridCol w:w="826"/>
        <w:gridCol w:w="498"/>
        <w:gridCol w:w="1110"/>
        <w:gridCol w:w="870"/>
        <w:gridCol w:w="371"/>
        <w:gridCol w:w="457"/>
        <w:gridCol w:w="489"/>
        <w:gridCol w:w="445"/>
        <w:gridCol w:w="450"/>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904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904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12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项目名称</w:t>
            </w:r>
          </w:p>
        </w:tc>
        <w:tc>
          <w:tcPr>
            <w:tcW w:w="7775"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红山青年基层成长计划津补贴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1" w:hRule="atLeast"/>
        </w:trPr>
        <w:tc>
          <w:tcPr>
            <w:tcW w:w="12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主管部门</w:t>
            </w:r>
          </w:p>
        </w:tc>
        <w:tc>
          <w:tcPr>
            <w:tcW w:w="399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中国共产主义青年团乌鲁木齐市水磨沟区委员会</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实施单位</w:t>
            </w:r>
          </w:p>
        </w:tc>
        <w:tc>
          <w:tcPr>
            <w:tcW w:w="254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中国共产主义青年团乌鲁木齐市水磨沟区委员会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126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项目资金</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（万元）</w:t>
            </w:r>
          </w:p>
        </w:tc>
        <w:tc>
          <w:tcPr>
            <w:tcW w:w="15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年初预算数</w:t>
            </w:r>
          </w:p>
        </w:tc>
        <w:tc>
          <w:tcPr>
            <w:tcW w:w="16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全年预算数</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全年执行数</w:t>
            </w:r>
          </w:p>
        </w:tc>
        <w:tc>
          <w:tcPr>
            <w:tcW w:w="9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分值</w:t>
            </w:r>
          </w:p>
        </w:tc>
        <w:tc>
          <w:tcPr>
            <w:tcW w:w="8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执行率</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12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年度资金总额</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83.89</w:t>
            </w:r>
          </w:p>
        </w:tc>
        <w:tc>
          <w:tcPr>
            <w:tcW w:w="16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83.89</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83.80</w:t>
            </w:r>
          </w:p>
        </w:tc>
        <w:tc>
          <w:tcPr>
            <w:tcW w:w="9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8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99.89%</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12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其中：当年财政拨款</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83.89</w:t>
            </w:r>
          </w:p>
        </w:tc>
        <w:tc>
          <w:tcPr>
            <w:tcW w:w="16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83.89</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83.8</w:t>
            </w:r>
          </w:p>
        </w:tc>
        <w:tc>
          <w:tcPr>
            <w:tcW w:w="9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8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12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      上年结转资金</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c>
          <w:tcPr>
            <w:tcW w:w="16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c>
          <w:tcPr>
            <w:tcW w:w="9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8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12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  其他资金</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c>
          <w:tcPr>
            <w:tcW w:w="16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w:t>
            </w:r>
          </w:p>
        </w:tc>
        <w:tc>
          <w:tcPr>
            <w:tcW w:w="9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8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年度总体目标</w:t>
            </w:r>
          </w:p>
        </w:tc>
        <w:tc>
          <w:tcPr>
            <w:tcW w:w="462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预期目标</w:t>
            </w:r>
          </w:p>
        </w:tc>
        <w:tc>
          <w:tcPr>
            <w:tcW w:w="378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8"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462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鼓励引导人才向艰苦边远地区和基层一线流动的相关意见，支持青年大学生在基层建功立业，为基层留住和稳定一批优秀青年人才，水区团委实施红山青年大学生基层成长计划。2022年计划招募20名志愿者，通过实施本项目，可以引导激励大学生扎根基层，保证志愿者的基本生活，强化志愿者扎根基层的愿望。</w:t>
            </w:r>
          </w:p>
        </w:tc>
        <w:tc>
          <w:tcPr>
            <w:tcW w:w="378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2022年水磨沟区团委在实施红山计划活动中紧紧围绕党政中心工作，以服务大局、服务社会、服务青年工作为重心，与时俱进、开拓创新、精心组织、认真实施，做了大量扎实细致的工作，为红山计划的顺利实施与有效开展打下了良好的基础，使该项工作在水区呈现出良好的发展态势。为进一步实施好乌鲁木齐市红山青年大学生基层成长计划，支持青年大学生在基层建功立业，留住和稳定一批优秀青年人才，根据中共乌鲁木齐市委员会人才工作领导小组文件《乌鲁木齐市红山青年大学生基层成长计划》（乌人才发[2020]2号）精神及乌鲁木齐市团委有关工作要求，对水磨沟区20名红山青年大学生基层成长计划志愿者进行津补贴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highlight w:val="none"/>
                <w:u w:val="none"/>
              </w:rPr>
            </w:pPr>
          </w:p>
        </w:tc>
        <w:tc>
          <w:tcPr>
            <w:tcW w:w="67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highlight w:val="none"/>
                <w:u w:val="none"/>
              </w:rPr>
            </w:pPr>
          </w:p>
        </w:tc>
        <w:tc>
          <w:tcPr>
            <w:tcW w:w="88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highlight w:val="none"/>
                <w:u w:val="none"/>
              </w:rPr>
            </w:pPr>
          </w:p>
        </w:tc>
        <w:tc>
          <w:tcPr>
            <w:tcW w:w="82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highlight w:val="none"/>
                <w:u w:val="none"/>
              </w:rPr>
            </w:pPr>
          </w:p>
        </w:tc>
        <w:tc>
          <w:tcPr>
            <w:tcW w:w="49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highlight w:val="none"/>
                <w:u w:val="none"/>
              </w:rPr>
            </w:pPr>
          </w:p>
        </w:tc>
        <w:tc>
          <w:tcPr>
            <w:tcW w:w="111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highlight w:val="none"/>
                <w:u w:val="none"/>
              </w:rPr>
            </w:pPr>
          </w:p>
        </w:tc>
        <w:tc>
          <w:tcPr>
            <w:tcW w:w="37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highlight w:val="none"/>
                <w:u w:val="none"/>
              </w:rPr>
            </w:pPr>
          </w:p>
        </w:tc>
        <w:tc>
          <w:tcPr>
            <w:tcW w:w="457"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highlight w:val="none"/>
                <w:u w:val="none"/>
              </w:rPr>
            </w:pPr>
          </w:p>
        </w:tc>
        <w:tc>
          <w:tcPr>
            <w:tcW w:w="489"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highlight w:val="none"/>
                <w:u w:val="none"/>
              </w:rPr>
            </w:pPr>
          </w:p>
        </w:tc>
        <w:tc>
          <w:tcPr>
            <w:tcW w:w="44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highlight w:val="none"/>
                <w:u w:val="none"/>
              </w:rPr>
            </w:pPr>
          </w:p>
        </w:tc>
        <w:tc>
          <w:tcPr>
            <w:tcW w:w="45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4"/>
                <w:szCs w:val="24"/>
                <w:highlight w:val="none"/>
                <w:u w:val="none"/>
              </w:rPr>
            </w:pPr>
          </w:p>
        </w:tc>
        <w:tc>
          <w:tcPr>
            <w:tcW w:w="702"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一级指标</w:t>
            </w:r>
          </w:p>
        </w:tc>
        <w:tc>
          <w:tcPr>
            <w:tcW w:w="6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二级指标</w:t>
            </w:r>
          </w:p>
        </w:tc>
        <w:tc>
          <w:tcPr>
            <w:tcW w:w="221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三级指标</w:t>
            </w:r>
          </w:p>
        </w:tc>
        <w:tc>
          <w:tcPr>
            <w:tcW w:w="11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年度指标值</w:t>
            </w: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实际完成值</w:t>
            </w:r>
          </w:p>
        </w:tc>
        <w:tc>
          <w:tcPr>
            <w:tcW w:w="82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分值</w:t>
            </w:r>
          </w:p>
        </w:tc>
        <w:tc>
          <w:tcPr>
            <w:tcW w:w="93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得分</w:t>
            </w:r>
          </w:p>
        </w:tc>
        <w:tc>
          <w:tcPr>
            <w:tcW w:w="115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221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年度绩效指标完成情况</w:t>
            </w:r>
          </w:p>
        </w:tc>
        <w:tc>
          <w:tcPr>
            <w:tcW w:w="6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产出指标</w:t>
            </w: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数量指标</w:t>
            </w:r>
          </w:p>
        </w:tc>
        <w:tc>
          <w:tcPr>
            <w:tcW w:w="22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发放工资人数</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=20人</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20人</w:t>
            </w:r>
          </w:p>
        </w:tc>
        <w:tc>
          <w:tcPr>
            <w:tcW w:w="8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质量指标</w:t>
            </w:r>
          </w:p>
        </w:tc>
        <w:tc>
          <w:tcPr>
            <w:tcW w:w="22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补助发放准确率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c>
          <w:tcPr>
            <w:tcW w:w="8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时效指标</w:t>
            </w:r>
          </w:p>
        </w:tc>
        <w:tc>
          <w:tcPr>
            <w:tcW w:w="22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工资发放及时性</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c>
          <w:tcPr>
            <w:tcW w:w="8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成本指标</w:t>
            </w:r>
          </w:p>
        </w:tc>
        <w:tc>
          <w:tcPr>
            <w:tcW w:w="22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人均工资标准</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=2120元/人/月</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2120元/人/月</w:t>
            </w:r>
          </w:p>
        </w:tc>
        <w:tc>
          <w:tcPr>
            <w:tcW w:w="8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2"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成本指标</w:t>
            </w:r>
          </w:p>
        </w:tc>
        <w:tc>
          <w:tcPr>
            <w:tcW w:w="22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社保费用标准</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&lt;=1176.81元/人/月</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1176.81元/人/月</w:t>
            </w:r>
          </w:p>
        </w:tc>
        <w:tc>
          <w:tcPr>
            <w:tcW w:w="8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2"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成本指标</w:t>
            </w:r>
          </w:p>
        </w:tc>
        <w:tc>
          <w:tcPr>
            <w:tcW w:w="22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交通补贴标准</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&lt;=170.8元/人/月</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170.8元/人/月</w:t>
            </w:r>
          </w:p>
        </w:tc>
        <w:tc>
          <w:tcPr>
            <w:tcW w:w="8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成本指标</w:t>
            </w:r>
          </w:p>
        </w:tc>
        <w:tc>
          <w:tcPr>
            <w:tcW w:w="22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商业保险标准</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&lt;=330元/人/年</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330元/人/年</w:t>
            </w:r>
          </w:p>
        </w:tc>
        <w:tc>
          <w:tcPr>
            <w:tcW w:w="8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效益指标</w:t>
            </w: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经济效益指标</w:t>
            </w:r>
          </w:p>
        </w:tc>
        <w:tc>
          <w:tcPr>
            <w:tcW w:w="22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2"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社会效益指标</w:t>
            </w:r>
          </w:p>
        </w:tc>
        <w:tc>
          <w:tcPr>
            <w:tcW w:w="22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引导激励大学生扎根基层</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有效引导</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完全达到预期效果</w:t>
            </w:r>
          </w:p>
        </w:tc>
        <w:tc>
          <w:tcPr>
            <w:tcW w:w="8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生态效益指标</w:t>
            </w:r>
          </w:p>
        </w:tc>
        <w:tc>
          <w:tcPr>
            <w:tcW w:w="22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8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2"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可持续影响指标</w:t>
            </w:r>
          </w:p>
        </w:tc>
        <w:tc>
          <w:tcPr>
            <w:tcW w:w="22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强化志愿者扎根基层的愿望</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有效强化</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有效强化</w:t>
            </w:r>
          </w:p>
        </w:tc>
        <w:tc>
          <w:tcPr>
            <w:tcW w:w="8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满意度指标</w:t>
            </w: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满意度指标</w:t>
            </w:r>
          </w:p>
        </w:tc>
        <w:tc>
          <w:tcPr>
            <w:tcW w:w="22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志愿者满意度</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&gt;=95%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c>
          <w:tcPr>
            <w:tcW w:w="8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2784"/>
      <w:bookmarkStart w:id="37" w:name="_Toc28903"/>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24532"/>
      <w:bookmarkStart w:id="41" w:name="_Toc30364"/>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21304"/>
      <w:bookmarkStart w:id="43" w:name="_Toc3243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14238"/>
      <w:bookmarkStart w:id="45" w:name="_Toc28786"/>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4869"/>
      <w:bookmarkStart w:id="47" w:name="_Toc10347"/>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8884"/>
      <w:bookmarkStart w:id="49" w:name="_Toc5626"/>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29106"/>
      <w:bookmarkStart w:id="51" w:name="_Toc32663"/>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5453"/>
      <w:bookmarkStart w:id="53" w:name="_Toc764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mMxNzE1MWUzODkzYTQ3ZjkzZTc1ZWZjNWI1ZWMifQ=="/>
  </w:docVars>
  <w:rsids>
    <w:rsidRoot w:val="00000000"/>
    <w:rsid w:val="000D7AE5"/>
    <w:rsid w:val="00167ADA"/>
    <w:rsid w:val="006722B2"/>
    <w:rsid w:val="00E65F3E"/>
    <w:rsid w:val="01205ED0"/>
    <w:rsid w:val="02EC6BE4"/>
    <w:rsid w:val="02F73D26"/>
    <w:rsid w:val="033569E8"/>
    <w:rsid w:val="034D4FEF"/>
    <w:rsid w:val="043E5B56"/>
    <w:rsid w:val="06792773"/>
    <w:rsid w:val="086F792B"/>
    <w:rsid w:val="09D13595"/>
    <w:rsid w:val="0A7B4867"/>
    <w:rsid w:val="0AB723DE"/>
    <w:rsid w:val="0ABE3BBE"/>
    <w:rsid w:val="0B4C2553"/>
    <w:rsid w:val="0B8C3ECC"/>
    <w:rsid w:val="0BC53CEB"/>
    <w:rsid w:val="0C185390"/>
    <w:rsid w:val="0C7227A7"/>
    <w:rsid w:val="0D95707B"/>
    <w:rsid w:val="0DD844C6"/>
    <w:rsid w:val="0E2A589A"/>
    <w:rsid w:val="0F2A198E"/>
    <w:rsid w:val="102E443C"/>
    <w:rsid w:val="11044420"/>
    <w:rsid w:val="12531355"/>
    <w:rsid w:val="128D0A35"/>
    <w:rsid w:val="13065313"/>
    <w:rsid w:val="13585B1C"/>
    <w:rsid w:val="1443767B"/>
    <w:rsid w:val="14706D24"/>
    <w:rsid w:val="14751951"/>
    <w:rsid w:val="19690E05"/>
    <w:rsid w:val="1A5C03D4"/>
    <w:rsid w:val="1DAF458D"/>
    <w:rsid w:val="1DB13A73"/>
    <w:rsid w:val="1E2005EF"/>
    <w:rsid w:val="1E35349C"/>
    <w:rsid w:val="1E7A2F10"/>
    <w:rsid w:val="1E7D11AE"/>
    <w:rsid w:val="1EA0260F"/>
    <w:rsid w:val="1F516E45"/>
    <w:rsid w:val="20DD6197"/>
    <w:rsid w:val="2190014A"/>
    <w:rsid w:val="21F82B15"/>
    <w:rsid w:val="22687464"/>
    <w:rsid w:val="233149B3"/>
    <w:rsid w:val="23363F97"/>
    <w:rsid w:val="23B37B91"/>
    <w:rsid w:val="23BC04D2"/>
    <w:rsid w:val="25F834CA"/>
    <w:rsid w:val="27CF2642"/>
    <w:rsid w:val="284046C1"/>
    <w:rsid w:val="284F67B4"/>
    <w:rsid w:val="29B10A15"/>
    <w:rsid w:val="2A053397"/>
    <w:rsid w:val="2AB33EE2"/>
    <w:rsid w:val="2B190573"/>
    <w:rsid w:val="2BC764DF"/>
    <w:rsid w:val="2BF46894"/>
    <w:rsid w:val="2C8405E5"/>
    <w:rsid w:val="2CB371D5"/>
    <w:rsid w:val="2CBE1EDA"/>
    <w:rsid w:val="2CE53E9E"/>
    <w:rsid w:val="2D1136DF"/>
    <w:rsid w:val="2D772E4F"/>
    <w:rsid w:val="2F1A7CE7"/>
    <w:rsid w:val="2F7E44EE"/>
    <w:rsid w:val="2FD27414"/>
    <w:rsid w:val="31C63837"/>
    <w:rsid w:val="31E469CD"/>
    <w:rsid w:val="31EA71FD"/>
    <w:rsid w:val="33B777EE"/>
    <w:rsid w:val="3593743D"/>
    <w:rsid w:val="363B13AF"/>
    <w:rsid w:val="37965130"/>
    <w:rsid w:val="38083305"/>
    <w:rsid w:val="3914510A"/>
    <w:rsid w:val="39662DA7"/>
    <w:rsid w:val="3B7756E5"/>
    <w:rsid w:val="3D2D1D6E"/>
    <w:rsid w:val="3D5275AC"/>
    <w:rsid w:val="3D914111"/>
    <w:rsid w:val="3E415990"/>
    <w:rsid w:val="40834692"/>
    <w:rsid w:val="40883BE3"/>
    <w:rsid w:val="40E27C8F"/>
    <w:rsid w:val="40E36B13"/>
    <w:rsid w:val="41356F97"/>
    <w:rsid w:val="41B72AC6"/>
    <w:rsid w:val="44C30BF6"/>
    <w:rsid w:val="46901EEE"/>
    <w:rsid w:val="469C74D2"/>
    <w:rsid w:val="474A6E85"/>
    <w:rsid w:val="47C5282A"/>
    <w:rsid w:val="47F14AD5"/>
    <w:rsid w:val="4A9250D2"/>
    <w:rsid w:val="4B4C0111"/>
    <w:rsid w:val="4B9468AC"/>
    <w:rsid w:val="4D4350FB"/>
    <w:rsid w:val="4EF2169B"/>
    <w:rsid w:val="4FE82ABE"/>
    <w:rsid w:val="50DB5F45"/>
    <w:rsid w:val="50F53981"/>
    <w:rsid w:val="517D7585"/>
    <w:rsid w:val="51C41C06"/>
    <w:rsid w:val="52F92565"/>
    <w:rsid w:val="533A5F6E"/>
    <w:rsid w:val="55A95376"/>
    <w:rsid w:val="55F46629"/>
    <w:rsid w:val="56845BB4"/>
    <w:rsid w:val="571A2F2D"/>
    <w:rsid w:val="57744895"/>
    <w:rsid w:val="583059FA"/>
    <w:rsid w:val="590A7691"/>
    <w:rsid w:val="59FA5992"/>
    <w:rsid w:val="5AAC7631"/>
    <w:rsid w:val="5BC849B9"/>
    <w:rsid w:val="5CEF0227"/>
    <w:rsid w:val="5D223904"/>
    <w:rsid w:val="5D5B224A"/>
    <w:rsid w:val="5F2D5889"/>
    <w:rsid w:val="5FA17648"/>
    <w:rsid w:val="61765630"/>
    <w:rsid w:val="61A46A97"/>
    <w:rsid w:val="62DD7D21"/>
    <w:rsid w:val="65695AB8"/>
    <w:rsid w:val="65D97752"/>
    <w:rsid w:val="663A598A"/>
    <w:rsid w:val="66B754C9"/>
    <w:rsid w:val="68DB0208"/>
    <w:rsid w:val="692C17C2"/>
    <w:rsid w:val="69543F5A"/>
    <w:rsid w:val="69A056B3"/>
    <w:rsid w:val="69AD798C"/>
    <w:rsid w:val="69B37232"/>
    <w:rsid w:val="6A245CA0"/>
    <w:rsid w:val="6A5A4B0A"/>
    <w:rsid w:val="6A5F27B8"/>
    <w:rsid w:val="6ACF090C"/>
    <w:rsid w:val="6B68175F"/>
    <w:rsid w:val="6D5352A2"/>
    <w:rsid w:val="6E0F7A08"/>
    <w:rsid w:val="6E3A771D"/>
    <w:rsid w:val="70F01F59"/>
    <w:rsid w:val="70F3754D"/>
    <w:rsid w:val="71473612"/>
    <w:rsid w:val="718F7F65"/>
    <w:rsid w:val="739A0FBE"/>
    <w:rsid w:val="73FB6630"/>
    <w:rsid w:val="74C92D3B"/>
    <w:rsid w:val="74E76DCD"/>
    <w:rsid w:val="75900E23"/>
    <w:rsid w:val="77ED6F44"/>
    <w:rsid w:val="7B9576EF"/>
    <w:rsid w:val="7C1516D1"/>
    <w:rsid w:val="7C262000"/>
    <w:rsid w:val="7C313075"/>
    <w:rsid w:val="7C3E4970"/>
    <w:rsid w:val="7C883F0C"/>
    <w:rsid w:val="7CCB7969"/>
    <w:rsid w:val="7DCF5BFE"/>
    <w:rsid w:val="7E4010A9"/>
    <w:rsid w:val="7EB17067"/>
    <w:rsid w:val="7F0A554D"/>
    <w:rsid w:val="7F307E83"/>
    <w:rsid w:val="7FAE15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6428</Words>
  <Characters>6926</Characters>
  <Lines>0</Lines>
  <Paragraphs>0</Paragraphs>
  <TotalTime>14</TotalTime>
  <ScaleCrop>false</ScaleCrop>
  <LinksUpToDate>false</LinksUpToDate>
  <CharactersWithSpaces>6988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DELL</cp:lastModifiedBy>
  <dcterms:modified xsi:type="dcterms:W3CDTF">2024-02-19T09:45:52Z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F5D7EAB096FF408FBF511E680CCEEAA2</vt:lpwstr>
  </property>
</Properties>
</file>