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乌鲁木齐市水磨沟区科学技术协会</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2022</w:t>
      </w:r>
      <w:r>
        <w:rPr>
          <w:rFonts w:hint="eastAsia" w:ascii="方正小标宋_GBK" w:hAnsi="宋体" w:eastAsia="方正小标宋_GBK"/>
          <w:sz w:val="44"/>
          <w:szCs w:val="44"/>
          <w:highlight w:val="none"/>
        </w:rPr>
        <w:t>年度部门决算</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第一部分 单位概况</w:t>
      </w:r>
    </w:p>
    <w:p>
      <w:pPr>
        <w:pStyle w:val="11"/>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一、主要职能</w:t>
      </w:r>
    </w:p>
    <w:p>
      <w:pPr>
        <w:pStyle w:val="11"/>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第二部分 部门决算情况说明</w:t>
      </w:r>
    </w:p>
    <w:p>
      <w:pPr>
        <w:pStyle w:val="11"/>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一、收入支出决算总体情况说明</w:t>
      </w:r>
    </w:p>
    <w:p>
      <w:pPr>
        <w:pStyle w:val="11"/>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p>
    <w:p>
      <w:pPr>
        <w:pStyle w:val="11"/>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三、支出决算情况说明</w:t>
      </w:r>
    </w:p>
    <w:p>
      <w:pPr>
        <w:pStyle w:val="11"/>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四、财政拨款收入支出决算总体情况说明</w:t>
      </w:r>
    </w:p>
    <w:p>
      <w:pPr>
        <w:pStyle w:val="11"/>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五、一般公共预算财政拨款支出决算情况说明</w:t>
      </w:r>
    </w:p>
    <w:p>
      <w:pPr>
        <w:pStyle w:val="11"/>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六、一般公共预算财政拨款基本支出决算情况说明</w:t>
      </w:r>
    </w:p>
    <w:p>
      <w:pPr>
        <w:pStyle w:val="11"/>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p>
    <w:p>
      <w:pPr>
        <w:pStyle w:val="11"/>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p>
    <w:p>
      <w:pPr>
        <w:rPr>
          <w:rFonts w:hint="eastAsia"/>
          <w:highlight w:val="none"/>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p>
    <w:p>
      <w:pPr>
        <w:pStyle w:val="11"/>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（二）政府采购情况</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（三）国有资产占用情况说明</w:t>
      </w:r>
    </w:p>
    <w:p>
      <w:pPr>
        <w:pStyle w:val="11"/>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第三部分 专业名词解释</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第四部分 部门决算报表（见附表）</w:t>
      </w:r>
    </w:p>
    <w:p>
      <w:pPr>
        <w:pStyle w:val="11"/>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一、《收入支出决算总表》</w:t>
      </w:r>
    </w:p>
    <w:p>
      <w:pPr>
        <w:pStyle w:val="11"/>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二、《收入决算表》</w:t>
      </w:r>
    </w:p>
    <w:p>
      <w:pPr>
        <w:pStyle w:val="11"/>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三、《支出决算表》</w:t>
      </w:r>
    </w:p>
    <w:p>
      <w:pPr>
        <w:pStyle w:val="11"/>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四、《财政拨款收入支出决算总表》</w:t>
      </w:r>
    </w:p>
    <w:p>
      <w:pPr>
        <w:pStyle w:val="11"/>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五、《一般公共预算财政拨款支出决算表》</w:t>
      </w:r>
    </w:p>
    <w:p>
      <w:pPr>
        <w:pStyle w:val="11"/>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六、《一般公共预算财政拨款基本支出决算表》</w:t>
      </w:r>
    </w:p>
    <w:p>
      <w:pPr>
        <w:pStyle w:val="11"/>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七、《财政拨款“三公”经费支出决算表》</w:t>
      </w:r>
    </w:p>
    <w:p>
      <w:pPr>
        <w:pStyle w:val="11"/>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p>
    <w:p>
      <w:pPr>
        <w:pStyle w:val="11"/>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24028"/>
      <w:bookmarkStart w:id="1" w:name="_Toc3671"/>
      <w:r>
        <w:rPr>
          <w:rFonts w:hint="eastAsia" w:ascii="黑体" w:hAnsi="黑体" w:eastAsia="黑体"/>
          <w:sz w:val="32"/>
          <w:szCs w:val="32"/>
          <w:highlight w:val="none"/>
        </w:rPr>
        <w:t>第一部分 单位概况</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kern w:val="0"/>
          <w:sz w:val="32"/>
          <w:szCs w:val="32"/>
          <w:highlight w:val="none"/>
        </w:rPr>
      </w:pPr>
      <w:bookmarkStart w:id="2" w:name="_Toc521"/>
      <w:bookmarkStart w:id="3" w:name="_Toc30738"/>
      <w:r>
        <w:rPr>
          <w:rFonts w:hint="eastAsia" w:ascii="黑体" w:hAnsi="黑体" w:eastAsia="黑体" w:cs="宋体"/>
          <w:bCs/>
          <w:kern w:val="0"/>
          <w:sz w:val="32"/>
          <w:szCs w:val="32"/>
          <w:highlight w:val="none"/>
        </w:rPr>
        <w:t>一、主要职能</w:t>
      </w:r>
      <w:bookmarkEnd w:id="2"/>
      <w:bookmarkEnd w:id="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bookmarkStart w:id="4" w:name="_Toc31238"/>
      <w:bookmarkStart w:id="5" w:name="_Toc24146"/>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一</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弘扬科学精神，普及科学知识，传播科学思想和科学方法。捍卫科学尊严，推广先进技术，开展青少年科学技术教育活动，提高全民族科 学文化素质。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二</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开展学术交流，活跃学术思想，促进学科发展。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三）</w:t>
      </w:r>
      <w:r>
        <w:rPr>
          <w:rFonts w:hint="eastAsia" w:ascii="仿宋_GB2312" w:eastAsia="仿宋_GB2312"/>
          <w:sz w:val="32"/>
          <w:szCs w:val="32"/>
          <w:highlight w:val="none"/>
        </w:rPr>
        <w:t xml:space="preserve">反映科学技术工作者的意见和要求，维护科学技术工作者的合法权益。组织科学技术工作者参与本区科学技术政策、法制制度和政治协商、科学决策、民主监督。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四</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表彰奖励优秀科学技术工作者，举荐人才。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 xml:space="preserve">开展科学论证、咨询服务，提出政策建议，促进科学技术 成果的转化，接受委托承担项目评估、成果鉴定、专业技术职务 资格评审等任务。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开展民间国际科学技术交流活动，发展同国外的科学技术 团体和科学技术工作者的友好交往。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开展继续教育和培训工作。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八</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兴办符合科学技术协会宗旨的社会公益性事业。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4"/>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5"/>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乌鲁木齐市水磨沟区科学技术协会</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lang w:eastAsia="zh-CN"/>
        </w:rPr>
        <w:t>年度，</w:t>
      </w:r>
      <w:r>
        <w:rPr>
          <w:rFonts w:hint="eastAsia" w:ascii="仿宋_GB2312" w:eastAsia="仿宋_GB2312"/>
          <w:sz w:val="32"/>
          <w:szCs w:val="32"/>
          <w:highlight w:val="none"/>
        </w:rPr>
        <w:t>实有人数</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人，其中：在职人员3人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离休人员0人，退休人员</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人。</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从</w:t>
      </w:r>
      <w:r>
        <w:rPr>
          <w:rFonts w:hint="eastAsia" w:ascii="仿宋_GB2312" w:eastAsia="仿宋_GB2312"/>
          <w:sz w:val="32"/>
          <w:szCs w:val="32"/>
          <w:highlight w:val="none"/>
          <w:lang w:eastAsia="zh-CN"/>
        </w:rPr>
        <w:t>部门</w:t>
      </w:r>
      <w:r>
        <w:rPr>
          <w:rFonts w:hint="eastAsia" w:ascii="仿宋_GB2312" w:eastAsia="仿宋_GB2312"/>
          <w:sz w:val="32"/>
          <w:szCs w:val="32"/>
          <w:highlight w:val="none"/>
        </w:rPr>
        <w:t>决算单位构成看，乌鲁木齐市水磨沟区科学技术协会部门决算包括：乌鲁木齐市水磨沟区科学技术协会决算</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单位无下属预算单位，下设</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个处室，分别是：</w:t>
      </w:r>
      <w:r>
        <w:rPr>
          <w:rFonts w:hint="eastAsia" w:ascii="仿宋_GB2312" w:eastAsia="仿宋_GB2312"/>
          <w:sz w:val="32"/>
          <w:szCs w:val="32"/>
          <w:highlight w:val="none"/>
          <w:lang w:val="en-US" w:eastAsia="zh-CN"/>
        </w:rPr>
        <w:t>办公室</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6" w:name="_Toc3092"/>
      <w:r>
        <w:rPr>
          <w:rFonts w:hint="eastAsia" w:ascii="黑体" w:hAnsi="黑体" w:eastAsia="黑体"/>
          <w:sz w:val="32"/>
          <w:szCs w:val="32"/>
          <w:highlight w:val="none"/>
        </w:rPr>
        <w:br w:type="page"/>
      </w:r>
      <w:bookmarkStart w:id="7" w:name="_Toc6991"/>
      <w:r>
        <w:rPr>
          <w:rFonts w:hint="eastAsia" w:ascii="黑体" w:hAnsi="黑体" w:eastAsia="黑体"/>
          <w:sz w:val="32"/>
          <w:szCs w:val="32"/>
          <w:highlight w:val="none"/>
        </w:rPr>
        <w:t>第二部分 部门决算情况说明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 w:name="_Toc18175"/>
      <w:bookmarkStart w:id="9" w:name="_Toc12566"/>
      <w:r>
        <w:rPr>
          <w:rFonts w:hint="eastAsia" w:ascii="黑体" w:hAnsi="黑体" w:eastAsia="黑体" w:cs="宋体"/>
          <w:bCs/>
          <w:kern w:val="0"/>
          <w:sz w:val="32"/>
          <w:szCs w:val="32"/>
          <w:highlight w:val="none"/>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pacing w:val="0"/>
          <w:sz w:val="32"/>
          <w:szCs w:val="32"/>
          <w:highlight w:val="none"/>
          <w:lang w:val="en-US" w:eastAsia="zh-CN"/>
        </w:rPr>
        <w:t>收入总计87.63万元，其中：本年收入合计82.47万元，使用非财政拨款结余0.00万元，年初结转和结余5.16万元。收入总计与上年相比，减少56.97万元，下降39.40%，主要原因是：基层科普行动计划项目、临聘人员经费及雇员经费、办公费、科技计划项目资金有所减少，同时因本年较上年减少2人，故人员支出较上年有所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本年支出总计87.63万元，其中：本年支出合计81.94万元，结余分配0.00万元，年末结转和结余5.68万元。支出总计与上年相比，减少56.97万元，下降39.40%，主要原因是：基层科普行动计划项目、临聘人员经费及雇员经费较上年有所减少，本年调走1人，退休1人，办公费有所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0" w:name="_Toc21353"/>
      <w:bookmarkStart w:id="11" w:name="_Toc1979"/>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本年收</w:t>
      </w:r>
      <w:r>
        <w:rPr>
          <w:rFonts w:hint="eastAsia" w:ascii="仿宋_GB2312" w:eastAsia="仿宋_GB2312"/>
          <w:spacing w:val="0"/>
          <w:sz w:val="32"/>
          <w:szCs w:val="32"/>
          <w:highlight w:val="none"/>
          <w:lang w:eastAsia="zh-CN"/>
        </w:rPr>
        <w:t>入82.47万元，其中：财政拨款收入81.65万元，占99.01</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；上级补助收入0.00万元，占0.00</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；事业收入0.00万元，占0.00</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；经营收入0.00万元，占0.00</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；附属单位上缴收入0.00万元，占0.00</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；其他收入0.82万元，占0.99</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2" w:name="_Toc6508"/>
      <w:bookmarkStart w:id="13" w:name="_Toc27961"/>
      <w:r>
        <w:rPr>
          <w:rFonts w:hint="eastAsia" w:ascii="黑体" w:hAnsi="黑体" w:eastAsia="黑体" w:cs="宋体"/>
          <w:bCs/>
          <w:kern w:val="0"/>
          <w:sz w:val="32"/>
          <w:szCs w:val="32"/>
          <w:highlight w:val="none"/>
          <w:lang w:eastAsia="zh-CN"/>
        </w:rPr>
        <w:t>三、支出决算情况说明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本年支</w:t>
      </w:r>
      <w:r>
        <w:rPr>
          <w:rFonts w:hint="eastAsia" w:ascii="仿宋_GB2312" w:eastAsia="仿宋_GB2312"/>
          <w:spacing w:val="0"/>
          <w:sz w:val="32"/>
          <w:szCs w:val="32"/>
          <w:highlight w:val="none"/>
          <w:lang w:eastAsia="zh-CN"/>
        </w:rPr>
        <w:t>出81.94万元，其中：基本支出70.79万元，占86.39</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；项目支出11.16万元，占13.6</w:t>
      </w:r>
      <w:r>
        <w:rPr>
          <w:rFonts w:hint="eastAsia" w:ascii="仿宋_GB2312" w:eastAsia="仿宋_GB2312"/>
          <w:spacing w:val="0"/>
          <w:sz w:val="32"/>
          <w:szCs w:val="32"/>
          <w:highlight w:val="none"/>
          <w:lang w:val="en-US" w:eastAsia="zh-CN"/>
        </w:rPr>
        <w:t>1%</w:t>
      </w:r>
      <w:r>
        <w:rPr>
          <w:rFonts w:hint="eastAsia" w:ascii="仿宋_GB2312" w:eastAsia="仿宋_GB2312"/>
          <w:spacing w:val="0"/>
          <w:sz w:val="32"/>
          <w:szCs w:val="32"/>
          <w:highlight w:val="none"/>
          <w:lang w:eastAsia="zh-CN"/>
        </w:rPr>
        <w:t>；上缴上级支出0.00万元，占0.00</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；经营支出0.00万元，占0.00</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；对附属单位补助支出0.00万元，占0.00</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4" w:name="_Toc30865"/>
      <w:bookmarkStart w:id="15" w:name="_Toc4393"/>
      <w:r>
        <w:rPr>
          <w:rFonts w:hint="eastAsia" w:ascii="黑体" w:hAnsi="黑体" w:eastAsia="黑体" w:cs="宋体"/>
          <w:bCs/>
          <w:kern w:val="0"/>
          <w:sz w:val="32"/>
          <w:szCs w:val="32"/>
          <w:highlight w:val="none"/>
          <w:lang w:eastAsia="zh-CN"/>
        </w:rPr>
        <w:t>四、财政拨款收入支出决算总体情况说明</w:t>
      </w:r>
      <w:bookmarkEnd w:id="14"/>
      <w:bookmarkEnd w:id="1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83.81万元，</w:t>
      </w:r>
      <w:r>
        <w:rPr>
          <w:rFonts w:hint="eastAsia" w:ascii="仿宋_GB2312" w:eastAsia="仿宋_GB2312"/>
          <w:sz w:val="32"/>
          <w:szCs w:val="32"/>
          <w:highlight w:val="none"/>
          <w:lang w:val="en-US" w:eastAsia="zh-CN"/>
        </w:rPr>
        <w:t>其中：年初财政拨款结转和结余</w:t>
      </w:r>
      <w:r>
        <w:rPr>
          <w:rFonts w:hint="eastAsia" w:ascii="仿宋_GB2312" w:eastAsia="仿宋_GB2312"/>
          <w:sz w:val="32"/>
          <w:szCs w:val="32"/>
          <w:highlight w:val="none"/>
        </w:rPr>
        <w:t>2.16万元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财政拨款本年收入</w:t>
      </w:r>
      <w:r>
        <w:rPr>
          <w:rFonts w:hint="eastAsia" w:ascii="仿宋_GB2312" w:eastAsia="仿宋_GB2312"/>
          <w:sz w:val="32"/>
          <w:szCs w:val="32"/>
          <w:highlight w:val="none"/>
        </w:rPr>
        <w:t>81.65万元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与上年相比，减少57.55万元，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rPr>
        <w:t>40.71</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：因基层科普行动计划项目</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临聘人员经费及雇员经费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办公费</w:t>
      </w:r>
      <w:r>
        <w:rPr>
          <w:rFonts w:hint="eastAsia" w:ascii="仿宋_GB2312" w:eastAsia="仿宋_GB2312"/>
          <w:sz w:val="32"/>
          <w:szCs w:val="32"/>
          <w:highlight w:val="none"/>
          <w:lang w:val="en-US" w:eastAsia="zh-CN"/>
        </w:rPr>
        <w:t>较上年有所减少</w:t>
      </w:r>
      <w:r>
        <w:rPr>
          <w:rFonts w:hint="eastAsia" w:ascii="仿宋_GB2312" w:eastAsia="仿宋_GB2312"/>
          <w:sz w:val="32"/>
          <w:szCs w:val="32"/>
          <w:highlight w:val="none"/>
        </w:rPr>
        <w:t>，同时因本年较上年减少2人，故人员</w:t>
      </w:r>
      <w:r>
        <w:rPr>
          <w:rFonts w:hint="eastAsia" w:ascii="仿宋_GB2312" w:eastAsia="仿宋_GB2312"/>
          <w:sz w:val="32"/>
          <w:szCs w:val="32"/>
          <w:highlight w:val="none"/>
          <w:lang w:val="en-US" w:eastAsia="zh-CN"/>
        </w:rPr>
        <w:t>经费</w:t>
      </w:r>
      <w:r>
        <w:rPr>
          <w:rFonts w:hint="eastAsia" w:ascii="仿宋_GB2312" w:eastAsia="仿宋_GB2312"/>
          <w:sz w:val="32"/>
          <w:szCs w:val="32"/>
          <w:highlight w:val="none"/>
        </w:rPr>
        <w:t>较上年有所减少。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83.81万元，</w:t>
      </w:r>
      <w:r>
        <w:rPr>
          <w:rFonts w:hint="eastAsia" w:ascii="仿宋_GB2312" w:eastAsia="仿宋_GB2312"/>
          <w:sz w:val="32"/>
          <w:szCs w:val="32"/>
          <w:highlight w:val="none"/>
          <w:lang w:val="en-US" w:eastAsia="zh-CN"/>
        </w:rPr>
        <w:t>其中：年末财政拨款结转和结余</w:t>
      </w:r>
      <w:r>
        <w:rPr>
          <w:rFonts w:hint="eastAsia" w:ascii="仿宋_GB2312" w:eastAsia="仿宋_GB2312"/>
          <w:sz w:val="32"/>
          <w:szCs w:val="32"/>
          <w:highlight w:val="none"/>
        </w:rPr>
        <w:t>2.67万元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财政拨款本年支出</w:t>
      </w:r>
      <w:r>
        <w:rPr>
          <w:rFonts w:hint="eastAsia" w:ascii="仿宋_GB2312" w:eastAsia="仿宋_GB2312"/>
          <w:sz w:val="32"/>
          <w:szCs w:val="32"/>
          <w:highlight w:val="none"/>
        </w:rPr>
        <w:t>81.13万元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w:t>
      </w:r>
      <w:r>
        <w:rPr>
          <w:rFonts w:hint="eastAsia" w:ascii="仿宋_GB2312" w:eastAsia="仿宋_GB2312"/>
          <w:sz w:val="32"/>
          <w:szCs w:val="32"/>
          <w:highlight w:val="none"/>
          <w:lang w:val="en-US" w:eastAsia="zh-CN"/>
        </w:rPr>
        <w:t>支出总计</w:t>
      </w:r>
      <w:r>
        <w:rPr>
          <w:rFonts w:hint="eastAsia" w:ascii="仿宋_GB2312" w:eastAsia="仿宋_GB2312"/>
          <w:sz w:val="32"/>
          <w:szCs w:val="32"/>
          <w:highlight w:val="none"/>
        </w:rPr>
        <w:t>与上年相比，减少57.55万元，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rPr>
        <w:t>40.71</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：因基层科普行动计划项目</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临聘人员经费及雇员经费</w:t>
      </w:r>
      <w:r>
        <w:rPr>
          <w:rFonts w:hint="eastAsia" w:ascii="仿宋_GB2312" w:eastAsia="仿宋_GB2312"/>
          <w:sz w:val="32"/>
          <w:szCs w:val="32"/>
          <w:highlight w:val="none"/>
          <w:lang w:val="en-US" w:eastAsia="zh-CN"/>
        </w:rPr>
        <w:t>较上年有所减少</w:t>
      </w:r>
      <w:r>
        <w:rPr>
          <w:rFonts w:hint="eastAsia" w:ascii="仿宋_GB2312" w:eastAsia="仿宋_GB2312"/>
          <w:sz w:val="32"/>
          <w:szCs w:val="32"/>
          <w:highlight w:val="none"/>
        </w:rPr>
        <w:t>，本年调走1人，退休1人，办公费减少。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相比情况：财政拨款收入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107.02万元，决算数83.81万元，预决算差异率-21.69</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劳务费调预拨</w:t>
      </w:r>
      <w:r>
        <w:rPr>
          <w:rFonts w:hint="eastAsia" w:ascii="仿宋_GB2312" w:eastAsia="仿宋_GB2312"/>
          <w:sz w:val="32"/>
          <w:szCs w:val="32"/>
          <w:highlight w:val="none"/>
        </w:rPr>
        <w:t>，同时本年调出1人，退休1人，工资社保公积金收入有所降低。财政拨款支出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107.02万元，决算数83.81万元，预决算差异率-21.69</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劳务费调预拨，同时本年调出1人，退休1人，工资社保公积金收入有所降低。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6" w:name="_Toc13833"/>
      <w:bookmarkStart w:id="17" w:name="_Toc11969"/>
      <w:r>
        <w:rPr>
          <w:rFonts w:hint="eastAsia" w:ascii="黑体" w:hAnsi="黑体" w:eastAsia="黑体" w:cs="宋体"/>
          <w:bCs/>
          <w:kern w:val="0"/>
          <w:sz w:val="32"/>
          <w:szCs w:val="32"/>
          <w:highlight w:val="none"/>
          <w:lang w:eastAsia="zh-CN"/>
        </w:rPr>
        <w:t>五、一般公共预算财政拨款支出决算情况说明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18" w:name="_Toc7106"/>
      <w:r>
        <w:rPr>
          <w:rFonts w:hint="eastAsia" w:ascii="黑体" w:hAnsi="黑体" w:eastAsia="黑体"/>
          <w:sz w:val="32"/>
          <w:szCs w:val="32"/>
          <w:highlight w:val="none"/>
          <w:lang w:eastAsia="zh-CN"/>
        </w:rPr>
        <w:t>（一）一般公共预算财政拨款支出决算总体情况</w:t>
      </w:r>
      <w:bookmarkEnd w:id="1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年度一般公共预算财政拨款支出81.13万元，占本年支出合计的</w:t>
      </w:r>
      <w:r>
        <w:rPr>
          <w:rFonts w:hint="eastAsia" w:ascii="仿宋_GB2312" w:eastAsia="仿宋_GB2312"/>
          <w:spacing w:val="0"/>
          <w:sz w:val="32"/>
          <w:szCs w:val="32"/>
          <w:highlight w:val="none"/>
          <w:lang w:val="en-US" w:eastAsia="zh-CN"/>
        </w:rPr>
        <w:t>99.01%</w:t>
      </w:r>
      <w:r>
        <w:rPr>
          <w:rFonts w:hint="eastAsia" w:ascii="仿宋_GB2312" w:eastAsia="仿宋_GB2312"/>
          <w:spacing w:val="0"/>
          <w:sz w:val="32"/>
          <w:szCs w:val="32"/>
          <w:highlight w:val="none"/>
          <w:lang w:eastAsia="zh-CN"/>
        </w:rPr>
        <w:t>，与上年相比减少58.07万元，下降41.72</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，主要原因是：基层科普行动计划项目、临聘人员经费及雇员经费</w:t>
      </w:r>
      <w:r>
        <w:rPr>
          <w:rFonts w:hint="eastAsia" w:ascii="仿宋_GB2312" w:eastAsia="仿宋_GB2312"/>
          <w:spacing w:val="0"/>
          <w:sz w:val="32"/>
          <w:szCs w:val="32"/>
          <w:highlight w:val="none"/>
          <w:lang w:val="en-US" w:eastAsia="zh-CN"/>
        </w:rPr>
        <w:t>有所减少</w:t>
      </w:r>
      <w:r>
        <w:rPr>
          <w:rFonts w:hint="eastAsia" w:ascii="仿宋_GB2312" w:eastAsia="仿宋_GB2312"/>
          <w:spacing w:val="0"/>
          <w:sz w:val="32"/>
          <w:szCs w:val="32"/>
          <w:highlight w:val="none"/>
          <w:lang w:eastAsia="zh-CN"/>
        </w:rPr>
        <w:t>，本年调走1人，退休1人，办公费减少6</w:t>
      </w:r>
      <w:r>
        <w:rPr>
          <w:rFonts w:hint="eastAsia" w:ascii="仿宋_GB2312" w:eastAsia="仿宋_GB2312"/>
          <w:spacing w:val="0"/>
          <w:sz w:val="32"/>
          <w:szCs w:val="32"/>
          <w:highlight w:val="none"/>
          <w:lang w:val="en-US" w:eastAsia="zh-CN"/>
        </w:rPr>
        <w:t>万</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19" w:name="_Toc18111"/>
      <w:r>
        <w:rPr>
          <w:rFonts w:hint="eastAsia" w:ascii="黑体" w:hAnsi="黑体" w:eastAsia="黑体"/>
          <w:sz w:val="32"/>
          <w:szCs w:val="32"/>
          <w:highlight w:val="none"/>
          <w:lang w:eastAsia="zh-CN"/>
        </w:rPr>
        <w:t>（二）一般公共预算</w:t>
      </w:r>
      <w:r>
        <w:rPr>
          <w:rFonts w:hint="eastAsia" w:ascii="黑体" w:hAnsi="黑体" w:eastAsia="黑体"/>
          <w:sz w:val="32"/>
          <w:szCs w:val="32"/>
          <w:highlight w:val="none"/>
          <w:lang w:val="en-US" w:eastAsia="zh-CN"/>
        </w:rPr>
        <w:t>财政拨款支出决算</w:t>
      </w:r>
      <w:r>
        <w:rPr>
          <w:rFonts w:hint="eastAsia" w:ascii="黑体" w:hAnsi="黑体" w:eastAsia="黑体"/>
          <w:sz w:val="32"/>
          <w:szCs w:val="32"/>
          <w:highlight w:val="none"/>
          <w:lang w:eastAsia="zh-CN"/>
        </w:rPr>
        <w:t>结构情况</w:t>
      </w:r>
      <w:bookmarkEnd w:id="1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1.科学技术支出（类）</w:t>
      </w:r>
      <w:r>
        <w:rPr>
          <w:rFonts w:hint="eastAsia" w:ascii="仿宋_GB2312" w:eastAsia="仿宋_GB2312"/>
          <w:spacing w:val="0"/>
          <w:sz w:val="32"/>
          <w:szCs w:val="32"/>
          <w:highlight w:val="none"/>
          <w:lang w:val="en-US" w:eastAsia="zh-CN"/>
        </w:rPr>
        <w:t>76.34</w:t>
      </w:r>
      <w:r>
        <w:rPr>
          <w:rFonts w:hint="eastAsia" w:ascii="仿宋_GB2312" w:eastAsia="仿宋_GB2312"/>
          <w:spacing w:val="0"/>
          <w:sz w:val="32"/>
          <w:szCs w:val="32"/>
          <w:highlight w:val="none"/>
          <w:lang w:eastAsia="zh-CN"/>
        </w:rPr>
        <w:t>万元，占94.1</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val="en-US" w:eastAsia="zh-CN"/>
        </w:rPr>
        <w:t>2</w:t>
      </w:r>
      <w:r>
        <w:rPr>
          <w:rFonts w:hint="eastAsia" w:ascii="仿宋_GB2312" w:eastAsia="仿宋_GB2312"/>
          <w:spacing w:val="0"/>
          <w:sz w:val="32"/>
          <w:szCs w:val="32"/>
          <w:highlight w:val="none"/>
          <w:lang w:eastAsia="zh-CN"/>
        </w:rPr>
        <w:t>.社会保障和就业支出（类）4.76万元，占5.8</w:t>
      </w:r>
      <w:r>
        <w:rPr>
          <w:rFonts w:hint="eastAsia" w:ascii="仿宋_GB2312" w:eastAsia="仿宋_GB2312"/>
          <w:spacing w:val="0"/>
          <w:sz w:val="32"/>
          <w:szCs w:val="32"/>
          <w:highlight w:val="none"/>
          <w:lang w:val="en-US" w:eastAsia="zh-CN"/>
        </w:rPr>
        <w:t>6%</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val="en-US" w:eastAsia="zh-CN"/>
        </w:rPr>
        <w:t>3</w:t>
      </w:r>
      <w:r>
        <w:rPr>
          <w:rFonts w:hint="eastAsia" w:ascii="仿宋_GB2312" w:eastAsia="仿宋_GB2312"/>
          <w:spacing w:val="0"/>
          <w:sz w:val="32"/>
          <w:szCs w:val="32"/>
          <w:highlight w:val="none"/>
          <w:lang w:eastAsia="zh-CN"/>
        </w:rPr>
        <w:t>.其他支出（类）0.03万元，占0.04</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20" w:name="_Toc19900"/>
      <w:r>
        <w:rPr>
          <w:rFonts w:hint="eastAsia" w:ascii="黑体" w:hAnsi="黑体" w:eastAsia="黑体"/>
          <w:sz w:val="32"/>
          <w:szCs w:val="32"/>
          <w:highlight w:val="none"/>
          <w:lang w:eastAsia="zh-CN"/>
        </w:rPr>
        <w:t>（三）一般公共预算财政拨款支出决算具体情况</w:t>
      </w:r>
      <w:bookmarkEnd w:id="20"/>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w:t>
      </w:r>
      <w:r>
        <w:rPr>
          <w:rFonts w:hint="eastAsia" w:ascii="仿宋_GB2312" w:eastAsia="仿宋_GB2312"/>
          <w:spacing w:val="0"/>
          <w:sz w:val="32"/>
          <w:szCs w:val="32"/>
          <w:highlight w:val="none"/>
          <w:lang w:eastAsia="zh-CN"/>
        </w:rPr>
        <w:t>科学技术支出</w:t>
      </w:r>
      <w:r>
        <w:rPr>
          <w:rFonts w:hint="eastAsia" w:ascii="仿宋_GB2312" w:hAnsi="仿宋_GB2312" w:eastAsia="仿宋_GB2312" w:cs="仿宋_GB2312"/>
          <w:kern w:val="0"/>
          <w:sz w:val="32"/>
          <w:szCs w:val="32"/>
          <w:highlight w:val="none"/>
        </w:rPr>
        <w:t>（类）科学技术普及（款）机构运行（项）:支出决算数为66.01万元，比上年决算减少16.59万元，下降20.08%，主要原因是：</w:t>
      </w:r>
      <w:r>
        <w:rPr>
          <w:rFonts w:hint="eastAsia" w:ascii="仿宋_GB2312" w:hAnsi="仿宋_GB2312" w:eastAsia="仿宋_GB2312" w:cs="仿宋_GB2312"/>
          <w:kern w:val="0"/>
          <w:sz w:val="32"/>
          <w:szCs w:val="32"/>
          <w:highlight w:val="none"/>
          <w:lang w:val="en-US" w:eastAsia="zh-CN"/>
        </w:rPr>
        <w:t>办公费、公务用车运行维护费有所减少，同时本年退休1人、调走1人，工资社保公积金支出有所减少</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w:t>
      </w:r>
      <w:r>
        <w:rPr>
          <w:rFonts w:hint="eastAsia" w:ascii="仿宋_GB2312" w:eastAsia="仿宋_GB2312"/>
          <w:spacing w:val="0"/>
          <w:sz w:val="32"/>
          <w:szCs w:val="32"/>
          <w:highlight w:val="none"/>
          <w:lang w:eastAsia="zh-CN"/>
        </w:rPr>
        <w:t>科学技术支出</w:t>
      </w:r>
      <w:r>
        <w:rPr>
          <w:rFonts w:hint="eastAsia" w:ascii="仿宋_GB2312" w:hAnsi="仿宋_GB2312" w:eastAsia="仿宋_GB2312" w:cs="仿宋_GB2312"/>
          <w:kern w:val="0"/>
          <w:sz w:val="32"/>
          <w:szCs w:val="32"/>
          <w:highlight w:val="none"/>
        </w:rPr>
        <w:t>（类）科学技术普及（款）其他科学技术普及支出（项）:支出决算数为10.15万元，比上年决算减少32.17万元，下降76.0</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%，主要原因是：基层科普行动计划项目资金</w:t>
      </w:r>
      <w:r>
        <w:rPr>
          <w:rFonts w:hint="eastAsia" w:ascii="仿宋_GB2312" w:hAnsi="仿宋_GB2312" w:eastAsia="仿宋_GB2312" w:cs="仿宋_GB2312"/>
          <w:kern w:val="0"/>
          <w:sz w:val="32"/>
          <w:szCs w:val="32"/>
          <w:highlight w:val="none"/>
          <w:lang w:val="en-US" w:eastAsia="zh-CN"/>
        </w:rPr>
        <w:t>支出、临聘人员经费支出有所减少</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w:t>
      </w:r>
      <w:r>
        <w:rPr>
          <w:rFonts w:hint="eastAsia" w:ascii="仿宋_GB2312" w:eastAsia="仿宋_GB2312"/>
          <w:spacing w:val="0"/>
          <w:sz w:val="32"/>
          <w:szCs w:val="32"/>
          <w:highlight w:val="none"/>
          <w:lang w:eastAsia="zh-CN"/>
        </w:rPr>
        <w:t>科学技术支出</w:t>
      </w:r>
      <w:r>
        <w:rPr>
          <w:rFonts w:hint="eastAsia" w:ascii="仿宋_GB2312" w:hAnsi="仿宋_GB2312" w:eastAsia="仿宋_GB2312" w:cs="仿宋_GB2312"/>
          <w:kern w:val="0"/>
          <w:sz w:val="32"/>
          <w:szCs w:val="32"/>
          <w:highlight w:val="none"/>
        </w:rPr>
        <w:t>（类）其他科学技术支出（款）其他科学技术支出（项）:支出决算数为0.18万元，比上年决算增加</w:t>
      </w:r>
      <w:r>
        <w:rPr>
          <w:rFonts w:hint="eastAsia" w:ascii="仿宋_GB2312" w:hAnsi="仿宋_GB2312" w:eastAsia="仿宋_GB2312" w:cs="仿宋_GB2312"/>
          <w:kern w:val="0"/>
          <w:sz w:val="32"/>
          <w:szCs w:val="32"/>
          <w:highlight w:val="none"/>
          <w:lang w:val="en-US" w:eastAsia="zh-CN"/>
        </w:rPr>
        <w:t>0.18</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本年访惠聚相关经费在本款支出</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.社会保障和就业支出（类）行政事业单位养老支出（款）机关事业单位基本养老保险缴费支出（项）:支出决算数为4.76万元，比上年决算减少1.53万元，下降24.3</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本年退休1人、调出1人，养老金支出有所减少</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.其他支出（类）其他支出（款）其他支出（项）:支出决算数为0.03万元，比上年决算减少0.48万元，下降</w:t>
      </w:r>
      <w:r>
        <w:rPr>
          <w:rFonts w:hint="eastAsia" w:ascii="仿宋_GB2312" w:hAnsi="仿宋_GB2312" w:eastAsia="仿宋_GB2312" w:cs="仿宋_GB2312"/>
          <w:kern w:val="0"/>
          <w:sz w:val="32"/>
          <w:szCs w:val="32"/>
          <w:highlight w:val="none"/>
          <w:lang w:val="en-US" w:eastAsia="zh-CN"/>
        </w:rPr>
        <w:t>94.12</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本年访惠聚相关经费支付安排在</w:t>
      </w:r>
      <w:r>
        <w:rPr>
          <w:rFonts w:hint="eastAsia" w:ascii="仿宋_GB2312" w:hAnsi="仿宋_GB2312" w:eastAsia="仿宋_GB2312" w:cs="仿宋_GB2312"/>
          <w:kern w:val="0"/>
          <w:sz w:val="32"/>
          <w:szCs w:val="32"/>
          <w:highlight w:val="none"/>
        </w:rPr>
        <w:t>其他科学技术支出</w:t>
      </w:r>
      <w:r>
        <w:rPr>
          <w:rFonts w:hint="eastAsia" w:ascii="仿宋_GB2312" w:hAnsi="仿宋_GB2312" w:eastAsia="仿宋_GB2312" w:cs="仿宋_GB2312"/>
          <w:kern w:val="0"/>
          <w:sz w:val="32"/>
          <w:szCs w:val="32"/>
          <w:highlight w:val="none"/>
          <w:lang w:val="en-US" w:eastAsia="zh-CN"/>
        </w:rPr>
        <w:t>支出</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.社会保障和就业支出（类）民政管理事务（款）基层政权建设和社区治理（项）:支出决算数为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万元，比上年决算减少</w:t>
      </w:r>
      <w:r>
        <w:rPr>
          <w:rFonts w:hint="eastAsia" w:ascii="仿宋_GB2312" w:hAnsi="仿宋_GB2312" w:eastAsia="仿宋_GB2312" w:cs="仿宋_GB2312"/>
          <w:kern w:val="0"/>
          <w:sz w:val="32"/>
          <w:szCs w:val="32"/>
          <w:highlight w:val="none"/>
          <w:lang w:val="en-US" w:eastAsia="zh-CN"/>
        </w:rPr>
        <w:t>0.4</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本年无此科目支出</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.城乡社区支出（类）其他城乡社区支出（款）其他城乡社区支出（项）:支出决算数为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万元，比上年决算减少</w:t>
      </w:r>
      <w:r>
        <w:rPr>
          <w:rFonts w:hint="eastAsia" w:ascii="仿宋_GB2312" w:hAnsi="仿宋_GB2312" w:eastAsia="仿宋_GB2312" w:cs="仿宋_GB2312"/>
          <w:kern w:val="0"/>
          <w:sz w:val="32"/>
          <w:szCs w:val="32"/>
          <w:highlight w:val="none"/>
          <w:lang w:val="en-US" w:eastAsia="zh-CN"/>
        </w:rPr>
        <w:t>7.08</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本年无此科目支出</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1" w:name="_Toc18202"/>
      <w:bookmarkStart w:id="22" w:name="_Toc11146"/>
      <w:r>
        <w:rPr>
          <w:rFonts w:hint="eastAsia" w:ascii="黑体" w:hAnsi="黑体" w:eastAsia="黑体" w:cs="宋体"/>
          <w:bCs/>
          <w:kern w:val="0"/>
          <w:sz w:val="32"/>
          <w:szCs w:val="32"/>
          <w:highlight w:val="none"/>
          <w:lang w:eastAsia="zh-CN"/>
        </w:rPr>
        <w:t>六、一般公共预算财政拨款基本支出决算情况说明</w:t>
      </w:r>
      <w:bookmarkEnd w:id="21"/>
      <w:bookmarkEnd w:id="22"/>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一般公共预算财政拨款基本支出70.77万元，其中：</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人员经费69.71万元，包括：基本工资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津贴补贴</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奖金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机关事业单位基本养老保险缴费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职业年金缴费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职工基本医疗保险缴费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公务员医疗补助缴费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其他社会保障缴费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住房公积金</w:t>
      </w:r>
      <w:r>
        <w:rPr>
          <w:rFonts w:hint="eastAsia" w:ascii="仿宋_GB2312" w:eastAsia="仿宋_GB2312"/>
          <w:sz w:val="32"/>
          <w:szCs w:val="32"/>
          <w:highlight w:val="none"/>
          <w:lang w:eastAsia="zh-CN"/>
        </w:rPr>
        <w:t>、退休费、奖励金。</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公用经费1.06万元，包括：办公费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邮电费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公务用车运行维护费</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3" w:name="_Toc32115"/>
      <w:bookmarkStart w:id="24" w:name="_Toc7190"/>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w:t>
      </w:r>
      <w:r>
        <w:rPr>
          <w:rFonts w:hint="eastAsia" w:ascii="黑体" w:hAnsi="黑体" w:eastAsia="黑体" w:cs="宋体"/>
          <w:bCs/>
          <w:kern w:val="0"/>
          <w:sz w:val="32"/>
          <w:szCs w:val="32"/>
          <w:highlight w:val="none"/>
        </w:rPr>
        <w:t>“三公”经费支出</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w:t>
      </w:r>
      <w:r>
        <w:rPr>
          <w:rFonts w:hint="eastAsia" w:ascii="黑体" w:hAnsi="黑体" w:eastAsia="黑体" w:cs="宋体"/>
          <w:bCs/>
          <w:kern w:val="0"/>
          <w:sz w:val="32"/>
          <w:szCs w:val="32"/>
          <w:highlight w:val="none"/>
          <w:lang w:eastAsia="zh-CN"/>
        </w:rPr>
        <w:t>说明</w:t>
      </w:r>
      <w:bookmarkEnd w:id="23"/>
      <w:bookmarkEnd w:id="24"/>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val="en-US" w:eastAsia="zh-CN"/>
        </w:rPr>
        <w:t>财政拨款</w:t>
      </w:r>
      <w:r>
        <w:rPr>
          <w:rFonts w:hint="eastAsia" w:ascii="仿宋_GB2312" w:eastAsia="仿宋_GB2312"/>
          <w:sz w:val="32"/>
          <w:szCs w:val="32"/>
          <w:highlight w:val="none"/>
        </w:rPr>
        <w:t>“三公”经费支出决算</w:t>
      </w:r>
      <w:r>
        <w:rPr>
          <w:rFonts w:hint="eastAsia" w:ascii="仿宋_GB2312" w:eastAsia="仿宋_GB2312"/>
          <w:sz w:val="32"/>
          <w:szCs w:val="32"/>
          <w:highlight w:val="none"/>
          <w:lang w:val="en-US" w:eastAsia="zh-CN"/>
        </w:rPr>
        <w:t>0.34万元，比上年减少1.17万元，下降77.48%，主要原因是：本年车辆维修费支出较上年有所减少。其中：因公出国（境）费支出0.00万元，占0.00%，比上年增加0.00万元，增长0.00%，主要原因是：本年未发生因公出国（境）费支出；公务用车购置及运行维护费支出0.34万元，占100.00%，比上年减少1.17万元，下降77.48%，主要原因是：本年车辆维修费支出较上年有所减少；公务接待费支出0.00万元，占0.00%，比上年增加0.00万元，增长0.00%，主要原因是：本年未发生公务接待费支出。具体情况如下：</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因公出国（境）费支出0.00万元，开支内容包括本年未发生因公出国（境）费支出。单位全年安排的因公出国（境）团组0个，因公出国（境）0人次。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公务用车购置及运行维护费0.34万元，其中：公务用车购置费0.00万元，公务用车运行维护费0.34万元。公务用车运行维护费开支内容包括车辆保险费、车辆审车费。公务用车购置数0辆，公务用车保有量1辆。</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公务接待费0.00万元，开支内容包括本年未发生公务接待费支出。单位全年安排的国内公务接待0批次，0人次。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与全年预算数相比情况：“三公”经费支出全年预算数2.23万元，决算数0.34万元，预决算差异率-84.75%，主要原因是：本年未发生因公出国（境）费及公务接待费支出，且未购置公务公车。其中：因公出国（境）费全年预算数0.00万元，决算数0.00万元，预决算差异率0.00%，主要原因是：本年未安排因公出国（境）费支出；公务用车购置费全年预算数0.00万元，决算数0.00万元，预决算差异率0.00%，主要原因是：本年未安排购置公务用车；公务用车运行费全年预算数2.23万元，决算数0.34万元，预决算差异率-84.75%，主要原因是：本年车辆维修费支出较上年有所减少；公务接待费全年预算数0.00万元，决算数0.00万元，预决算差异率0.00%，主要原因是：本年未安排公务接待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5" w:name="_Toc7927"/>
      <w:bookmarkStart w:id="26" w:name="_Toc19137"/>
      <w:r>
        <w:rPr>
          <w:rFonts w:hint="eastAsia" w:ascii="黑体" w:hAnsi="黑体" w:eastAsia="黑体" w:cs="宋体"/>
          <w:bCs/>
          <w:kern w:val="0"/>
          <w:sz w:val="32"/>
          <w:szCs w:val="32"/>
          <w:highlight w:val="none"/>
          <w:lang w:val="en-US" w:eastAsia="zh-CN"/>
        </w:rPr>
        <w:t>八</w:t>
      </w:r>
      <w:r>
        <w:rPr>
          <w:rFonts w:hint="eastAsia" w:ascii="黑体" w:hAnsi="黑体" w:eastAsia="黑体" w:cs="宋体"/>
          <w:bCs/>
          <w:kern w:val="0"/>
          <w:sz w:val="32"/>
          <w:szCs w:val="32"/>
          <w:highlight w:val="none"/>
          <w:lang w:eastAsia="zh-CN"/>
        </w:rPr>
        <w:t>、政府性基金预算财政拨款收入支出决算情况说明</w:t>
      </w:r>
      <w:bookmarkEnd w:id="25"/>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我单位本年度无政府性基金预算财政拨款收入、支出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7" w:name="_Toc19129"/>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lang w:eastAsia="zh-CN"/>
        </w:rPr>
        <w:t>、国有资本经营预算财政拨款收入支出决算情况说明</w:t>
      </w:r>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我单位本年度无国有资本经营预算财政拨款收入、支出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，国有资本经营</w:t>
      </w:r>
      <w:r>
        <w:rPr>
          <w:rFonts w:hint="eastAsia" w:ascii="仿宋_GB2312" w:eastAsia="仿宋_GB2312"/>
          <w:sz w:val="32"/>
          <w:szCs w:val="32"/>
          <w:highlight w:val="none"/>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8" w:name="_Toc10328"/>
      <w:bookmarkStart w:id="29" w:name="_Toc7314"/>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rPr>
        <w:t>、其他重要事项的情况</w:t>
      </w:r>
      <w:r>
        <w:rPr>
          <w:rFonts w:hint="eastAsia" w:ascii="黑体" w:hAnsi="黑体" w:eastAsia="黑体" w:cs="宋体"/>
          <w:bCs/>
          <w:kern w:val="0"/>
          <w:sz w:val="32"/>
          <w:szCs w:val="32"/>
          <w:highlight w:val="none"/>
          <w:lang w:eastAsia="zh-CN"/>
        </w:rPr>
        <w:t>说明</w:t>
      </w:r>
      <w:bookmarkEnd w:id="28"/>
      <w:bookmarkEnd w:id="2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rPr>
      </w:pPr>
      <w:bookmarkStart w:id="30" w:name="_Toc13105"/>
      <w:bookmarkStart w:id="31" w:name="_Toc30555"/>
      <w:r>
        <w:rPr>
          <w:rFonts w:hint="eastAsia" w:ascii="黑体" w:hAnsi="黑体" w:eastAsia="黑体"/>
          <w:sz w:val="32"/>
          <w:szCs w:val="32"/>
          <w:highlight w:val="none"/>
          <w:lang w:eastAsia="zh-CN"/>
        </w:rPr>
        <w:t>（一）</w:t>
      </w:r>
      <w:r>
        <w:rPr>
          <w:rFonts w:hint="eastAsia" w:ascii="黑体" w:hAnsi="黑体" w:eastAsia="黑体"/>
          <w:sz w:val="32"/>
          <w:szCs w:val="32"/>
          <w:highlight w:val="none"/>
        </w:rPr>
        <w:t>机关运行经费支出情况</w:t>
      </w:r>
      <w:bookmarkEnd w:id="30"/>
      <w:bookmarkEnd w:id="31"/>
    </w:p>
    <w:p>
      <w:pPr>
        <w:ind w:firstLine="640" w:firstLineChars="200"/>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乌鲁木齐市水磨沟区科学技术协会（行政单位和参照公务员法管理事业单位）机关运行经费支出1.06万元，比上年减少7.80万元，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rPr>
        <w:t>88.0</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本年</w:t>
      </w:r>
      <w:r>
        <w:rPr>
          <w:rFonts w:hint="eastAsia" w:ascii="仿宋_GB2312" w:eastAsia="仿宋_GB2312"/>
          <w:sz w:val="32"/>
          <w:szCs w:val="32"/>
          <w:highlight w:val="none"/>
        </w:rPr>
        <w:t>办公费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车辆维修费较上年有所减少。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32" w:name="_Toc4448"/>
      <w:bookmarkStart w:id="33" w:name="_Toc26704"/>
      <w:r>
        <w:rPr>
          <w:rFonts w:hint="eastAsia" w:ascii="黑体" w:hAnsi="黑体" w:eastAsia="黑体"/>
          <w:sz w:val="32"/>
          <w:szCs w:val="32"/>
          <w:highlight w:val="none"/>
          <w:lang w:eastAsia="zh-CN"/>
        </w:rPr>
        <w:t>（二）政府采购情况</w:t>
      </w:r>
      <w:bookmarkEnd w:id="32"/>
      <w:bookmarkEnd w:id="33"/>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政府采购支出总额0.79万元，其中：政府采购货物支出0.79万元、政府采购工程支出0.00万元、政府采购服务支出0.00万元。</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授予中小企业合同金额0.79万元，占政府采购支出总额的100.00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，其中：授予小微企业合同金额0.79万元，占政府采购支出总额的100.00</w:t>
      </w:r>
      <w:r>
        <w:rPr>
          <w:rFonts w:hint="eastAsia" w:ascii="仿宋_GB2312" w:eastAsia="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34" w:name="_Toc12816"/>
      <w:bookmarkStart w:id="35" w:name="_Toc4591"/>
      <w:r>
        <w:rPr>
          <w:rFonts w:hint="eastAsia" w:ascii="黑体" w:hAnsi="黑体" w:eastAsia="黑体"/>
          <w:sz w:val="32"/>
          <w:szCs w:val="32"/>
          <w:highlight w:val="none"/>
          <w:lang w:eastAsia="zh-CN"/>
        </w:rPr>
        <w:t>（三）国有资产占用情况说明</w:t>
      </w:r>
      <w:bookmarkEnd w:id="34"/>
      <w:bookmarkEnd w:id="35"/>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截止2022年12月31日，固定资产原值52.87万元，房屋0平方米，价值0.00万元。车辆1辆，价值12.95万元，其中：副部（省）级及以上领导用车0辆、主要领导干部用车0辆、机要通信用车0辆、应急保障用车0辆、执法执勤用车0辆、特种专业技术用车0辆、离退休干部用车0辆、其他用车1辆，其他用车主要是：科普宣传大篷车；单价100万元（含）以上设备（不含车辆）0台（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36" w:name="_Toc14323"/>
      <w:bookmarkStart w:id="37" w:name="_Toc435"/>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一</w:t>
      </w:r>
      <w:r>
        <w:rPr>
          <w:rFonts w:hint="eastAsia" w:ascii="黑体" w:hAnsi="黑体" w:eastAsia="黑体" w:cs="宋体"/>
          <w:bCs/>
          <w:kern w:val="0"/>
          <w:sz w:val="32"/>
          <w:szCs w:val="32"/>
          <w:highlight w:val="none"/>
          <w:lang w:eastAsia="zh-CN"/>
        </w:rPr>
        <w:t>、预算绩效的情况说明</w:t>
      </w:r>
      <w:bookmarkEnd w:id="36"/>
      <w:bookmarkEnd w:id="37"/>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根据预算绩效管理要求，我单位2022年度开展预算绩效评价项目1个，全年预算数9.75万元，全年执行数9.75万元。预算绩效管理取得的成效：一是打造社区科普活动室，丰富社区居民科普活动场所；更新流动科普大篷车科普资源。激发青少年探索科技魅力的兴趣；开展丰富多彩的、形式多样的科普活动，提升全民科学素质，加强基层科普资源建设。二是保障了我区基层科普信息化建设，有效提升我区全民科学素质。发现的问题及原因：一是部门职能不明确，个别工作分工不清晰，且人员培训和绩效考核制度不够完善，考核方案部分内容和人员名单更新滞后；二是预算编制科学性的问题。首先预算编制之合理性相对不足，主要表现在预算调整数较大，年度目标与长期规划衔接的紧密程度需要增强。下一步改进措施：一是要加强部门内部绩效评价人员的培训，提高其指标设计和绩效评价的专业技能；二是提高部门整体支出绩效目标设定的合理性，利用绩效评价结果也可以反向促进单位内部预算资金统筹安排和项目的执行，提高工作人员的工作效率，进而提高社会效益。</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具体项目自评情况附项目支出绩效自评表。</w:t>
      </w:r>
    </w:p>
    <w:p>
      <w:pPr>
        <w:pStyle w:val="2"/>
        <w:rPr>
          <w:rFonts w:hint="eastAsia" w:ascii="仿宋_GB2312" w:eastAsia="仿宋_GB2312"/>
          <w:spacing w:val="0"/>
          <w:sz w:val="32"/>
          <w:szCs w:val="32"/>
          <w:highlight w:val="none"/>
          <w:lang w:val="en-US" w:eastAsia="zh-CN"/>
        </w:rPr>
      </w:pPr>
    </w:p>
    <w:p>
      <w:pPr>
        <w:rPr>
          <w:rFonts w:hint="eastAsia"/>
          <w:lang w:val="en-US" w:eastAsia="zh-CN"/>
        </w:rPr>
      </w:pPr>
      <w:bookmarkStart w:id="59" w:name="_GoBack"/>
      <w:bookmarkEnd w:id="59"/>
    </w:p>
    <w:tbl>
      <w:tblPr>
        <w:tblStyle w:val="12"/>
        <w:tblW w:w="86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4"/>
        <w:gridCol w:w="790"/>
        <w:gridCol w:w="1050"/>
        <w:gridCol w:w="630"/>
        <w:gridCol w:w="705"/>
        <w:gridCol w:w="855"/>
        <w:gridCol w:w="900"/>
        <w:gridCol w:w="180"/>
        <w:gridCol w:w="300"/>
        <w:gridCol w:w="540"/>
        <w:gridCol w:w="135"/>
        <w:gridCol w:w="1095"/>
        <w:gridCol w:w="1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trPr>
        <w:tc>
          <w:tcPr>
            <w:tcW w:w="8618" w:type="dxa"/>
            <w:gridSpan w:val="13"/>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618" w:type="dxa"/>
            <w:gridSpan w:val="13"/>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24"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乌财科教{2021}100号提前下达2022年自治区“基层科普行动计划”项目资金（转移支付）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3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乌鲁木齐市水磨沟区科学技术协会</w:t>
            </w:r>
          </w:p>
        </w:tc>
        <w:tc>
          <w:tcPr>
            <w:tcW w:w="19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10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乌鲁木齐市水磨沟区科学技术协会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9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9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9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9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w:t>
            </w:r>
          </w:p>
        </w:tc>
        <w:tc>
          <w:tcPr>
            <w:tcW w:w="19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w:t>
            </w:r>
          </w:p>
        </w:tc>
        <w:tc>
          <w:tcPr>
            <w:tcW w:w="9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9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w:t>
            </w:r>
          </w:p>
        </w:tc>
        <w:tc>
          <w:tcPr>
            <w:tcW w:w="19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w:t>
            </w:r>
          </w:p>
        </w:tc>
        <w:tc>
          <w:tcPr>
            <w:tcW w:w="9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9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9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317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5039"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17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资金主要用于两个部分，一部分是用于全年开展各类科普宣传活动，制作各类科普宣传册，宣传展板，更新科普设备、购置科普图书等；一部分是用于奖补先进集体，加强基层科普新阵地建设，进一步推动科普服务精细分类，精准推送，贴近生活，贴近实际，贴近群众，努力打通科学传播和科普服务“最后一公里”，让科普公共服务能力显著提高。公民科学素质水平得到提升。</w:t>
            </w:r>
          </w:p>
        </w:tc>
        <w:tc>
          <w:tcPr>
            <w:tcW w:w="5039"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科协联合农业农村局、科技局、新疆医科大学第二附属医院、石人子沟街道在涝坝沟村，举办了乌鲁木齐市暨水磨沟区今冬明春“科技之冬”活动启动仪式。为涝坝沟村农牧民捐赠了牛羊圈消毒液、科普书籍等，二附院的专家进行了专题讲座和义诊，爱尔眼科医院？科技志愿服务团队为25名村民进行免费眼病筛查；老兵公益？科技志愿服务团队为牧民带来垃圾分类、科学家精神宣讲；在石人子沟冰雪欢乐谷开展 “全民健身冰雪运动会”，组织20名牧民和社区干部，以冰上比赛的形式为冬奥助力加油。与区教育局联合针对未成年人开展科普教育，为科技特色学校38小学划拨科普资金6000元，助力参加自治区举办的“36届自治区青少年科技创新大赛”及“自治区青少年机器人竞赛”等活动。联合76小学举办“走进科技，你我同行”科技周活动，组织1430名师生对人工智能、3D打印技术、立体成像等进行了观摩体验。在和谐园社区开展“佳节尚文明，文明关爱行”活动。科普志愿者为孩子们普及“垃圾分类”、“校园安全”等知识；为龙盛街街道红光山南社区和绿城企业党委赠送科普图书，通过共筑共建为社区和企业提供了优质的精神家园，进一步丰富了群众的文化生活。分别打造立井北和振安街南社区科普活动室，社区居民通过亲手触摸操作，沉浸式体验来感受科技的魅力。为广大辖区群众享受更优质的科普服务提供了重要载体。通过科普阵地的拓宽，科普资源的增加，有效打通科普服务群众最后1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04"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33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4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2264"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26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奖补科普教育基地、科普示范基地、科普示范社区、科技特色学校、先进集体单位数量</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&gt;=5个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因是根据年初计划在2022年全年完成奖补5家科普先进单位，实际上半年只完成奖补2家科普先进单位，下半年由于特殊情况的影响，基层科普基地未能充分发挥科普师范引领作用，所以下半年未奖补其他3家科普先进单位，故造成偏差率大于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举办科普活动场次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&gt;=10次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7次</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2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因是2022年度上半年联合科技特色学校76小开展科技周活动、石人沟街道开展科技之冬系列活动，计划在下半年开展的全国科普日活动以及其他各类丰富多彩的科普宣传活动，因特殊情况的影响，未能完成绩效目标值，故造成偏差率大于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参加活动人数</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&gt;=200人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1650人</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64"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活动举办成功率</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64"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奖补资金发放准确率</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64"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活动按时完成率</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64"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奖补每个单位补贴标准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&lt;=1万元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0.8万元</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因是根据年初计划在2022年全年完成奖补5家科普先进单位，实际上半年只完成完成奖补2家科普先进单位，下半年由于特殊情况的影响，基层科普基地未能充分发挥科普师范引领作用，所以下半年未奖补其他3家科普先进单位，故造成偏差率大于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举办活动成本</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&lt;=15万元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8.15万元</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2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由于特殊原因，开展活动场次减少，故活动成本就相应的减少，故偏差大于20%。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264"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提升公众科学素质、科学认知能力</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有效提升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完全达到预期效果</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264"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264"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264"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参加活动人员满意度</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64"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33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89.90分</w:t>
            </w:r>
          </w:p>
        </w:tc>
        <w:tc>
          <w:tcPr>
            <w:tcW w:w="226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38" w:name="_Toc4580"/>
      <w:bookmarkStart w:id="39" w:name="_Toc24143"/>
    </w:p>
    <w:p>
      <w:pPr>
        <w:pStyle w:val="2"/>
        <w:rPr>
          <w:rFonts w:hint="eastAsia" w:ascii="黑体" w:hAnsi="黑体" w:eastAsia="黑体"/>
          <w:sz w:val="32"/>
          <w:szCs w:val="32"/>
          <w:highlight w:val="none"/>
        </w:rPr>
      </w:pPr>
    </w:p>
    <w:p>
      <w:pPr>
        <w:rPr>
          <w:rFonts w:hint="eastAsia" w:ascii="黑体" w:hAnsi="黑体" w:eastAsia="黑体"/>
          <w:sz w:val="32"/>
          <w:szCs w:val="32"/>
          <w:highlight w:val="none"/>
        </w:rPr>
      </w:pPr>
    </w:p>
    <w:p>
      <w:pPr>
        <w:pStyle w:val="2"/>
        <w:rPr>
          <w:rFonts w:hint="eastAsia" w:ascii="黑体" w:hAnsi="黑体" w:eastAsia="黑体"/>
          <w:sz w:val="32"/>
          <w:szCs w:val="32"/>
          <w:highlight w:val="none"/>
        </w:rPr>
      </w:pPr>
    </w:p>
    <w:p>
      <w:pPr>
        <w:rPr>
          <w:rFonts w:hint="eastAsia" w:ascii="黑体" w:hAnsi="黑体" w:eastAsia="黑体"/>
          <w:sz w:val="32"/>
          <w:szCs w:val="32"/>
          <w:highlight w:val="none"/>
        </w:rPr>
      </w:pPr>
    </w:p>
    <w:p>
      <w:pPr>
        <w:pStyle w:val="2"/>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t>第三部分 专业名词解释</w:t>
      </w:r>
      <w:bookmarkEnd w:id="38"/>
      <w:bookmarkEnd w:id="39"/>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年初</w:t>
      </w:r>
      <w:r>
        <w:rPr>
          <w:rFonts w:hint="eastAsia" w:ascii="仿宋_GB2312" w:eastAsia="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40" w:name="_Toc28903"/>
      <w:r>
        <w:rPr>
          <w:rFonts w:hint="eastAsia" w:ascii="黑体" w:hAnsi="黑体" w:eastAsia="黑体"/>
          <w:sz w:val="32"/>
          <w:szCs w:val="32"/>
          <w:highlight w:val="none"/>
        </w:rPr>
        <w:br w:type="page"/>
      </w:r>
      <w:bookmarkStart w:id="41" w:name="_Toc5876"/>
      <w:r>
        <w:rPr>
          <w:rFonts w:hint="eastAsia" w:ascii="黑体" w:hAnsi="黑体" w:eastAsia="黑体"/>
          <w:sz w:val="32"/>
          <w:szCs w:val="32"/>
          <w:highlight w:val="none"/>
        </w:rPr>
        <w:t>第四部分 部门决算报表（见附表）</w:t>
      </w:r>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2" w:name="_Toc3595"/>
      <w:bookmarkStart w:id="43" w:name="_Toc6062"/>
      <w:r>
        <w:rPr>
          <w:rFonts w:hint="eastAsia" w:ascii="黑体" w:hAnsi="黑体" w:eastAsia="黑体" w:cs="宋体"/>
          <w:bCs/>
          <w:kern w:val="0"/>
          <w:sz w:val="32"/>
          <w:szCs w:val="32"/>
          <w:highlight w:val="none"/>
        </w:rPr>
        <w:t>一、《收入支出决算总表》</w:t>
      </w:r>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4" w:name="_Toc30364"/>
      <w:bookmarkStart w:id="45" w:name="_Toc6432"/>
      <w:r>
        <w:rPr>
          <w:rFonts w:hint="eastAsia" w:ascii="黑体" w:hAnsi="黑体" w:eastAsia="黑体" w:cs="宋体"/>
          <w:bCs/>
          <w:kern w:val="0"/>
          <w:sz w:val="32"/>
          <w:szCs w:val="32"/>
          <w:highlight w:val="none"/>
        </w:rPr>
        <w:t>二、《收入决算表》</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6" w:name="_Toc23872"/>
      <w:bookmarkStart w:id="47" w:name="_Toc21304"/>
      <w:r>
        <w:rPr>
          <w:rFonts w:hint="eastAsia" w:ascii="黑体" w:hAnsi="黑体" w:eastAsia="黑体" w:cs="宋体"/>
          <w:bCs/>
          <w:kern w:val="0"/>
          <w:sz w:val="32"/>
          <w:szCs w:val="32"/>
          <w:highlight w:val="none"/>
        </w:rPr>
        <w:t>三、《支出决算表》</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8" w:name="_Toc14238"/>
      <w:bookmarkStart w:id="49" w:name="_Toc32114"/>
      <w:r>
        <w:rPr>
          <w:rFonts w:hint="eastAsia" w:ascii="黑体" w:hAnsi="黑体" w:eastAsia="黑体" w:cs="宋体"/>
          <w:bCs/>
          <w:kern w:val="0"/>
          <w:sz w:val="32"/>
          <w:szCs w:val="32"/>
          <w:highlight w:val="none"/>
        </w:rPr>
        <w:t>四、《财政拨款收入支出决算总表》</w:t>
      </w:r>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0" w:name="_Toc16665"/>
      <w:bookmarkStart w:id="51" w:name="_Toc10347"/>
      <w:r>
        <w:rPr>
          <w:rFonts w:hint="eastAsia" w:ascii="黑体" w:hAnsi="黑体" w:eastAsia="黑体" w:cs="宋体"/>
          <w:bCs/>
          <w:kern w:val="0"/>
          <w:sz w:val="32"/>
          <w:szCs w:val="32"/>
          <w:highlight w:val="none"/>
        </w:rPr>
        <w:t>五、《一般公共预算财政拨款支出决算表》</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2" w:name="_Toc5626"/>
      <w:bookmarkStart w:id="53" w:name="_Toc2980"/>
      <w:r>
        <w:rPr>
          <w:rFonts w:hint="eastAsia" w:ascii="黑体" w:hAnsi="黑体" w:eastAsia="黑体" w:cs="宋体"/>
          <w:bCs/>
          <w:kern w:val="0"/>
          <w:sz w:val="32"/>
          <w:szCs w:val="32"/>
          <w:highlight w:val="none"/>
        </w:rPr>
        <w:t>六、《一般公共预算财政拨款基本支出决算表》</w:t>
      </w:r>
      <w:bookmarkEnd w:id="52"/>
      <w:bookmarkEnd w:id="5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4" w:name="_Toc9459"/>
      <w:r>
        <w:rPr>
          <w:rFonts w:hint="eastAsia" w:ascii="黑体" w:hAnsi="黑体" w:eastAsia="黑体" w:cs="宋体"/>
          <w:bCs/>
          <w:kern w:val="0"/>
          <w:sz w:val="32"/>
          <w:szCs w:val="32"/>
          <w:highlight w:val="none"/>
        </w:rPr>
        <w:t>七、</w:t>
      </w:r>
      <w:bookmarkStart w:id="55" w:name="_Toc32663"/>
      <w:r>
        <w:rPr>
          <w:rFonts w:hint="eastAsia" w:ascii="黑体" w:hAnsi="黑体" w:eastAsia="黑体" w:cs="宋体"/>
          <w:bCs/>
          <w:kern w:val="0"/>
          <w:sz w:val="32"/>
          <w:szCs w:val="32"/>
          <w:highlight w:val="none"/>
        </w:rPr>
        <w:t>《财政拨款“三公”经费支出决算表》</w:t>
      </w:r>
      <w:bookmarkEnd w:id="54"/>
      <w:bookmarkEnd w:id="5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6" w:name="_Toc482"/>
      <w:bookmarkStart w:id="57" w:name="_Toc5453"/>
      <w:r>
        <w:rPr>
          <w:rFonts w:hint="eastAsia" w:ascii="黑体" w:hAnsi="黑体" w:eastAsia="黑体" w:cs="宋体"/>
          <w:bCs/>
          <w:kern w:val="0"/>
          <w:sz w:val="32"/>
          <w:szCs w:val="32"/>
          <w:highlight w:val="none"/>
        </w:rPr>
        <w:t>八、《政府性基金预算财政拨款收入支出决算表》</w:t>
      </w:r>
      <w:bookmarkEnd w:id="56"/>
      <w:bookmarkEnd w:id="5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8" w:name="_Toc30064"/>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bookmarkEnd w:id="5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MzE4OTA0MTQ2OTA4NDdjNDY1ZWJhN2U3ODJiNGYifQ=="/>
  </w:docVars>
  <w:rsids>
    <w:rsidRoot w:val="00000000"/>
    <w:rsid w:val="00A166A2"/>
    <w:rsid w:val="00E65F3E"/>
    <w:rsid w:val="01205ED0"/>
    <w:rsid w:val="02BE0C93"/>
    <w:rsid w:val="02F73D26"/>
    <w:rsid w:val="034D4FEF"/>
    <w:rsid w:val="043E5B56"/>
    <w:rsid w:val="04CC67F4"/>
    <w:rsid w:val="059A74B6"/>
    <w:rsid w:val="06182106"/>
    <w:rsid w:val="061D0810"/>
    <w:rsid w:val="06792773"/>
    <w:rsid w:val="06DB1E8B"/>
    <w:rsid w:val="0777457D"/>
    <w:rsid w:val="086F792B"/>
    <w:rsid w:val="089E60B4"/>
    <w:rsid w:val="08D2246C"/>
    <w:rsid w:val="0A387505"/>
    <w:rsid w:val="0A541CC8"/>
    <w:rsid w:val="0A7B4867"/>
    <w:rsid w:val="0B5408CF"/>
    <w:rsid w:val="0B8C3ECC"/>
    <w:rsid w:val="0BE61108"/>
    <w:rsid w:val="0C7227A7"/>
    <w:rsid w:val="0D95707B"/>
    <w:rsid w:val="102E443C"/>
    <w:rsid w:val="11987F1B"/>
    <w:rsid w:val="11CF2646"/>
    <w:rsid w:val="122B6AE3"/>
    <w:rsid w:val="13065313"/>
    <w:rsid w:val="142B5C8A"/>
    <w:rsid w:val="1501167E"/>
    <w:rsid w:val="1510622C"/>
    <w:rsid w:val="15A3537A"/>
    <w:rsid w:val="17A9659B"/>
    <w:rsid w:val="19285E45"/>
    <w:rsid w:val="192D36B6"/>
    <w:rsid w:val="19DB6010"/>
    <w:rsid w:val="1A700524"/>
    <w:rsid w:val="1B3B0F26"/>
    <w:rsid w:val="1CA148EC"/>
    <w:rsid w:val="1D0C360F"/>
    <w:rsid w:val="1D1C0892"/>
    <w:rsid w:val="1D9D7450"/>
    <w:rsid w:val="1DAF458D"/>
    <w:rsid w:val="1DFA6FC7"/>
    <w:rsid w:val="1EA8342C"/>
    <w:rsid w:val="1F516E45"/>
    <w:rsid w:val="204C3744"/>
    <w:rsid w:val="20DD6197"/>
    <w:rsid w:val="2101677D"/>
    <w:rsid w:val="23471FB2"/>
    <w:rsid w:val="23BC04D2"/>
    <w:rsid w:val="24A705FF"/>
    <w:rsid w:val="26A34CDA"/>
    <w:rsid w:val="270C6310"/>
    <w:rsid w:val="274B1883"/>
    <w:rsid w:val="279F610E"/>
    <w:rsid w:val="27B06CD0"/>
    <w:rsid w:val="27CF2642"/>
    <w:rsid w:val="295F55B3"/>
    <w:rsid w:val="29B10A15"/>
    <w:rsid w:val="2A053397"/>
    <w:rsid w:val="2BA94F5A"/>
    <w:rsid w:val="2CB371D5"/>
    <w:rsid w:val="2D1136DF"/>
    <w:rsid w:val="2E18598A"/>
    <w:rsid w:val="2EA87867"/>
    <w:rsid w:val="2F1A7CE7"/>
    <w:rsid w:val="2FD27414"/>
    <w:rsid w:val="319501D5"/>
    <w:rsid w:val="31C63837"/>
    <w:rsid w:val="31D7657D"/>
    <w:rsid w:val="33B777EE"/>
    <w:rsid w:val="354E515D"/>
    <w:rsid w:val="36197594"/>
    <w:rsid w:val="370552AF"/>
    <w:rsid w:val="37F60C51"/>
    <w:rsid w:val="38173465"/>
    <w:rsid w:val="388B6EB1"/>
    <w:rsid w:val="3914510A"/>
    <w:rsid w:val="39662DA7"/>
    <w:rsid w:val="3B564E69"/>
    <w:rsid w:val="3B8A672D"/>
    <w:rsid w:val="3CEF7BCF"/>
    <w:rsid w:val="3D5275AC"/>
    <w:rsid w:val="3DBA3A47"/>
    <w:rsid w:val="3DDE5523"/>
    <w:rsid w:val="3DED0ACA"/>
    <w:rsid w:val="3E2B6937"/>
    <w:rsid w:val="3FA11B33"/>
    <w:rsid w:val="40834692"/>
    <w:rsid w:val="41077857"/>
    <w:rsid w:val="41D7069D"/>
    <w:rsid w:val="459D42B6"/>
    <w:rsid w:val="46901EEE"/>
    <w:rsid w:val="469C74D2"/>
    <w:rsid w:val="46AA290D"/>
    <w:rsid w:val="46F870EF"/>
    <w:rsid w:val="470C497C"/>
    <w:rsid w:val="48022301"/>
    <w:rsid w:val="48A00A76"/>
    <w:rsid w:val="494577A7"/>
    <w:rsid w:val="4A9250D2"/>
    <w:rsid w:val="4B4C0111"/>
    <w:rsid w:val="4B674EE5"/>
    <w:rsid w:val="4BC5376D"/>
    <w:rsid w:val="4BE60DEA"/>
    <w:rsid w:val="4D656BB0"/>
    <w:rsid w:val="4E674226"/>
    <w:rsid w:val="4EE8038A"/>
    <w:rsid w:val="50653746"/>
    <w:rsid w:val="506828DC"/>
    <w:rsid w:val="50DB5F45"/>
    <w:rsid w:val="51B73A83"/>
    <w:rsid w:val="5217704A"/>
    <w:rsid w:val="525D7070"/>
    <w:rsid w:val="529D6258"/>
    <w:rsid w:val="52F92565"/>
    <w:rsid w:val="54BF3585"/>
    <w:rsid w:val="55B16887"/>
    <w:rsid w:val="55CF1C7C"/>
    <w:rsid w:val="56DF422C"/>
    <w:rsid w:val="571A2F2D"/>
    <w:rsid w:val="571C510A"/>
    <w:rsid w:val="583059FA"/>
    <w:rsid w:val="595D0265"/>
    <w:rsid w:val="5A424DFF"/>
    <w:rsid w:val="5A505F02"/>
    <w:rsid w:val="5A7759AA"/>
    <w:rsid w:val="5A9D66AD"/>
    <w:rsid w:val="5D223904"/>
    <w:rsid w:val="5F0F21D9"/>
    <w:rsid w:val="5FA17648"/>
    <w:rsid w:val="60442911"/>
    <w:rsid w:val="60AD25AC"/>
    <w:rsid w:val="61491F4A"/>
    <w:rsid w:val="61A46A97"/>
    <w:rsid w:val="621134E4"/>
    <w:rsid w:val="627D5AD6"/>
    <w:rsid w:val="62D125B6"/>
    <w:rsid w:val="62DD7D21"/>
    <w:rsid w:val="65D97752"/>
    <w:rsid w:val="66941F28"/>
    <w:rsid w:val="66D24D12"/>
    <w:rsid w:val="67336CA9"/>
    <w:rsid w:val="67566B3E"/>
    <w:rsid w:val="67F71BCD"/>
    <w:rsid w:val="688A3917"/>
    <w:rsid w:val="68DB0208"/>
    <w:rsid w:val="692C17C2"/>
    <w:rsid w:val="69AD798C"/>
    <w:rsid w:val="6A0D048D"/>
    <w:rsid w:val="6B68175F"/>
    <w:rsid w:val="6BEE325C"/>
    <w:rsid w:val="6C733C48"/>
    <w:rsid w:val="6CC859EB"/>
    <w:rsid w:val="6E0F7A08"/>
    <w:rsid w:val="70CC50FA"/>
    <w:rsid w:val="70F3754D"/>
    <w:rsid w:val="71473612"/>
    <w:rsid w:val="718F7F65"/>
    <w:rsid w:val="71FD163F"/>
    <w:rsid w:val="72C20820"/>
    <w:rsid w:val="730920D9"/>
    <w:rsid w:val="73873F50"/>
    <w:rsid w:val="73FB6630"/>
    <w:rsid w:val="7447570D"/>
    <w:rsid w:val="74E76DCD"/>
    <w:rsid w:val="74F261B0"/>
    <w:rsid w:val="76B84FF2"/>
    <w:rsid w:val="76D53A35"/>
    <w:rsid w:val="77861C15"/>
    <w:rsid w:val="77ED6F44"/>
    <w:rsid w:val="78427901"/>
    <w:rsid w:val="78FE3C7C"/>
    <w:rsid w:val="79523F12"/>
    <w:rsid w:val="7A3E54DB"/>
    <w:rsid w:val="7B957477"/>
    <w:rsid w:val="7C825A00"/>
    <w:rsid w:val="7C883F0C"/>
    <w:rsid w:val="7CA11A28"/>
    <w:rsid w:val="7D697356"/>
    <w:rsid w:val="7DEC608F"/>
    <w:rsid w:val="7E434D52"/>
    <w:rsid w:val="7E977ABB"/>
    <w:rsid w:val="7F3D6F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ind w:firstLine="420"/>
    </w:pPr>
    <w:rPr>
      <w:rFonts w:ascii="Times New Roman" w:hAnsi="Times New Roman"/>
    </w:rPr>
  </w:style>
  <w:style w:type="paragraph" w:styleId="3">
    <w:name w:val="Body Text Indent"/>
    <w:basedOn w:val="1"/>
    <w:qFormat/>
    <w:uiPriority w:val="0"/>
    <w:pPr>
      <w:spacing w:after="120"/>
      <w:ind w:left="420" w:leftChars="200"/>
    </w:pPr>
  </w:style>
  <w:style w:type="paragraph" w:styleId="4">
    <w:name w:val="annotation text"/>
    <w:basedOn w:val="1"/>
    <w:uiPriority w:val="0"/>
    <w:pPr>
      <w:jc w:val="left"/>
    </w:pPr>
  </w:style>
  <w:style w:type="paragraph" w:styleId="5">
    <w:name w:val="Body Text"/>
    <w:basedOn w:val="1"/>
    <w:next w:val="6"/>
    <w:qFormat/>
    <w:uiPriority w:val="0"/>
    <w:pPr>
      <w:spacing w:line="520" w:lineRule="exact"/>
    </w:pPr>
    <w:rPr>
      <w:rFonts w:eastAsia="仿宋_GB2312"/>
      <w:kern w:val="0"/>
      <w:szCs w:val="24"/>
    </w:rPr>
  </w:style>
  <w:style w:type="paragraph" w:styleId="6">
    <w:name w:val="Body Text First Indent"/>
    <w:basedOn w:val="5"/>
    <w:next w:val="7"/>
    <w:qFormat/>
    <w:uiPriority w:val="0"/>
    <w:pPr>
      <w:spacing w:after="0"/>
      <w:ind w:firstLine="420" w:firstLineChars="100"/>
    </w:pPr>
    <w:rPr>
      <w:rFonts w:ascii="宋体" w:hAnsi="宋体" w:cs="宋体"/>
      <w:sz w:val="28"/>
      <w:szCs w:val="28"/>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toc 3"/>
    <w:basedOn w:val="1"/>
    <w:next w:val="1"/>
    <w:qFormat/>
    <w:uiPriority w:val="0"/>
    <w:pPr>
      <w:ind w:left="840" w:leftChars="40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character" w:styleId="14">
    <w:name w:val="Strong"/>
    <w:unhideWhenUsed/>
    <w:qFormat/>
    <w:uiPriority w:val="0"/>
    <w:rPr>
      <w:rFonts w:hint="default"/>
      <w:b/>
      <w:sz w:val="24"/>
      <w:szCs w:val="24"/>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 w:type="paragraph" w:customStyle="1" w:styleId="16">
    <w:name w:val="WPSOffice手动目录 3"/>
    <w:qFormat/>
    <w:uiPriority w:val="0"/>
    <w:pPr>
      <w:ind w:leftChars="400"/>
    </w:pPr>
    <w:rPr>
      <w:rFonts w:ascii="Times New Roman" w:hAnsi="Times New Roman" w:eastAsia="宋体" w:cs="Times New Roman"/>
      <w:sz w:val="20"/>
      <w:szCs w:val="20"/>
    </w:rPr>
  </w:style>
  <w:style w:type="paragraph" w:customStyle="1" w:styleId="17">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5560</Words>
  <Characters>6168</Characters>
  <Lines>0</Lines>
  <Paragraphs>0</Paragraphs>
  <TotalTime>6</TotalTime>
  <ScaleCrop>false</ScaleCrop>
  <LinksUpToDate>false</LinksUpToDate>
  <CharactersWithSpaces>6186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Dell</cp:lastModifiedBy>
  <dcterms:modified xsi:type="dcterms:W3CDTF">2024-02-19T04:20:58Z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F02F80AB9E84438EBAE03A12305850A6</vt:lpwstr>
  </property>
</Properties>
</file>