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adjustRightInd/>
        <w:snapToGrid/>
        <w:spacing w:line="240" w:lineRule="auto"/>
        <w:textAlignment w:val="auto"/>
        <w:rPr>
          <w:rFonts w:ascii="黑体" w:hAnsi="黑体" w:eastAsia="黑体"/>
          <w:sz w:val="32"/>
          <w:szCs w:val="32"/>
          <w:highlight w:val="none"/>
        </w:rPr>
      </w:pPr>
    </w:p>
    <w:p>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方正小标宋_GBK" w:hAnsi="宋体" w:eastAsia="方正小标宋_GBK"/>
          <w:sz w:val="44"/>
          <w:szCs w:val="44"/>
          <w:highlight w:val="none"/>
        </w:rPr>
      </w:pPr>
    </w:p>
    <w:p>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方正小标宋_GBK" w:hAnsi="宋体" w:eastAsia="方正小标宋_GBK"/>
          <w:sz w:val="44"/>
          <w:szCs w:val="44"/>
          <w:highlight w:val="none"/>
        </w:rPr>
      </w:pPr>
    </w:p>
    <w:p>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方正小标宋_GBK" w:hAnsi="宋体" w:eastAsia="方正小标宋_GBK"/>
          <w:sz w:val="44"/>
          <w:szCs w:val="44"/>
          <w:highlight w:val="none"/>
        </w:rPr>
      </w:pPr>
    </w:p>
    <w:p>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方正小标宋_GBK" w:hAnsi="宋体" w:eastAsia="方正小标宋_GBK"/>
          <w:sz w:val="44"/>
          <w:szCs w:val="44"/>
          <w:highlight w:val="none"/>
        </w:rPr>
      </w:pPr>
    </w:p>
    <w:p>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方正小标宋_GBK" w:hAnsi="宋体" w:eastAsia="方正小标宋_GBK"/>
          <w:sz w:val="44"/>
          <w:szCs w:val="44"/>
          <w:highlight w:val="none"/>
        </w:rPr>
      </w:pPr>
      <w:r>
        <w:rPr>
          <w:rFonts w:hint="eastAsia" w:ascii="方正小标宋_GBK" w:hAnsi="宋体" w:eastAsia="方正小标宋_GBK"/>
          <w:sz w:val="44"/>
          <w:szCs w:val="44"/>
          <w:highlight w:val="none"/>
        </w:rPr>
        <w:t>乌鲁木齐市水磨沟区南湖广场管理中心</w:t>
      </w:r>
      <w:r>
        <w:rPr>
          <w:rFonts w:hint="eastAsia" w:ascii="方正小标宋_GBK" w:hAnsi="宋体" w:eastAsia="方正小标宋_GBK"/>
          <w:sz w:val="44"/>
          <w:szCs w:val="44"/>
          <w:highlight w:val="none"/>
          <w:lang w:val="en-US" w:eastAsia="zh-CN"/>
        </w:rPr>
        <w:t>2022</w:t>
      </w:r>
      <w:r>
        <w:rPr>
          <w:rFonts w:hint="eastAsia" w:ascii="方正小标宋_GBK" w:hAnsi="宋体" w:eastAsia="方正小标宋_GBK"/>
          <w:sz w:val="44"/>
          <w:szCs w:val="44"/>
          <w:highlight w:val="none"/>
        </w:rPr>
        <w:t>年度部门决算</w:t>
      </w:r>
    </w:p>
    <w:p>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方正小标宋_GBK" w:hAnsi="宋体" w:eastAsia="方正小标宋_GBK"/>
          <w:sz w:val="44"/>
          <w:szCs w:val="44"/>
          <w:highlight w:val="none"/>
        </w:rPr>
      </w:pPr>
      <w:r>
        <w:rPr>
          <w:rFonts w:hint="eastAsia" w:ascii="方正小标宋_GBK" w:hAnsi="宋体" w:eastAsia="方正小标宋_GBK"/>
          <w:sz w:val="44"/>
          <w:szCs w:val="44"/>
          <w:highlight w:val="none"/>
        </w:rPr>
        <w:t>公开说明</w:t>
      </w:r>
    </w:p>
    <w:p>
      <w:pPr>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仿宋_GB2312" w:hAnsi="仿宋_GB2312" w:eastAsia="仿宋_GB2312" w:cs="仿宋_GB2312"/>
          <w:b w:val="0"/>
          <w:bCs/>
          <w:kern w:val="0"/>
          <w:sz w:val="32"/>
          <w:szCs w:val="32"/>
          <w:highlight w:val="none"/>
        </w:rPr>
      </w:pPr>
      <w:r>
        <w:rPr>
          <w:rFonts w:hint="eastAsia" w:ascii="方正小标宋_GBK" w:hAnsi="宋体" w:eastAsia="方正小标宋_GBK"/>
          <w:sz w:val="44"/>
          <w:szCs w:val="44"/>
          <w:highlight w:val="none"/>
        </w:rPr>
        <w:br w:type="page"/>
      </w:r>
      <w:r>
        <w:rPr>
          <w:rFonts w:hint="eastAsia" w:ascii="仿宋_GB2312" w:hAnsi="仿宋_GB2312" w:eastAsia="仿宋_GB2312" w:cs="仿宋_GB2312"/>
          <w:b/>
          <w:bCs w:val="0"/>
          <w:kern w:val="0"/>
          <w:sz w:val="36"/>
          <w:szCs w:val="36"/>
          <w:highlight w:val="none"/>
        </w:rPr>
        <w:t>目  录</w:t>
      </w:r>
    </w:p>
    <w:p>
      <w:pPr>
        <w:pStyle w:val="6"/>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第一部分 单位概况</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一、主要职能</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二、机构设置</w:t>
      </w:r>
      <w:r>
        <w:rPr>
          <w:rFonts w:hint="eastAsia" w:ascii="仿宋_GB2312" w:hAnsi="仿宋_GB2312" w:eastAsia="仿宋_GB2312" w:cs="仿宋_GB2312"/>
          <w:bCs/>
          <w:kern w:val="0"/>
          <w:sz w:val="32"/>
          <w:szCs w:val="32"/>
          <w:highlight w:val="none"/>
          <w:lang w:eastAsia="zh-CN"/>
        </w:rPr>
        <w:t>及人员</w:t>
      </w:r>
      <w:r>
        <w:rPr>
          <w:rFonts w:hint="eastAsia" w:ascii="仿宋_GB2312" w:hAnsi="仿宋_GB2312" w:eastAsia="仿宋_GB2312" w:cs="仿宋_GB2312"/>
          <w:bCs/>
          <w:kern w:val="0"/>
          <w:sz w:val="32"/>
          <w:szCs w:val="32"/>
          <w:highlight w:val="none"/>
        </w:rPr>
        <w:t>情况</w:t>
      </w:r>
    </w:p>
    <w:p>
      <w:pPr>
        <w:pStyle w:val="6"/>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第二部分 部门决算情况说明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一、收入支出决算总体情况说明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eastAsia="zh-CN"/>
        </w:rPr>
        <w:t>二、</w:t>
      </w:r>
      <w:r>
        <w:rPr>
          <w:rFonts w:hint="eastAsia" w:ascii="仿宋_GB2312" w:hAnsi="仿宋_GB2312" w:eastAsia="仿宋_GB2312" w:cs="仿宋_GB2312"/>
          <w:bCs/>
          <w:kern w:val="0"/>
          <w:sz w:val="32"/>
          <w:szCs w:val="32"/>
          <w:highlight w:val="none"/>
        </w:rPr>
        <w:t>收入</w:t>
      </w:r>
      <w:r>
        <w:rPr>
          <w:rFonts w:hint="eastAsia" w:ascii="仿宋_GB2312" w:hAnsi="仿宋_GB2312" w:eastAsia="仿宋_GB2312" w:cs="仿宋_GB2312"/>
          <w:bCs/>
          <w:kern w:val="0"/>
          <w:sz w:val="32"/>
          <w:szCs w:val="32"/>
          <w:highlight w:val="none"/>
          <w:lang w:eastAsia="zh-CN"/>
        </w:rPr>
        <w:t>决算</w:t>
      </w:r>
      <w:r>
        <w:rPr>
          <w:rFonts w:hint="eastAsia" w:ascii="仿宋_GB2312" w:hAnsi="仿宋_GB2312" w:eastAsia="仿宋_GB2312" w:cs="仿宋_GB2312"/>
          <w:bCs/>
          <w:kern w:val="0"/>
          <w:sz w:val="32"/>
          <w:szCs w:val="32"/>
          <w:highlight w:val="none"/>
        </w:rPr>
        <w:t>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eastAsia="zh-CN"/>
        </w:rPr>
        <w:t>三、支出决算情况说明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eastAsia="zh-CN"/>
        </w:rPr>
        <w:t>四、财政拨款收入支出决算总体情况说明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eastAsia="zh-CN"/>
        </w:rPr>
        <w:t>五、一般公共预算财政拨款支出决算情况说明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eastAsia="zh-CN"/>
        </w:rPr>
        <w:t>六、一般公共预算财政拨款基本支出决算情况说明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eastAsia="zh-CN"/>
        </w:rPr>
        <w:t>七</w:t>
      </w:r>
      <w:r>
        <w:rPr>
          <w:rFonts w:hint="eastAsia" w:ascii="仿宋_GB2312" w:hAnsi="仿宋_GB2312" w:eastAsia="仿宋_GB2312" w:cs="仿宋_GB2312"/>
          <w:bCs/>
          <w:kern w:val="0"/>
          <w:sz w:val="32"/>
          <w:szCs w:val="32"/>
          <w:highlight w:val="none"/>
        </w:rPr>
        <w:t>、</w:t>
      </w:r>
      <w:r>
        <w:rPr>
          <w:rFonts w:hint="eastAsia" w:ascii="仿宋_GB2312" w:hAnsi="仿宋_GB2312" w:eastAsia="仿宋_GB2312" w:cs="仿宋_GB2312"/>
          <w:bCs/>
          <w:kern w:val="0"/>
          <w:sz w:val="32"/>
          <w:szCs w:val="32"/>
          <w:highlight w:val="none"/>
          <w:lang w:eastAsia="zh-CN"/>
        </w:rPr>
        <w:t>财政拨款</w:t>
      </w:r>
      <w:r>
        <w:rPr>
          <w:rFonts w:hint="eastAsia" w:ascii="仿宋_GB2312" w:hAnsi="仿宋_GB2312" w:eastAsia="仿宋_GB2312" w:cs="仿宋_GB2312"/>
          <w:bCs/>
          <w:kern w:val="0"/>
          <w:sz w:val="32"/>
          <w:szCs w:val="32"/>
          <w:highlight w:val="none"/>
        </w:rPr>
        <w:t>“三公”经费支出</w:t>
      </w:r>
      <w:r>
        <w:rPr>
          <w:rFonts w:hint="eastAsia" w:ascii="仿宋_GB2312" w:hAnsi="仿宋_GB2312" w:eastAsia="仿宋_GB2312" w:cs="仿宋_GB2312"/>
          <w:bCs/>
          <w:kern w:val="0"/>
          <w:sz w:val="32"/>
          <w:szCs w:val="32"/>
          <w:highlight w:val="none"/>
          <w:lang w:eastAsia="zh-CN"/>
        </w:rPr>
        <w:t>决算</w:t>
      </w:r>
      <w:r>
        <w:rPr>
          <w:rFonts w:hint="eastAsia" w:ascii="仿宋_GB2312" w:hAnsi="仿宋_GB2312" w:eastAsia="仿宋_GB2312" w:cs="仿宋_GB2312"/>
          <w:bCs/>
          <w:kern w:val="0"/>
          <w:sz w:val="32"/>
          <w:szCs w:val="32"/>
          <w:highlight w:val="none"/>
        </w:rPr>
        <w:t>情况</w:t>
      </w:r>
      <w:r>
        <w:rPr>
          <w:rFonts w:hint="eastAsia" w:ascii="仿宋_GB2312" w:hAnsi="仿宋_GB2312" w:eastAsia="仿宋_GB2312" w:cs="仿宋_GB2312"/>
          <w:bCs/>
          <w:kern w:val="0"/>
          <w:sz w:val="32"/>
          <w:szCs w:val="32"/>
          <w:highlight w:val="none"/>
          <w:lang w:eastAsia="zh-CN"/>
        </w:rPr>
        <w:t>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lang w:val="en-US" w:eastAsia="zh-CN"/>
        </w:rPr>
        <w:t>八、</w:t>
      </w:r>
      <w:r>
        <w:rPr>
          <w:rFonts w:hint="eastAsia" w:ascii="仿宋_GB2312" w:hAnsi="仿宋_GB2312" w:eastAsia="仿宋_GB2312" w:cs="仿宋_GB2312"/>
          <w:bCs/>
          <w:kern w:val="0"/>
          <w:sz w:val="32"/>
          <w:szCs w:val="32"/>
          <w:highlight w:val="none"/>
          <w:lang w:eastAsia="zh-CN"/>
        </w:rPr>
        <w:t>政府性基金预算财政拨款收入支出决算情况说明</w:t>
      </w:r>
    </w:p>
    <w:p>
      <w:pPr>
        <w:rPr>
          <w:rFonts w:hint="eastAsia"/>
          <w:highlight w:val="none"/>
        </w:rPr>
      </w:pPr>
      <w:r>
        <w:rPr>
          <w:rFonts w:hint="eastAsia" w:ascii="仿宋_GB2312" w:hAnsi="仿宋_GB2312" w:eastAsia="仿宋_GB2312" w:cs="仿宋_GB2312"/>
          <w:bCs/>
          <w:kern w:val="0"/>
          <w:sz w:val="32"/>
          <w:szCs w:val="32"/>
          <w:highlight w:val="none"/>
          <w:lang w:val="en-US" w:eastAsia="zh-CN"/>
        </w:rPr>
        <w:t>九</w:t>
      </w:r>
      <w:r>
        <w:rPr>
          <w:rFonts w:hint="eastAsia" w:ascii="仿宋_GB2312" w:hAnsi="仿宋_GB2312" w:eastAsia="仿宋_GB2312" w:cs="仿宋_GB2312"/>
          <w:bCs/>
          <w:kern w:val="0"/>
          <w:sz w:val="32"/>
          <w:szCs w:val="32"/>
          <w:highlight w:val="none"/>
          <w:lang w:eastAsia="zh-CN"/>
        </w:rPr>
        <w:t>、国有资本经营预算财政拨款收入支出决算情况说明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十</w:t>
      </w:r>
      <w:r>
        <w:rPr>
          <w:rFonts w:hint="eastAsia" w:ascii="仿宋_GB2312" w:hAnsi="仿宋_GB2312" w:eastAsia="仿宋_GB2312" w:cs="仿宋_GB2312"/>
          <w:bCs/>
          <w:kern w:val="0"/>
          <w:sz w:val="32"/>
          <w:szCs w:val="32"/>
          <w:highlight w:val="none"/>
        </w:rPr>
        <w:t>、其他重要事项的情况</w:t>
      </w:r>
      <w:r>
        <w:rPr>
          <w:rFonts w:hint="eastAsia" w:ascii="仿宋_GB2312" w:hAnsi="仿宋_GB2312" w:eastAsia="仿宋_GB2312" w:cs="仿宋_GB2312"/>
          <w:bCs/>
          <w:kern w:val="0"/>
          <w:sz w:val="32"/>
          <w:szCs w:val="32"/>
          <w:highlight w:val="none"/>
          <w:lang w:eastAsia="zh-CN"/>
        </w:rPr>
        <w:t>说明</w:t>
      </w:r>
    </w:p>
    <w:p>
      <w:pPr>
        <w:pStyle w:val="3"/>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（一）</w:t>
      </w:r>
      <w:r>
        <w:rPr>
          <w:rFonts w:hint="eastAsia" w:ascii="仿宋_GB2312" w:hAnsi="仿宋_GB2312" w:eastAsia="仿宋_GB2312" w:cs="仿宋_GB2312"/>
          <w:sz w:val="32"/>
          <w:szCs w:val="32"/>
          <w:highlight w:val="none"/>
        </w:rPr>
        <w:t>机关运行经费支出情况</w:t>
      </w:r>
    </w:p>
    <w:p>
      <w:pPr>
        <w:pStyle w:val="3"/>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（二）政府采购情况</w:t>
      </w:r>
    </w:p>
    <w:p>
      <w:pPr>
        <w:pStyle w:val="3"/>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（三）国有资产占用情况说明</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Cs/>
          <w:kern w:val="0"/>
          <w:sz w:val="32"/>
          <w:szCs w:val="32"/>
          <w:highlight w:val="none"/>
          <w:lang w:eastAsia="zh-CN"/>
        </w:rPr>
      </w:pPr>
      <w:r>
        <w:rPr>
          <w:rFonts w:hint="eastAsia" w:ascii="仿宋_GB2312" w:hAnsi="仿宋_GB2312" w:eastAsia="仿宋_GB2312" w:cs="仿宋_GB2312"/>
          <w:bCs/>
          <w:kern w:val="0"/>
          <w:sz w:val="32"/>
          <w:szCs w:val="32"/>
          <w:highlight w:val="none"/>
          <w:lang w:eastAsia="zh-CN"/>
        </w:rPr>
        <w:t>十</w:t>
      </w:r>
      <w:r>
        <w:rPr>
          <w:rFonts w:hint="eastAsia" w:ascii="仿宋_GB2312" w:hAnsi="仿宋_GB2312" w:eastAsia="仿宋_GB2312" w:cs="仿宋_GB2312"/>
          <w:bCs/>
          <w:kern w:val="0"/>
          <w:sz w:val="32"/>
          <w:szCs w:val="32"/>
          <w:highlight w:val="none"/>
          <w:lang w:val="en-US" w:eastAsia="zh-CN"/>
        </w:rPr>
        <w:t>一</w:t>
      </w:r>
      <w:r>
        <w:rPr>
          <w:rFonts w:hint="eastAsia" w:ascii="仿宋_GB2312" w:hAnsi="仿宋_GB2312" w:eastAsia="仿宋_GB2312" w:cs="仿宋_GB2312"/>
          <w:bCs/>
          <w:kern w:val="0"/>
          <w:sz w:val="32"/>
          <w:szCs w:val="32"/>
          <w:highlight w:val="none"/>
          <w:lang w:eastAsia="zh-CN"/>
        </w:rPr>
        <w:t>、预算绩效的情况说明</w:t>
      </w:r>
    </w:p>
    <w:p>
      <w:pPr>
        <w:rPr>
          <w:rFonts w:hint="eastAsia" w:ascii="仿宋_GB2312" w:hAnsi="仿宋_GB2312" w:eastAsia="仿宋_GB2312" w:cs="仿宋_GB2312"/>
          <w:bCs/>
          <w:kern w:val="0"/>
          <w:sz w:val="32"/>
          <w:szCs w:val="32"/>
          <w:highlight w:val="none"/>
          <w:lang w:eastAsia="zh-CN"/>
        </w:rPr>
      </w:pPr>
    </w:p>
    <w:p>
      <w:pPr>
        <w:rPr>
          <w:rFonts w:hint="eastAsia" w:ascii="仿宋_GB2312" w:hAnsi="仿宋_GB2312" w:eastAsia="仿宋_GB2312" w:cs="仿宋_GB2312"/>
          <w:bCs/>
          <w:kern w:val="0"/>
          <w:sz w:val="32"/>
          <w:szCs w:val="32"/>
          <w:highlight w:val="none"/>
          <w:lang w:eastAsia="zh-CN"/>
        </w:rPr>
      </w:pPr>
    </w:p>
    <w:p>
      <w:pPr>
        <w:rPr>
          <w:rFonts w:hint="eastAsia" w:ascii="仿宋_GB2312" w:hAnsi="仿宋_GB2312" w:eastAsia="仿宋_GB2312" w:cs="仿宋_GB2312"/>
          <w:bCs/>
          <w:kern w:val="0"/>
          <w:sz w:val="32"/>
          <w:szCs w:val="32"/>
          <w:highlight w:val="none"/>
          <w:lang w:eastAsia="zh-CN"/>
        </w:rPr>
      </w:pPr>
    </w:p>
    <w:p>
      <w:pPr>
        <w:pStyle w:val="6"/>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第三部分 专业名词解释</w:t>
      </w:r>
    </w:p>
    <w:p>
      <w:pPr>
        <w:pStyle w:val="6"/>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第四部分 部门决算报表（见附表）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一、《收入支出决算总表》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二、《收入决算表》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三、《支出决算表》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四、《财政拨款收入支出决算总表》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五、《一般公共预算财政拨款支出决算表》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六、《一般公共预算财政拨款基本支出决算表》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Cs/>
          <w:kern w:val="0"/>
          <w:sz w:val="32"/>
          <w:szCs w:val="32"/>
          <w:highlight w:val="none"/>
        </w:rPr>
        <w:t>七、《财政拨款“三公”经费支出决算表》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Cs/>
          <w:kern w:val="0"/>
          <w:sz w:val="32"/>
          <w:szCs w:val="32"/>
          <w:highlight w:val="none"/>
        </w:rPr>
      </w:pPr>
      <w:r>
        <w:rPr>
          <w:rFonts w:hint="eastAsia" w:ascii="仿宋_GB2312" w:hAnsi="仿宋_GB2312" w:eastAsia="仿宋_GB2312" w:cs="仿宋_GB2312"/>
          <w:bCs/>
          <w:kern w:val="0"/>
          <w:sz w:val="32"/>
          <w:szCs w:val="32"/>
          <w:highlight w:val="none"/>
          <w:lang w:val="en-US" w:eastAsia="zh-CN"/>
        </w:rPr>
        <w:t>八、</w:t>
      </w:r>
      <w:r>
        <w:rPr>
          <w:rFonts w:hint="eastAsia" w:ascii="仿宋_GB2312" w:hAnsi="仿宋_GB2312" w:eastAsia="仿宋_GB2312" w:cs="仿宋_GB2312"/>
          <w:bCs/>
          <w:kern w:val="0"/>
          <w:sz w:val="32"/>
          <w:szCs w:val="32"/>
          <w:highlight w:val="none"/>
        </w:rPr>
        <w:t>《政府性基金预算财政拨款收入支出决算表》</w:t>
      </w:r>
    </w:p>
    <w:p>
      <w:pPr>
        <w:pStyle w:val="7"/>
        <w:keepNext w:val="0"/>
        <w:keepLines w:val="0"/>
        <w:pageBreakBefore w:val="0"/>
        <w:widowControl w:val="0"/>
        <w:tabs>
          <w:tab w:val="right" w:pos="8306"/>
        </w:tabs>
        <w:kinsoku/>
        <w:wordWrap/>
        <w:overflowPunct/>
        <w:topLinePunct w:val="0"/>
        <w:autoSpaceDE/>
        <w:autoSpaceDN/>
        <w:bidi w:val="0"/>
        <w:adjustRightInd/>
        <w:snapToGrid/>
        <w:ind w:left="0" w:leftChars="0"/>
        <w:textAlignment w:val="auto"/>
        <w:rPr>
          <w:rFonts w:hint="eastAsia" w:ascii="仿宋_GB2312" w:hAnsi="仿宋_GB2312" w:eastAsia="仿宋_GB2312" w:cs="仿宋_GB2312"/>
          <w:bCs/>
          <w:kern w:val="0"/>
          <w:sz w:val="32"/>
          <w:szCs w:val="32"/>
          <w:highlight w:val="none"/>
          <w:lang w:eastAsia="zh-CN"/>
        </w:rPr>
      </w:pPr>
      <w:r>
        <w:rPr>
          <w:rFonts w:hint="eastAsia" w:ascii="仿宋_GB2312" w:hAnsi="仿宋_GB2312" w:eastAsia="仿宋_GB2312" w:cs="仿宋_GB2312"/>
          <w:bCs/>
          <w:kern w:val="0"/>
          <w:sz w:val="32"/>
          <w:szCs w:val="32"/>
          <w:highlight w:val="none"/>
          <w:lang w:val="en-US" w:eastAsia="zh-CN"/>
        </w:rPr>
        <w:t>九</w:t>
      </w:r>
      <w:r>
        <w:rPr>
          <w:rFonts w:hint="eastAsia" w:ascii="仿宋_GB2312" w:hAnsi="仿宋_GB2312" w:eastAsia="仿宋_GB2312" w:cs="仿宋_GB2312"/>
          <w:bCs/>
          <w:kern w:val="0"/>
          <w:sz w:val="32"/>
          <w:szCs w:val="32"/>
          <w:highlight w:val="none"/>
          <w:lang w:eastAsia="zh-CN"/>
        </w:rPr>
        <w:t>、《国有资本经营</w:t>
      </w:r>
      <w:r>
        <w:rPr>
          <w:rFonts w:hint="eastAsia" w:ascii="仿宋_GB2312" w:hAnsi="仿宋_GB2312" w:eastAsia="仿宋_GB2312" w:cs="仿宋_GB2312"/>
          <w:bCs/>
          <w:kern w:val="0"/>
          <w:sz w:val="32"/>
          <w:szCs w:val="32"/>
          <w:highlight w:val="none"/>
        </w:rPr>
        <w:t>预算财政拨款收入支出决算表</w:t>
      </w:r>
      <w:r>
        <w:rPr>
          <w:rFonts w:hint="eastAsia" w:ascii="仿宋_GB2312" w:hAnsi="仿宋_GB2312" w:eastAsia="仿宋_GB2312" w:cs="仿宋_GB2312"/>
          <w:bCs/>
          <w:kern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ind w:left="0" w:leftChars="0"/>
        <w:jc w:val="both"/>
        <w:textAlignment w:val="auto"/>
        <w:rPr>
          <w:highlight w:val="none"/>
        </w:rPr>
      </w:pPr>
    </w:p>
    <w:p>
      <w:pPr>
        <w:keepNext w:val="0"/>
        <w:keepLines w:val="0"/>
        <w:pageBreakBefore w:val="0"/>
        <w:widowControl w:val="0"/>
        <w:kinsoku/>
        <w:wordWrap/>
        <w:overflowPunct/>
        <w:topLinePunct w:val="0"/>
        <w:autoSpaceDE/>
        <w:autoSpaceDN/>
        <w:bidi w:val="0"/>
        <w:adjustRightInd/>
        <w:snapToGrid/>
        <w:ind w:left="0" w:leftChars="0"/>
        <w:jc w:val="both"/>
        <w:textAlignment w:val="auto"/>
        <w:rPr>
          <w:highlight w:val="none"/>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center"/>
        <w:textAlignment w:val="auto"/>
        <w:outlineLvl w:val="0"/>
        <w:rPr>
          <w:rFonts w:hint="eastAsia" w:ascii="黑体" w:hAnsi="黑体" w:eastAsia="黑体"/>
          <w:sz w:val="32"/>
          <w:szCs w:val="32"/>
          <w:highlight w:val="none"/>
        </w:rPr>
      </w:pPr>
      <w:bookmarkStart w:id="91" w:name="_GoBack"/>
      <w:bookmarkEnd w:id="91"/>
      <w:r>
        <w:rPr>
          <w:rFonts w:hint="eastAsia" w:ascii="仿宋_GB2312" w:eastAsia="仿宋_GB2312"/>
          <w:sz w:val="32"/>
          <w:szCs w:val="32"/>
          <w:highlight w:val="none"/>
        </w:rPr>
        <w:br w:type="page"/>
      </w:r>
      <w:bookmarkStart w:id="0" w:name="_Toc24028"/>
      <w:bookmarkStart w:id="1" w:name="_Toc6835"/>
      <w:bookmarkStart w:id="2" w:name="_Toc3671"/>
      <w:r>
        <w:rPr>
          <w:rFonts w:hint="eastAsia" w:ascii="黑体" w:hAnsi="黑体" w:eastAsia="黑体"/>
          <w:sz w:val="32"/>
          <w:szCs w:val="32"/>
          <w:highlight w:val="none"/>
        </w:rPr>
        <w:t>第一部分 单位概况</w:t>
      </w:r>
      <w:bookmarkEnd w:id="0"/>
      <w:bookmarkEnd w:id="1"/>
      <w:bookmarkEnd w:id="2"/>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ascii="黑体" w:hAnsi="黑体" w:eastAsia="黑体" w:cs="宋体"/>
          <w:bCs/>
          <w:kern w:val="0"/>
          <w:sz w:val="32"/>
          <w:szCs w:val="32"/>
          <w:highlight w:val="none"/>
        </w:rPr>
      </w:pPr>
      <w:bookmarkStart w:id="3" w:name="_Toc30738"/>
      <w:bookmarkStart w:id="4" w:name="_Toc521"/>
      <w:bookmarkStart w:id="5" w:name="_Toc15274"/>
      <w:r>
        <w:rPr>
          <w:rFonts w:hint="eastAsia" w:ascii="黑体" w:hAnsi="黑体" w:eastAsia="黑体" w:cs="宋体"/>
          <w:bCs/>
          <w:kern w:val="0"/>
          <w:sz w:val="32"/>
          <w:szCs w:val="32"/>
          <w:highlight w:val="none"/>
        </w:rPr>
        <w:t>一、主要职能</w:t>
      </w:r>
      <w:bookmarkEnd w:id="3"/>
      <w:bookmarkEnd w:id="4"/>
      <w:bookmarkEnd w:id="5"/>
    </w:p>
    <w:p>
      <w:pPr>
        <w:keepNext w:val="0"/>
        <w:keepLines w:val="0"/>
        <w:pageBreakBefore w:val="0"/>
        <w:widowControl/>
        <w:shd w:val="clear" w:color="auto" w:fill="FFFFFF"/>
        <w:kinsoku/>
        <w:wordWrap/>
        <w:overflowPunct/>
        <w:topLinePunct w:val="0"/>
        <w:autoSpaceDE/>
        <w:autoSpaceDN/>
        <w:bidi w:val="0"/>
        <w:adjustRightInd/>
        <w:snapToGrid/>
        <w:spacing w:beforeLines="0" w:line="560" w:lineRule="exact"/>
        <w:ind w:firstLine="640"/>
        <w:jc w:val="left"/>
        <w:textAlignment w:val="auto"/>
        <w:rPr>
          <w:rFonts w:hint="default" w:ascii="Times New Roman" w:hAnsi="Times New Roman" w:eastAsia="仿宋_GB2312" w:cs="Times New Roman"/>
          <w:bCs/>
          <w:color w:val="000000"/>
          <w:kern w:val="0"/>
          <w:sz w:val="32"/>
          <w:szCs w:val="32"/>
          <w:highlight w:val="none"/>
        </w:rPr>
      </w:pPr>
      <w:bookmarkStart w:id="6" w:name="_Toc31238"/>
      <w:bookmarkStart w:id="7" w:name="_Toc24146"/>
      <w:bookmarkStart w:id="8" w:name="_Toc8561"/>
      <w:r>
        <w:rPr>
          <w:rFonts w:hint="default" w:ascii="Times New Roman" w:hAnsi="Times New Roman" w:eastAsia="仿宋_GB2312" w:cs="Times New Roman"/>
          <w:bCs/>
          <w:color w:val="000000"/>
          <w:kern w:val="0"/>
          <w:sz w:val="32"/>
          <w:szCs w:val="32"/>
          <w:highlight w:val="none"/>
        </w:rPr>
        <w:t xml:space="preserve"> </w:t>
      </w:r>
      <w:r>
        <w:rPr>
          <w:rFonts w:hint="default" w:ascii="Times New Roman" w:hAnsi="Times New Roman" w:eastAsia="仿宋_GB2312" w:cs="Times New Roman"/>
          <w:color w:val="000000"/>
          <w:kern w:val="0"/>
          <w:sz w:val="32"/>
          <w:szCs w:val="32"/>
          <w:highlight w:val="none"/>
        </w:rPr>
        <w:t>水磨沟区南湖广场管理中心隶属于水磨沟区林业园林管理局，正科级单位，是全额拨款的事业单位。主要职能：负责南湖广场日常管理、绿地管养、卫生保洁、设施管理维护及公共场所安全等工作。</w:t>
      </w:r>
      <w:r>
        <w:rPr>
          <w:rFonts w:hint="default" w:ascii="Times New Roman" w:hAnsi="Times New Roman" w:eastAsia="仿宋_GB2312" w:cs="Times New Roman"/>
          <w:bCs/>
          <w:color w:val="000000"/>
          <w:kern w:val="0"/>
          <w:sz w:val="32"/>
          <w:szCs w:val="32"/>
          <w:highlight w:val="none"/>
        </w:rPr>
        <w:t xml:space="preserve"> </w:t>
      </w:r>
    </w:p>
    <w:p>
      <w:pPr>
        <w:keepNext w:val="0"/>
        <w:keepLines w:val="0"/>
        <w:pageBreakBefore w:val="0"/>
        <w:shd w:val="clear" w:color="auto" w:fill="FFFFFF"/>
        <w:kinsoku/>
        <w:wordWrap/>
        <w:overflowPunct/>
        <w:topLinePunct w:val="0"/>
        <w:autoSpaceDE/>
        <w:autoSpaceDN/>
        <w:bidi w:val="0"/>
        <w:adjustRightInd/>
        <w:snapToGrid w:val="0"/>
        <w:spacing w:beforeLines="0" w:afterLines="0" w:line="560" w:lineRule="exact"/>
        <w:ind w:firstLine="640" w:firstLineChars="200"/>
        <w:jc w:val="left"/>
        <w:textAlignment w:val="auto"/>
        <w:rPr>
          <w:rFonts w:hint="default" w:ascii="Times New Roman" w:hAnsi="Times New Roman" w:eastAsia="仿宋_GB2312" w:cs="Times New Roman"/>
          <w:color w:val="000000"/>
          <w:kern w:val="0"/>
          <w:sz w:val="32"/>
          <w:highlight w:val="none"/>
        </w:rPr>
      </w:pPr>
      <w:r>
        <w:rPr>
          <w:rFonts w:hint="default" w:ascii="Times New Roman" w:hAnsi="Times New Roman" w:eastAsia="仿宋_GB2312" w:cs="Times New Roman"/>
          <w:color w:val="000000"/>
          <w:kern w:val="0"/>
          <w:sz w:val="32"/>
          <w:highlight w:val="none"/>
          <w:lang w:eastAsia="zh-CN"/>
        </w:rPr>
        <w:t>（</w:t>
      </w:r>
      <w:r>
        <w:rPr>
          <w:rFonts w:hint="eastAsia" w:eastAsia="仿宋_GB2312" w:cs="Times New Roman"/>
          <w:color w:val="000000"/>
          <w:kern w:val="0"/>
          <w:sz w:val="32"/>
          <w:highlight w:val="none"/>
          <w:lang w:val="en-US" w:eastAsia="zh-CN"/>
        </w:rPr>
        <w:t>一</w:t>
      </w:r>
      <w:r>
        <w:rPr>
          <w:rFonts w:hint="default" w:ascii="Times New Roman" w:hAnsi="Times New Roman" w:eastAsia="仿宋_GB2312" w:cs="Times New Roman"/>
          <w:color w:val="000000"/>
          <w:kern w:val="0"/>
          <w:sz w:val="32"/>
          <w:highlight w:val="none"/>
          <w:lang w:eastAsia="zh-CN"/>
        </w:rPr>
        <w:t>）</w:t>
      </w:r>
      <w:r>
        <w:rPr>
          <w:rFonts w:hint="default" w:ascii="Times New Roman" w:hAnsi="Times New Roman" w:eastAsia="仿宋_GB2312" w:cs="Times New Roman"/>
          <w:color w:val="000000"/>
          <w:kern w:val="0"/>
          <w:sz w:val="32"/>
          <w:highlight w:val="none"/>
        </w:rPr>
        <w:t>绿化管养方面，主要负责在夏季期间，对广场的花草、树木枯枝、绿篱、草坪进行24小时保洁及修剪正常养护。完成了南湖广场人工湖水质改善工作。</w:t>
      </w:r>
    </w:p>
    <w:p>
      <w:pPr>
        <w:keepNext w:val="0"/>
        <w:keepLines w:val="0"/>
        <w:pageBreakBefore w:val="0"/>
        <w:shd w:val="clear" w:color="auto" w:fill="FFFFFF"/>
        <w:kinsoku/>
        <w:wordWrap/>
        <w:overflowPunct/>
        <w:topLinePunct w:val="0"/>
        <w:autoSpaceDE/>
        <w:autoSpaceDN/>
        <w:bidi w:val="0"/>
        <w:adjustRightInd/>
        <w:snapToGrid w:val="0"/>
        <w:spacing w:beforeLines="0" w:afterLines="0" w:line="560" w:lineRule="exact"/>
        <w:ind w:firstLine="640" w:firstLineChars="200"/>
        <w:jc w:val="left"/>
        <w:textAlignment w:val="auto"/>
        <w:rPr>
          <w:rFonts w:hint="default" w:ascii="Times New Roman" w:hAnsi="Times New Roman" w:eastAsia="仿宋_GB2312" w:cs="Times New Roman"/>
          <w:color w:val="000000"/>
          <w:kern w:val="0"/>
          <w:sz w:val="32"/>
          <w:highlight w:val="none"/>
        </w:rPr>
      </w:pPr>
      <w:r>
        <w:rPr>
          <w:rFonts w:hint="default" w:ascii="Times New Roman" w:hAnsi="Times New Roman" w:eastAsia="仿宋_GB2312" w:cs="Times New Roman"/>
          <w:color w:val="000000"/>
          <w:kern w:val="0"/>
          <w:sz w:val="32"/>
          <w:highlight w:val="none"/>
          <w:lang w:eastAsia="zh-CN"/>
        </w:rPr>
        <w:t>（</w:t>
      </w:r>
      <w:r>
        <w:rPr>
          <w:rFonts w:hint="eastAsia" w:eastAsia="仿宋_GB2312" w:cs="Times New Roman"/>
          <w:color w:val="000000"/>
          <w:kern w:val="0"/>
          <w:sz w:val="32"/>
          <w:highlight w:val="none"/>
          <w:lang w:val="en-US" w:eastAsia="zh-CN"/>
        </w:rPr>
        <w:t>二</w:t>
      </w:r>
      <w:r>
        <w:rPr>
          <w:rFonts w:hint="default" w:ascii="Times New Roman" w:hAnsi="Times New Roman" w:eastAsia="仿宋_GB2312" w:cs="Times New Roman"/>
          <w:color w:val="000000"/>
          <w:kern w:val="0"/>
          <w:sz w:val="32"/>
          <w:highlight w:val="none"/>
          <w:lang w:eastAsia="zh-CN"/>
        </w:rPr>
        <w:t>）</w:t>
      </w:r>
      <w:r>
        <w:rPr>
          <w:rFonts w:hint="default" w:ascii="Times New Roman" w:hAnsi="Times New Roman" w:eastAsia="仿宋_GB2312" w:cs="Times New Roman"/>
          <w:color w:val="000000"/>
          <w:kern w:val="0"/>
          <w:sz w:val="32"/>
          <w:highlight w:val="none"/>
        </w:rPr>
        <w:t>管网维修方面，负责完成南湖广场大理石零星修补工作，完成广场正常管线维修工作。</w:t>
      </w:r>
    </w:p>
    <w:p>
      <w:pPr>
        <w:keepNext w:val="0"/>
        <w:keepLines w:val="0"/>
        <w:pageBreakBefore w:val="0"/>
        <w:shd w:val="clear" w:color="auto" w:fill="FFFFFF"/>
        <w:kinsoku/>
        <w:wordWrap/>
        <w:overflowPunct/>
        <w:topLinePunct w:val="0"/>
        <w:autoSpaceDE/>
        <w:autoSpaceDN/>
        <w:bidi w:val="0"/>
        <w:adjustRightInd/>
        <w:snapToGrid w:val="0"/>
        <w:spacing w:beforeLines="0" w:afterLines="0" w:line="560" w:lineRule="exact"/>
        <w:ind w:firstLine="640" w:firstLineChars="200"/>
        <w:jc w:val="left"/>
        <w:textAlignment w:val="auto"/>
        <w:rPr>
          <w:rFonts w:hint="default" w:ascii="Times New Roman" w:hAnsi="Times New Roman" w:eastAsia="仿宋_GB2312" w:cs="Times New Roman"/>
          <w:color w:val="000000"/>
          <w:kern w:val="0"/>
          <w:sz w:val="32"/>
          <w:highlight w:val="none"/>
        </w:rPr>
      </w:pPr>
      <w:r>
        <w:rPr>
          <w:rFonts w:hint="default" w:ascii="Times New Roman" w:hAnsi="Times New Roman" w:eastAsia="仿宋_GB2312" w:cs="Times New Roman"/>
          <w:color w:val="000000"/>
          <w:kern w:val="0"/>
          <w:sz w:val="32"/>
          <w:highlight w:val="none"/>
          <w:lang w:eastAsia="zh-CN"/>
        </w:rPr>
        <w:t>（</w:t>
      </w:r>
      <w:r>
        <w:rPr>
          <w:rFonts w:hint="eastAsia" w:eastAsia="仿宋_GB2312" w:cs="Times New Roman"/>
          <w:color w:val="000000"/>
          <w:kern w:val="0"/>
          <w:sz w:val="32"/>
          <w:highlight w:val="none"/>
          <w:lang w:val="en-US" w:eastAsia="zh-CN"/>
        </w:rPr>
        <w:t>三</w:t>
      </w:r>
      <w:r>
        <w:rPr>
          <w:rFonts w:hint="default" w:ascii="Times New Roman" w:hAnsi="Times New Roman" w:eastAsia="仿宋_GB2312" w:cs="Times New Roman"/>
          <w:color w:val="000000"/>
          <w:kern w:val="0"/>
          <w:sz w:val="32"/>
          <w:highlight w:val="none"/>
          <w:lang w:eastAsia="zh-CN"/>
        </w:rPr>
        <w:t>）</w:t>
      </w:r>
      <w:r>
        <w:rPr>
          <w:rFonts w:hint="default" w:ascii="Times New Roman" w:hAnsi="Times New Roman" w:eastAsia="仿宋_GB2312" w:cs="Times New Roman"/>
          <w:color w:val="000000"/>
          <w:kern w:val="0"/>
          <w:sz w:val="32"/>
          <w:highlight w:val="none"/>
        </w:rPr>
        <w:t>环境保洁方面，负责完成南湖广场区域内日常保洁工作，清运生活垃圾，绿化垃圾。</w:t>
      </w:r>
    </w:p>
    <w:p>
      <w:pPr>
        <w:keepNext w:val="0"/>
        <w:keepLines w:val="0"/>
        <w:pageBreakBefore w:val="0"/>
        <w:shd w:val="clear" w:color="auto" w:fill="FFFFFF"/>
        <w:kinsoku/>
        <w:wordWrap/>
        <w:overflowPunct/>
        <w:topLinePunct w:val="0"/>
        <w:autoSpaceDE/>
        <w:autoSpaceDN/>
        <w:bidi w:val="0"/>
        <w:adjustRightInd/>
        <w:snapToGrid w:val="0"/>
        <w:spacing w:beforeLines="0" w:afterLines="0" w:line="560" w:lineRule="exact"/>
        <w:ind w:firstLine="640" w:firstLineChars="200"/>
        <w:jc w:val="left"/>
        <w:textAlignment w:val="auto"/>
        <w:rPr>
          <w:rFonts w:hint="default" w:ascii="Times New Roman" w:hAnsi="Times New Roman" w:eastAsia="仿宋_GB2312" w:cs="Times New Roman"/>
          <w:color w:val="000000"/>
          <w:kern w:val="0"/>
          <w:sz w:val="32"/>
          <w:highlight w:val="none"/>
        </w:rPr>
      </w:pPr>
      <w:r>
        <w:rPr>
          <w:rFonts w:hint="default" w:ascii="Times New Roman" w:hAnsi="Times New Roman" w:eastAsia="仿宋_GB2312" w:cs="Times New Roman"/>
          <w:color w:val="000000"/>
          <w:kern w:val="0"/>
          <w:sz w:val="32"/>
          <w:highlight w:val="none"/>
          <w:lang w:eastAsia="zh-CN"/>
        </w:rPr>
        <w:t>（</w:t>
      </w:r>
      <w:r>
        <w:rPr>
          <w:rFonts w:hint="eastAsia" w:eastAsia="仿宋_GB2312" w:cs="Times New Roman"/>
          <w:color w:val="000000"/>
          <w:kern w:val="0"/>
          <w:sz w:val="32"/>
          <w:highlight w:val="none"/>
          <w:lang w:val="en-US" w:eastAsia="zh-CN"/>
        </w:rPr>
        <w:t>四</w:t>
      </w:r>
      <w:r>
        <w:rPr>
          <w:rFonts w:hint="default" w:ascii="Times New Roman" w:hAnsi="Times New Roman" w:eastAsia="仿宋_GB2312" w:cs="Times New Roman"/>
          <w:color w:val="000000"/>
          <w:kern w:val="0"/>
          <w:sz w:val="32"/>
          <w:highlight w:val="none"/>
          <w:lang w:eastAsia="zh-CN"/>
        </w:rPr>
        <w:t>）</w:t>
      </w:r>
      <w:r>
        <w:rPr>
          <w:rFonts w:hint="default" w:ascii="Times New Roman" w:hAnsi="Times New Roman" w:eastAsia="仿宋_GB2312" w:cs="Times New Roman"/>
          <w:color w:val="000000"/>
          <w:kern w:val="0"/>
          <w:sz w:val="32"/>
          <w:highlight w:val="none"/>
        </w:rPr>
        <w:t>安全生产方面，负责每天对南湖广场的治安队岗点、绿化保洁队休息房、行政办公楼及屯兵点食堂进行安全检查，无任何重大事件发生。</w:t>
      </w:r>
    </w:p>
    <w:p>
      <w:pPr>
        <w:keepNext w:val="0"/>
        <w:keepLines w:val="0"/>
        <w:pageBreakBefore w:val="0"/>
        <w:numPr>
          <w:ilvl w:val="0"/>
          <w:numId w:val="0"/>
        </w:numPr>
        <w:shd w:val="clear" w:color="auto" w:fill="FFFFFF"/>
        <w:kinsoku/>
        <w:wordWrap/>
        <w:overflowPunct/>
        <w:topLinePunct w:val="0"/>
        <w:autoSpaceDE/>
        <w:autoSpaceDN/>
        <w:bidi w:val="0"/>
        <w:adjustRightInd/>
        <w:snapToGrid w:val="0"/>
        <w:spacing w:line="560" w:lineRule="exact"/>
        <w:ind w:firstLine="640" w:firstLineChars="200"/>
        <w:jc w:val="left"/>
        <w:textAlignment w:val="auto"/>
        <w:rPr>
          <w:rFonts w:hint="default" w:ascii="Times New Roman" w:hAnsi="Times New Roman" w:eastAsia="仿宋_GB2312" w:cs="Times New Roman"/>
          <w:color w:val="000000"/>
          <w:kern w:val="0"/>
          <w:sz w:val="32"/>
          <w:highlight w:val="none"/>
        </w:rPr>
      </w:pPr>
      <w:r>
        <w:rPr>
          <w:rFonts w:hint="default" w:ascii="Times New Roman" w:hAnsi="Times New Roman" w:eastAsia="仿宋_GB2312" w:cs="Times New Roman"/>
          <w:color w:val="000000"/>
          <w:kern w:val="0"/>
          <w:sz w:val="32"/>
          <w:highlight w:val="none"/>
          <w:lang w:eastAsia="zh-CN"/>
        </w:rPr>
        <w:t>（</w:t>
      </w:r>
      <w:r>
        <w:rPr>
          <w:rFonts w:hint="eastAsia" w:eastAsia="仿宋_GB2312" w:cs="Times New Roman"/>
          <w:color w:val="000000"/>
          <w:kern w:val="0"/>
          <w:sz w:val="32"/>
          <w:highlight w:val="none"/>
          <w:lang w:val="en-US" w:eastAsia="zh-CN"/>
        </w:rPr>
        <w:t>五</w:t>
      </w:r>
      <w:r>
        <w:rPr>
          <w:rFonts w:hint="default" w:ascii="Times New Roman" w:hAnsi="Times New Roman" w:eastAsia="仿宋_GB2312" w:cs="Times New Roman"/>
          <w:color w:val="000000"/>
          <w:kern w:val="0"/>
          <w:sz w:val="32"/>
          <w:highlight w:val="none"/>
          <w:lang w:eastAsia="zh-CN"/>
        </w:rPr>
        <w:t>）</w:t>
      </w:r>
      <w:r>
        <w:rPr>
          <w:rFonts w:hint="default" w:ascii="Times New Roman" w:hAnsi="Times New Roman" w:eastAsia="仿宋_GB2312" w:cs="Times New Roman"/>
          <w:color w:val="000000"/>
          <w:kern w:val="0"/>
          <w:sz w:val="32"/>
          <w:highlight w:val="none"/>
        </w:rPr>
        <w:t>努力为周边近60万市民，全力打造一个设有市民活动广场、健身步道、莲花池、人工湖、民族团结宝鼎、名家艺术雕塑、篮球场、健身器材、休闲区域等多功能、全方位的广场。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r>
        <w:rPr>
          <w:rFonts w:hint="eastAsia" w:ascii="黑体" w:hAnsi="黑体" w:eastAsia="黑体" w:cs="宋体"/>
          <w:bCs/>
          <w:kern w:val="0"/>
          <w:sz w:val="32"/>
          <w:szCs w:val="32"/>
          <w:highlight w:val="none"/>
        </w:rPr>
        <w:t>二、机构设置</w:t>
      </w:r>
      <w:r>
        <w:rPr>
          <w:rFonts w:hint="eastAsia" w:ascii="黑体" w:hAnsi="黑体" w:eastAsia="黑体" w:cs="宋体"/>
          <w:bCs/>
          <w:kern w:val="0"/>
          <w:sz w:val="32"/>
          <w:szCs w:val="32"/>
          <w:highlight w:val="none"/>
          <w:lang w:eastAsia="zh-CN"/>
        </w:rPr>
        <w:t>及</w:t>
      </w:r>
      <w:bookmarkEnd w:id="6"/>
      <w:r>
        <w:rPr>
          <w:rFonts w:hint="eastAsia" w:ascii="黑体" w:hAnsi="黑体" w:eastAsia="黑体" w:cs="宋体"/>
          <w:bCs/>
          <w:kern w:val="0"/>
          <w:sz w:val="32"/>
          <w:szCs w:val="32"/>
          <w:highlight w:val="none"/>
          <w:lang w:eastAsia="zh-CN"/>
        </w:rPr>
        <w:t>人员</w:t>
      </w:r>
      <w:r>
        <w:rPr>
          <w:rFonts w:hint="eastAsia" w:ascii="黑体" w:hAnsi="黑体" w:eastAsia="黑体" w:cs="宋体"/>
          <w:bCs/>
          <w:kern w:val="0"/>
          <w:sz w:val="32"/>
          <w:szCs w:val="32"/>
          <w:highlight w:val="none"/>
        </w:rPr>
        <w:t>情况</w:t>
      </w:r>
      <w:bookmarkEnd w:id="7"/>
      <w:bookmarkEnd w:id="8"/>
    </w:p>
    <w:p>
      <w:pPr>
        <w:shd w:val="clear" w:color="auto" w:fill="FFFFFF"/>
        <w:spacing w:line="360" w:lineRule="auto"/>
        <w:ind w:firstLine="640"/>
        <w:rPr>
          <w:rFonts w:hint="eastAsia" w:ascii="仿宋_GB2312" w:eastAsia="仿宋_GB2312"/>
          <w:sz w:val="32"/>
          <w:szCs w:val="32"/>
          <w:highlight w:val="none"/>
        </w:rPr>
      </w:pPr>
      <w:r>
        <w:rPr>
          <w:rFonts w:hint="eastAsia" w:ascii="仿宋_GB2312" w:eastAsia="仿宋_GB2312"/>
          <w:sz w:val="32"/>
          <w:szCs w:val="32"/>
          <w:highlight w:val="none"/>
        </w:rPr>
        <w:t>新疆乌鲁木齐市水磨沟区南湖广场管理中心</w:t>
      </w:r>
      <w:r>
        <w:rPr>
          <w:rFonts w:hint="eastAsia" w:ascii="仿宋_GB2312" w:eastAsia="仿宋_GB2312"/>
          <w:sz w:val="32"/>
          <w:szCs w:val="32"/>
          <w:highlight w:val="none"/>
          <w:lang w:val="en-US" w:eastAsia="zh-CN"/>
        </w:rPr>
        <w:t>2022</w:t>
      </w:r>
      <w:r>
        <w:rPr>
          <w:rFonts w:hint="eastAsia" w:ascii="仿宋_GB2312" w:eastAsia="仿宋_GB2312"/>
          <w:sz w:val="32"/>
          <w:szCs w:val="32"/>
          <w:highlight w:val="none"/>
          <w:lang w:eastAsia="zh-CN"/>
        </w:rPr>
        <w:t>年度，</w:t>
      </w:r>
      <w:r>
        <w:rPr>
          <w:rFonts w:hint="eastAsia" w:ascii="仿宋_GB2312" w:eastAsia="仿宋_GB2312"/>
          <w:sz w:val="32"/>
          <w:szCs w:val="32"/>
          <w:highlight w:val="none"/>
        </w:rPr>
        <w:t>实有人数1</w:t>
      </w:r>
      <w:r>
        <w:rPr>
          <w:rFonts w:hint="eastAsia" w:ascii="仿宋_GB2312" w:eastAsia="仿宋_GB2312"/>
          <w:sz w:val="32"/>
          <w:szCs w:val="32"/>
          <w:highlight w:val="none"/>
          <w:lang w:val="en-US" w:eastAsia="zh-CN"/>
        </w:rPr>
        <w:t>8</w:t>
      </w:r>
      <w:r>
        <w:rPr>
          <w:rFonts w:hint="eastAsia" w:ascii="仿宋_GB2312" w:eastAsia="仿宋_GB2312"/>
          <w:sz w:val="32"/>
          <w:szCs w:val="32"/>
          <w:highlight w:val="none"/>
        </w:rPr>
        <w:t>人，其中：在职人员13人</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离休人员0人，退休人员5人。</w:t>
      </w:r>
    </w:p>
    <w:p>
      <w:pPr>
        <w:shd w:val="clear" w:color="auto" w:fill="FFFFFF"/>
        <w:spacing w:line="360" w:lineRule="auto"/>
        <w:ind w:firstLine="640"/>
        <w:rPr>
          <w:rFonts w:hint="eastAsia" w:ascii="仿宋_GB2312" w:hAnsi="黑体" w:eastAsia="仿宋_GB2312" w:cs="宋体"/>
          <w:bCs/>
          <w:kern w:val="0"/>
          <w:sz w:val="32"/>
          <w:szCs w:val="32"/>
          <w:highlight w:val="yellow"/>
          <w:lang w:val="en-US" w:eastAsia="zh-CN"/>
        </w:rPr>
      </w:pPr>
      <w:r>
        <w:rPr>
          <w:rFonts w:hint="eastAsia" w:ascii="仿宋_GB2312" w:hAnsi="仿宋_GB2312" w:eastAsia="仿宋_GB2312"/>
          <w:kern w:val="0"/>
          <w:sz w:val="32"/>
          <w:lang w:val="en-US"/>
        </w:rPr>
        <w:t>从部门决算单位构成看，</w:t>
      </w:r>
      <w:r>
        <w:rPr>
          <w:rFonts w:hint="eastAsia" w:ascii="仿宋_GB2312" w:eastAsia="仿宋_GB2312"/>
          <w:sz w:val="32"/>
          <w:szCs w:val="32"/>
          <w:highlight w:val="none"/>
        </w:rPr>
        <w:t>新疆乌鲁木齐市水磨沟区南湖广场管理中心</w:t>
      </w:r>
      <w:r>
        <w:rPr>
          <w:rFonts w:hint="eastAsia" w:ascii="仿宋_GB2312" w:eastAsia="仿宋_GB2312"/>
          <w:sz w:val="32"/>
          <w:szCs w:val="32"/>
          <w:highlight w:val="none"/>
          <w:lang w:val="en-US" w:eastAsia="zh-CN"/>
        </w:rPr>
        <w:t>决算</w:t>
      </w:r>
      <w:r>
        <w:rPr>
          <w:rFonts w:hint="eastAsia" w:ascii="仿宋_GB2312" w:hAnsi="仿宋_GB2312" w:eastAsia="仿宋_GB2312"/>
          <w:kern w:val="0"/>
          <w:sz w:val="32"/>
          <w:lang w:val="en-US"/>
        </w:rPr>
        <w:t>包括：</w:t>
      </w:r>
      <w:r>
        <w:rPr>
          <w:rFonts w:hint="eastAsia" w:ascii="仿宋_GB2312" w:eastAsia="仿宋_GB2312"/>
          <w:sz w:val="32"/>
          <w:szCs w:val="32"/>
          <w:highlight w:val="none"/>
        </w:rPr>
        <w:t>新疆乌鲁木齐市水磨沟区南湖广场管理中心</w:t>
      </w:r>
      <w:r>
        <w:rPr>
          <w:rFonts w:hint="eastAsia" w:ascii="仿宋_GB2312" w:hAnsi="仿宋_GB2312" w:eastAsia="仿宋_GB2312"/>
          <w:kern w:val="0"/>
          <w:sz w:val="32"/>
          <w:highlight w:val="none"/>
          <w:lang w:val="zh-CN"/>
        </w:rPr>
        <w:t>。单位无下属预算单位</w:t>
      </w:r>
      <w:r>
        <w:rPr>
          <w:rFonts w:hint="eastAsia" w:ascii="仿宋_GB2312" w:hAnsi="黑体" w:eastAsia="仿宋_GB2312" w:cs="宋体"/>
          <w:bCs/>
          <w:kern w:val="0"/>
          <w:sz w:val="32"/>
          <w:szCs w:val="32"/>
          <w:highlight w:val="none"/>
        </w:rPr>
        <w:t>，下设7个处室，分别是：行政办、督查办、财务室、绿化队、保洁队、治安队、设施管网队。</w:t>
      </w:r>
    </w:p>
    <w:p>
      <w:pPr>
        <w:keepNext w:val="0"/>
        <w:keepLines w:val="0"/>
        <w:pageBreakBefore w:val="0"/>
        <w:widowControl w:val="0"/>
        <w:kinsoku/>
        <w:wordWrap/>
        <w:overflowPunct/>
        <w:topLinePunct w:val="0"/>
        <w:bidi w:val="0"/>
        <w:adjustRightInd/>
        <w:snapToGrid/>
        <w:spacing w:line="240" w:lineRule="auto"/>
        <w:ind w:firstLine="640" w:firstLineChars="200"/>
        <w:jc w:val="both"/>
        <w:textAlignment w:val="auto"/>
        <w:rPr>
          <w:rFonts w:hint="eastAsia" w:ascii="仿宋_GB2312" w:eastAsia="仿宋_GB2312"/>
          <w:sz w:val="32"/>
          <w:szCs w:val="32"/>
          <w:highlight w:val="yellow"/>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center"/>
        <w:textAlignment w:val="auto"/>
        <w:outlineLvl w:val="0"/>
        <w:rPr>
          <w:rFonts w:hint="eastAsia" w:ascii="黑体" w:hAnsi="黑体" w:eastAsia="黑体"/>
          <w:sz w:val="32"/>
          <w:szCs w:val="32"/>
          <w:highlight w:val="none"/>
        </w:rPr>
      </w:pPr>
      <w:bookmarkStart w:id="9" w:name="_Toc6991"/>
      <w:bookmarkStart w:id="10" w:name="_Toc3092"/>
      <w:bookmarkStart w:id="11" w:name="_Toc23946"/>
      <w:r>
        <w:rPr>
          <w:rFonts w:hint="eastAsia" w:ascii="黑体" w:hAnsi="黑体" w:eastAsia="黑体"/>
          <w:sz w:val="32"/>
          <w:szCs w:val="32"/>
          <w:highlight w:val="none"/>
        </w:rPr>
        <w:t>第二部分 部门决算情况说明</w:t>
      </w:r>
      <w:bookmarkEnd w:id="9"/>
      <w:bookmarkEnd w:id="10"/>
      <w:bookmarkEnd w:id="11"/>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12" w:name="_Toc19108"/>
      <w:bookmarkStart w:id="13" w:name="_Toc12566"/>
      <w:bookmarkStart w:id="14" w:name="_Toc18175"/>
      <w:r>
        <w:rPr>
          <w:rFonts w:hint="eastAsia" w:ascii="黑体" w:hAnsi="黑体" w:eastAsia="黑体" w:cs="宋体"/>
          <w:bCs/>
          <w:kern w:val="0"/>
          <w:sz w:val="32"/>
          <w:szCs w:val="32"/>
          <w:highlight w:val="none"/>
        </w:rPr>
        <w:t>一、收入支出决算总体情况说明</w:t>
      </w:r>
      <w:bookmarkEnd w:id="12"/>
      <w:bookmarkEnd w:id="13"/>
      <w:bookmarkEnd w:id="14"/>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lang w:val="en-US" w:eastAsia="zh-CN"/>
        </w:rPr>
        <w:t>2022</w:t>
      </w:r>
      <w:r>
        <w:rPr>
          <w:rFonts w:hint="eastAsia" w:ascii="仿宋_GB2312" w:eastAsia="仿宋_GB2312"/>
          <w:sz w:val="32"/>
          <w:szCs w:val="32"/>
          <w:highlight w:val="none"/>
          <w:lang w:eastAsia="zh-CN"/>
        </w:rPr>
        <w:t>年度</w:t>
      </w:r>
      <w:r>
        <w:rPr>
          <w:rFonts w:hint="eastAsia" w:ascii="仿宋_GB2312" w:eastAsia="仿宋_GB2312"/>
          <w:sz w:val="32"/>
          <w:szCs w:val="32"/>
          <w:highlight w:val="none"/>
          <w:lang w:val="en-US" w:eastAsia="zh-CN"/>
        </w:rPr>
        <w:t>收入总计</w:t>
      </w:r>
      <w:r>
        <w:rPr>
          <w:rFonts w:hint="eastAsia" w:ascii="仿宋_GB2312" w:eastAsia="仿宋_GB2312"/>
          <w:sz w:val="32"/>
          <w:szCs w:val="32"/>
          <w:highlight w:val="none"/>
          <w:lang w:eastAsia="zh-CN"/>
        </w:rPr>
        <w:t>287.26万元，</w:t>
      </w:r>
      <w:r>
        <w:rPr>
          <w:rFonts w:hint="eastAsia" w:ascii="仿宋_GB2312" w:eastAsia="仿宋_GB2312"/>
          <w:sz w:val="32"/>
          <w:szCs w:val="32"/>
          <w:highlight w:val="none"/>
          <w:lang w:val="en-US" w:eastAsia="zh-CN"/>
        </w:rPr>
        <w:t>其中：本年收入合计</w:t>
      </w:r>
      <w:r>
        <w:rPr>
          <w:rFonts w:hint="eastAsia" w:ascii="仿宋_GB2312" w:eastAsia="仿宋_GB2312"/>
          <w:sz w:val="32"/>
          <w:szCs w:val="32"/>
          <w:highlight w:val="none"/>
          <w:lang w:eastAsia="zh-CN"/>
        </w:rPr>
        <w:t>270.14万元，使用非财政拨款结余0.00万元，年初结转和结余17.13万元。</w:t>
      </w:r>
      <w:r>
        <w:rPr>
          <w:rFonts w:hint="eastAsia" w:ascii="仿宋_GB2312" w:eastAsia="仿宋_GB2312"/>
          <w:sz w:val="32"/>
          <w:szCs w:val="32"/>
          <w:highlight w:val="none"/>
          <w:lang w:val="en-US" w:eastAsia="zh-CN"/>
        </w:rPr>
        <w:t>收入总计</w:t>
      </w:r>
      <w:r>
        <w:rPr>
          <w:rFonts w:hint="eastAsia" w:ascii="仿宋_GB2312" w:eastAsia="仿宋_GB2312"/>
          <w:sz w:val="32"/>
          <w:szCs w:val="32"/>
          <w:highlight w:val="none"/>
          <w:lang w:eastAsia="zh-CN"/>
        </w:rPr>
        <w:t>与上年相比，减少406.28万元，下降58.58</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lang w:eastAsia="zh-CN"/>
        </w:rPr>
        <w:t>，主要原因是：本年市场化养护经费减少，安保人员外包经费减少。</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本年支出总计287.26万元，其中：本年支出合计272.63万元，结余分配0.00万元，年末结转和结余14.64万元。支出总计与上年相比，减少406.28万元，下降58.58%，主要原因是：本年市场化养护经费减少，安保人员外包经费减少。</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15" w:name="_Toc1979"/>
      <w:bookmarkStart w:id="16" w:name="_Toc21353"/>
      <w:bookmarkStart w:id="17" w:name="_Toc8730"/>
      <w:r>
        <w:rPr>
          <w:rFonts w:hint="eastAsia" w:ascii="黑体" w:hAnsi="黑体" w:eastAsia="黑体" w:cs="宋体"/>
          <w:bCs/>
          <w:kern w:val="0"/>
          <w:sz w:val="32"/>
          <w:szCs w:val="32"/>
          <w:highlight w:val="none"/>
          <w:lang w:eastAsia="zh-CN"/>
        </w:rPr>
        <w:t>二、</w:t>
      </w:r>
      <w:r>
        <w:rPr>
          <w:rFonts w:hint="eastAsia" w:ascii="黑体" w:hAnsi="黑体" w:eastAsia="黑体" w:cs="宋体"/>
          <w:bCs/>
          <w:kern w:val="0"/>
          <w:sz w:val="32"/>
          <w:szCs w:val="32"/>
          <w:highlight w:val="none"/>
        </w:rPr>
        <w:t>收入</w:t>
      </w:r>
      <w:r>
        <w:rPr>
          <w:rFonts w:hint="eastAsia" w:ascii="黑体" w:hAnsi="黑体" w:eastAsia="黑体" w:cs="宋体"/>
          <w:bCs/>
          <w:kern w:val="0"/>
          <w:sz w:val="32"/>
          <w:szCs w:val="32"/>
          <w:highlight w:val="none"/>
          <w:lang w:eastAsia="zh-CN"/>
        </w:rPr>
        <w:t>决算</w:t>
      </w:r>
      <w:r>
        <w:rPr>
          <w:rFonts w:hint="eastAsia" w:ascii="黑体" w:hAnsi="黑体" w:eastAsia="黑体" w:cs="宋体"/>
          <w:bCs/>
          <w:kern w:val="0"/>
          <w:sz w:val="32"/>
          <w:szCs w:val="32"/>
          <w:highlight w:val="none"/>
        </w:rPr>
        <w:t>情况说明</w:t>
      </w:r>
      <w:bookmarkEnd w:id="15"/>
      <w:bookmarkEnd w:id="16"/>
      <w:bookmarkEnd w:id="17"/>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val="en-US" w:eastAsia="zh-CN"/>
        </w:rPr>
        <w:t>2022</w:t>
      </w:r>
      <w:r>
        <w:rPr>
          <w:rFonts w:hint="eastAsia" w:ascii="仿宋_GB2312" w:eastAsia="仿宋_GB2312"/>
          <w:sz w:val="32"/>
          <w:szCs w:val="32"/>
          <w:highlight w:val="none"/>
          <w:lang w:eastAsia="zh-CN"/>
        </w:rPr>
        <w:t>年度</w:t>
      </w:r>
      <w:r>
        <w:rPr>
          <w:rFonts w:hint="eastAsia" w:ascii="仿宋_GB2312" w:eastAsia="仿宋_GB2312"/>
          <w:sz w:val="32"/>
          <w:szCs w:val="32"/>
          <w:highlight w:val="none"/>
        </w:rPr>
        <w:t>本年收入270.14万元，其中：财政拨款收入250.74万元，占92.82</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；上级补助收入0.00万元，占0.00</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；事业收入0.00万元，占0.00</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；经营收入0.00万元，占0.00</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附属单位上缴收入</w:t>
      </w:r>
      <w:r>
        <w:rPr>
          <w:rFonts w:hint="eastAsia" w:ascii="仿宋_GB2312" w:eastAsia="仿宋_GB2312"/>
          <w:sz w:val="32"/>
          <w:szCs w:val="32"/>
          <w:highlight w:val="none"/>
        </w:rPr>
        <w:t>0.00万元，占0.00</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；其他收入19.39万元，占7.18</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18" w:name="_Toc27961"/>
      <w:bookmarkStart w:id="19" w:name="_Toc30363"/>
      <w:bookmarkStart w:id="20" w:name="_Toc6508"/>
      <w:r>
        <w:rPr>
          <w:rFonts w:hint="eastAsia" w:ascii="黑体" w:hAnsi="黑体" w:eastAsia="黑体" w:cs="宋体"/>
          <w:bCs/>
          <w:kern w:val="0"/>
          <w:sz w:val="32"/>
          <w:szCs w:val="32"/>
          <w:highlight w:val="none"/>
          <w:lang w:eastAsia="zh-CN"/>
        </w:rPr>
        <w:t>三、支出决算情况说明</w:t>
      </w:r>
      <w:bookmarkEnd w:id="18"/>
      <w:bookmarkEnd w:id="19"/>
      <w:bookmarkEnd w:id="20"/>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val="en-US" w:eastAsia="zh-CN"/>
        </w:rPr>
        <w:t>2022</w:t>
      </w:r>
      <w:r>
        <w:rPr>
          <w:rFonts w:hint="eastAsia" w:ascii="仿宋_GB2312" w:eastAsia="仿宋_GB2312"/>
          <w:spacing w:val="0"/>
          <w:sz w:val="32"/>
          <w:szCs w:val="32"/>
          <w:highlight w:val="none"/>
          <w:lang w:eastAsia="zh-CN"/>
        </w:rPr>
        <w:t>年度本年支出272.63万元，其中：基本支出266.51万元，占97.7</w:t>
      </w:r>
      <w:r>
        <w:rPr>
          <w:rFonts w:hint="eastAsia" w:ascii="仿宋_GB2312" w:eastAsia="仿宋_GB2312"/>
          <w:spacing w:val="0"/>
          <w:sz w:val="32"/>
          <w:szCs w:val="32"/>
          <w:highlight w:val="none"/>
          <w:lang w:val="en-US" w:eastAsia="zh-CN"/>
        </w:rPr>
        <w:t>6%</w:t>
      </w:r>
      <w:r>
        <w:rPr>
          <w:rFonts w:hint="eastAsia" w:ascii="仿宋_GB2312" w:eastAsia="仿宋_GB2312"/>
          <w:spacing w:val="0"/>
          <w:sz w:val="32"/>
          <w:szCs w:val="32"/>
          <w:highlight w:val="none"/>
          <w:lang w:eastAsia="zh-CN"/>
        </w:rPr>
        <w:t>；项目支出6.12万元，占2.2</w:t>
      </w:r>
      <w:r>
        <w:rPr>
          <w:rFonts w:hint="eastAsia" w:ascii="仿宋_GB2312" w:eastAsia="仿宋_GB2312"/>
          <w:spacing w:val="0"/>
          <w:sz w:val="32"/>
          <w:szCs w:val="32"/>
          <w:highlight w:val="none"/>
          <w:lang w:val="en-US" w:eastAsia="zh-CN"/>
        </w:rPr>
        <w:t>4%</w:t>
      </w:r>
      <w:r>
        <w:rPr>
          <w:rFonts w:hint="eastAsia" w:ascii="仿宋_GB2312" w:eastAsia="仿宋_GB2312"/>
          <w:spacing w:val="0"/>
          <w:sz w:val="32"/>
          <w:szCs w:val="32"/>
          <w:highlight w:val="none"/>
          <w:lang w:eastAsia="zh-CN"/>
        </w:rPr>
        <w:t>；上缴上级支出0.00万元，占0.00；经营支出0.00万元，占0.00</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；对附属单位补助支出0.00万元，占0.00</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21" w:name="_Toc30865"/>
      <w:bookmarkStart w:id="22" w:name="_Toc4393"/>
      <w:bookmarkStart w:id="23" w:name="_Toc733"/>
      <w:r>
        <w:rPr>
          <w:rFonts w:hint="eastAsia" w:ascii="黑体" w:hAnsi="黑体" w:eastAsia="黑体" w:cs="宋体"/>
          <w:bCs/>
          <w:kern w:val="0"/>
          <w:sz w:val="32"/>
          <w:szCs w:val="32"/>
          <w:highlight w:val="none"/>
          <w:lang w:eastAsia="zh-CN"/>
        </w:rPr>
        <w:t>四、财政拨款收入支出决算总体情况说明</w:t>
      </w:r>
      <w:bookmarkEnd w:id="21"/>
      <w:bookmarkEnd w:id="22"/>
      <w:bookmarkEnd w:id="23"/>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val="en-US" w:eastAsia="zh-CN"/>
        </w:rPr>
        <w:t>2022</w:t>
      </w:r>
      <w:r>
        <w:rPr>
          <w:rFonts w:hint="eastAsia" w:ascii="仿宋_GB2312" w:eastAsia="仿宋_GB2312"/>
          <w:spacing w:val="0"/>
          <w:sz w:val="32"/>
          <w:szCs w:val="32"/>
          <w:highlight w:val="none"/>
          <w:lang w:eastAsia="zh-CN"/>
        </w:rPr>
        <w:t>年度财政拨款收入</w:t>
      </w:r>
      <w:r>
        <w:rPr>
          <w:rFonts w:hint="eastAsia" w:ascii="仿宋_GB2312" w:eastAsia="仿宋_GB2312"/>
          <w:spacing w:val="0"/>
          <w:sz w:val="32"/>
          <w:szCs w:val="32"/>
          <w:highlight w:val="none"/>
          <w:lang w:val="en-US" w:eastAsia="zh-CN"/>
        </w:rPr>
        <w:t>总计</w:t>
      </w:r>
      <w:r>
        <w:rPr>
          <w:rFonts w:hint="eastAsia" w:ascii="仿宋_GB2312" w:eastAsia="仿宋_GB2312"/>
          <w:spacing w:val="0"/>
          <w:sz w:val="32"/>
          <w:szCs w:val="32"/>
          <w:highlight w:val="none"/>
          <w:lang w:eastAsia="zh-CN"/>
        </w:rPr>
        <w:t>262.37万元，</w:t>
      </w:r>
      <w:r>
        <w:rPr>
          <w:rFonts w:hint="eastAsia" w:ascii="仿宋_GB2312" w:eastAsia="仿宋_GB2312"/>
          <w:spacing w:val="0"/>
          <w:sz w:val="32"/>
          <w:szCs w:val="32"/>
          <w:highlight w:val="none"/>
          <w:lang w:val="en-US" w:eastAsia="zh-CN"/>
        </w:rPr>
        <w:t>其中：年初财政拨款结转和结余</w:t>
      </w:r>
      <w:r>
        <w:rPr>
          <w:rFonts w:hint="eastAsia" w:ascii="仿宋_GB2312" w:eastAsia="仿宋_GB2312"/>
          <w:spacing w:val="0"/>
          <w:sz w:val="32"/>
          <w:szCs w:val="32"/>
          <w:highlight w:val="none"/>
          <w:lang w:eastAsia="zh-CN"/>
        </w:rPr>
        <w:t>11.63万元，</w:t>
      </w:r>
      <w:r>
        <w:rPr>
          <w:rFonts w:hint="eastAsia" w:ascii="仿宋_GB2312" w:eastAsia="仿宋_GB2312"/>
          <w:spacing w:val="0"/>
          <w:sz w:val="32"/>
          <w:szCs w:val="32"/>
          <w:highlight w:val="none"/>
          <w:lang w:val="en-US" w:eastAsia="zh-CN"/>
        </w:rPr>
        <w:t>财政拨款本年收入</w:t>
      </w:r>
      <w:r>
        <w:rPr>
          <w:rFonts w:hint="eastAsia" w:ascii="仿宋_GB2312" w:eastAsia="仿宋_GB2312"/>
          <w:spacing w:val="0"/>
          <w:sz w:val="32"/>
          <w:szCs w:val="32"/>
          <w:highlight w:val="none"/>
          <w:lang w:eastAsia="zh-CN"/>
        </w:rPr>
        <w:t>250.74万元。财政拨款收入</w:t>
      </w:r>
      <w:r>
        <w:rPr>
          <w:rFonts w:hint="eastAsia" w:ascii="仿宋_GB2312" w:eastAsia="仿宋_GB2312"/>
          <w:spacing w:val="0"/>
          <w:sz w:val="32"/>
          <w:szCs w:val="32"/>
          <w:highlight w:val="none"/>
          <w:lang w:val="en-US" w:eastAsia="zh-CN"/>
        </w:rPr>
        <w:t>总计</w:t>
      </w:r>
      <w:r>
        <w:rPr>
          <w:rFonts w:hint="eastAsia" w:ascii="仿宋_GB2312" w:eastAsia="仿宋_GB2312"/>
          <w:spacing w:val="0"/>
          <w:sz w:val="32"/>
          <w:szCs w:val="32"/>
          <w:highlight w:val="none"/>
          <w:lang w:eastAsia="zh-CN"/>
        </w:rPr>
        <w:t>与上年相比，减少410.48万元，61.01</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，主要原因是：</w:t>
      </w:r>
      <w:r>
        <w:rPr>
          <w:rFonts w:hint="eastAsia" w:ascii="仿宋_GB2312" w:eastAsia="仿宋_GB2312"/>
          <w:sz w:val="32"/>
          <w:szCs w:val="32"/>
          <w:highlight w:val="none"/>
          <w:lang w:val="en-US" w:eastAsia="zh-CN"/>
        </w:rPr>
        <w:t>市场化养护经费减少，安保人员外包经费减少</w:t>
      </w:r>
      <w:r>
        <w:rPr>
          <w:rFonts w:hint="eastAsia" w:ascii="仿宋_GB2312" w:eastAsia="仿宋_GB2312"/>
          <w:spacing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eastAsia="zh-CN"/>
        </w:rPr>
        <w:t>财政拨款支出</w:t>
      </w:r>
      <w:r>
        <w:rPr>
          <w:rFonts w:hint="eastAsia" w:ascii="仿宋_GB2312" w:eastAsia="仿宋_GB2312"/>
          <w:spacing w:val="0"/>
          <w:sz w:val="32"/>
          <w:szCs w:val="32"/>
          <w:highlight w:val="none"/>
          <w:lang w:val="en-US" w:eastAsia="zh-CN"/>
        </w:rPr>
        <w:t>总计</w:t>
      </w:r>
      <w:r>
        <w:rPr>
          <w:rFonts w:hint="eastAsia" w:ascii="仿宋_GB2312" w:eastAsia="仿宋_GB2312"/>
          <w:spacing w:val="0"/>
          <w:sz w:val="32"/>
          <w:szCs w:val="32"/>
          <w:highlight w:val="none"/>
          <w:lang w:eastAsia="zh-CN"/>
        </w:rPr>
        <w:t>262.37万元，</w:t>
      </w:r>
      <w:r>
        <w:rPr>
          <w:rFonts w:hint="eastAsia" w:ascii="仿宋_GB2312" w:eastAsia="仿宋_GB2312"/>
          <w:spacing w:val="0"/>
          <w:sz w:val="32"/>
          <w:szCs w:val="32"/>
          <w:highlight w:val="none"/>
          <w:lang w:val="en-US" w:eastAsia="zh-CN"/>
        </w:rPr>
        <w:t>其中：年末财政拨款结转和结余</w:t>
      </w:r>
      <w:r>
        <w:rPr>
          <w:rFonts w:hint="eastAsia" w:ascii="仿宋_GB2312" w:eastAsia="仿宋_GB2312"/>
          <w:spacing w:val="0"/>
          <w:sz w:val="32"/>
          <w:szCs w:val="32"/>
          <w:highlight w:val="none"/>
          <w:lang w:eastAsia="zh-CN"/>
        </w:rPr>
        <w:t>7.67万元，</w:t>
      </w:r>
      <w:r>
        <w:rPr>
          <w:rFonts w:hint="eastAsia" w:ascii="仿宋_GB2312" w:eastAsia="仿宋_GB2312"/>
          <w:spacing w:val="0"/>
          <w:sz w:val="32"/>
          <w:szCs w:val="32"/>
          <w:highlight w:val="none"/>
          <w:lang w:val="en-US" w:eastAsia="zh-CN"/>
        </w:rPr>
        <w:t>财政拨款本年支出</w:t>
      </w:r>
      <w:r>
        <w:rPr>
          <w:rFonts w:hint="eastAsia" w:ascii="仿宋_GB2312" w:eastAsia="仿宋_GB2312"/>
          <w:spacing w:val="0"/>
          <w:sz w:val="32"/>
          <w:szCs w:val="32"/>
          <w:highlight w:val="none"/>
          <w:lang w:eastAsia="zh-CN"/>
        </w:rPr>
        <w:t>254.70万元。财政拨款</w:t>
      </w:r>
      <w:r>
        <w:rPr>
          <w:rFonts w:hint="eastAsia" w:ascii="仿宋_GB2312" w:eastAsia="仿宋_GB2312"/>
          <w:spacing w:val="0"/>
          <w:sz w:val="32"/>
          <w:szCs w:val="32"/>
          <w:highlight w:val="none"/>
          <w:lang w:val="en-US" w:eastAsia="zh-CN"/>
        </w:rPr>
        <w:t>支出总计</w:t>
      </w:r>
      <w:r>
        <w:rPr>
          <w:rFonts w:hint="eastAsia" w:ascii="仿宋_GB2312" w:eastAsia="仿宋_GB2312"/>
          <w:spacing w:val="0"/>
          <w:sz w:val="32"/>
          <w:szCs w:val="32"/>
          <w:highlight w:val="none"/>
          <w:lang w:eastAsia="zh-CN"/>
        </w:rPr>
        <w:t>与上年相比，减少410.48万元，下降61.01</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，主要原因是：</w:t>
      </w:r>
      <w:r>
        <w:rPr>
          <w:rFonts w:hint="eastAsia" w:ascii="仿宋_GB2312" w:eastAsia="仿宋_GB2312"/>
          <w:sz w:val="32"/>
          <w:szCs w:val="32"/>
          <w:highlight w:val="none"/>
          <w:lang w:val="en-US" w:eastAsia="zh-CN"/>
        </w:rPr>
        <w:t>市场化养护经费收入减少，安保人员外包经费收入减少</w:t>
      </w:r>
      <w:r>
        <w:rPr>
          <w:rFonts w:hint="eastAsia" w:ascii="仿宋_GB2312" w:eastAsia="仿宋_GB2312"/>
          <w:spacing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eastAsia="zh-CN"/>
        </w:rPr>
        <w:t>与年初预算数相比情况：财政拨款收入</w:t>
      </w:r>
      <w:r>
        <w:rPr>
          <w:rFonts w:hint="eastAsia" w:ascii="仿宋_GB2312" w:eastAsia="仿宋_GB2312"/>
          <w:spacing w:val="0"/>
          <w:sz w:val="32"/>
          <w:szCs w:val="32"/>
          <w:highlight w:val="none"/>
          <w:lang w:val="en-US" w:eastAsia="zh-CN"/>
        </w:rPr>
        <w:t>总计</w:t>
      </w:r>
      <w:r>
        <w:rPr>
          <w:rFonts w:hint="eastAsia" w:ascii="仿宋_GB2312" w:eastAsia="仿宋_GB2312"/>
          <w:spacing w:val="0"/>
          <w:sz w:val="32"/>
          <w:szCs w:val="32"/>
          <w:highlight w:val="none"/>
          <w:lang w:eastAsia="zh-CN"/>
        </w:rPr>
        <w:t>年初预算数934.83万元，决算数262.37万元，预决算差异率-71.93</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，主要原因是：</w:t>
      </w:r>
      <w:r>
        <w:rPr>
          <w:rFonts w:hint="eastAsia" w:ascii="仿宋_GB2312" w:eastAsia="仿宋_GB2312"/>
          <w:sz w:val="32"/>
          <w:szCs w:val="32"/>
          <w:highlight w:val="none"/>
          <w:lang w:val="en-US" w:eastAsia="zh-CN"/>
        </w:rPr>
        <w:t>市场化养护经费减少，安保人员外包经费减少</w:t>
      </w:r>
      <w:r>
        <w:rPr>
          <w:rFonts w:hint="eastAsia" w:ascii="仿宋_GB2312" w:eastAsia="仿宋_GB2312"/>
          <w:spacing w:val="0"/>
          <w:sz w:val="32"/>
          <w:szCs w:val="32"/>
          <w:highlight w:val="none"/>
          <w:lang w:eastAsia="zh-CN"/>
        </w:rPr>
        <w:t>。财政拨款支出</w:t>
      </w:r>
      <w:r>
        <w:rPr>
          <w:rFonts w:hint="eastAsia" w:ascii="仿宋_GB2312" w:eastAsia="仿宋_GB2312"/>
          <w:spacing w:val="0"/>
          <w:sz w:val="32"/>
          <w:szCs w:val="32"/>
          <w:highlight w:val="none"/>
          <w:lang w:val="en-US" w:eastAsia="zh-CN"/>
        </w:rPr>
        <w:t>总计</w:t>
      </w:r>
      <w:r>
        <w:rPr>
          <w:rFonts w:hint="eastAsia" w:ascii="仿宋_GB2312" w:eastAsia="仿宋_GB2312"/>
          <w:spacing w:val="0"/>
          <w:sz w:val="32"/>
          <w:szCs w:val="32"/>
          <w:highlight w:val="none"/>
          <w:lang w:eastAsia="zh-CN"/>
        </w:rPr>
        <w:t>年初预算数934.83万元，决算数262.37万元，预决算差异率-71.93</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，主要原因是：</w:t>
      </w:r>
      <w:r>
        <w:rPr>
          <w:rFonts w:hint="eastAsia" w:ascii="仿宋_GB2312" w:eastAsia="仿宋_GB2312"/>
          <w:sz w:val="32"/>
          <w:szCs w:val="32"/>
          <w:highlight w:val="none"/>
          <w:lang w:val="en-US" w:eastAsia="zh-CN"/>
        </w:rPr>
        <w:t>市场化养护经费减少，安保人员外包经费减少</w:t>
      </w:r>
      <w:r>
        <w:rPr>
          <w:rFonts w:hint="eastAsia" w:ascii="仿宋_GB2312" w:eastAsia="仿宋_GB2312"/>
          <w:spacing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24" w:name="_Toc12666"/>
      <w:bookmarkStart w:id="25" w:name="_Toc11969"/>
      <w:bookmarkStart w:id="26" w:name="_Toc13833"/>
      <w:r>
        <w:rPr>
          <w:rFonts w:hint="eastAsia" w:ascii="黑体" w:hAnsi="黑体" w:eastAsia="黑体" w:cs="宋体"/>
          <w:bCs/>
          <w:kern w:val="0"/>
          <w:sz w:val="32"/>
          <w:szCs w:val="32"/>
          <w:highlight w:val="none"/>
          <w:lang w:eastAsia="zh-CN"/>
        </w:rPr>
        <w:t>五、一般公共预算财政拨款支出决算情况说明</w:t>
      </w:r>
      <w:bookmarkEnd w:id="24"/>
      <w:bookmarkEnd w:id="25"/>
      <w:bookmarkEnd w:id="26"/>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2"/>
        <w:rPr>
          <w:rFonts w:hint="eastAsia" w:ascii="黑体" w:hAnsi="黑体" w:eastAsia="黑体"/>
          <w:sz w:val="32"/>
          <w:szCs w:val="32"/>
          <w:highlight w:val="none"/>
          <w:lang w:eastAsia="zh-CN"/>
        </w:rPr>
      </w:pPr>
      <w:bookmarkStart w:id="27" w:name="_Toc6505"/>
      <w:bookmarkStart w:id="28" w:name="_Toc7106"/>
      <w:r>
        <w:rPr>
          <w:rFonts w:hint="eastAsia" w:ascii="黑体" w:hAnsi="黑体" w:eastAsia="黑体"/>
          <w:sz w:val="32"/>
          <w:szCs w:val="32"/>
          <w:highlight w:val="none"/>
          <w:lang w:eastAsia="zh-CN"/>
        </w:rPr>
        <w:t>（一）一般公共预算财政拨款支出决算总体情况</w:t>
      </w:r>
      <w:bookmarkEnd w:id="27"/>
      <w:bookmarkEnd w:id="28"/>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val="en-US" w:eastAsia="zh-CN"/>
        </w:rPr>
        <w:t>2022</w:t>
      </w:r>
      <w:r>
        <w:rPr>
          <w:rFonts w:hint="eastAsia" w:ascii="仿宋_GB2312" w:eastAsia="仿宋_GB2312"/>
          <w:spacing w:val="0"/>
          <w:sz w:val="32"/>
          <w:szCs w:val="32"/>
          <w:highlight w:val="none"/>
          <w:lang w:eastAsia="zh-CN"/>
        </w:rPr>
        <w:t>年度一般公共预算财政拨款支出254.70万元，占本年支出合计的9</w:t>
      </w:r>
      <w:r>
        <w:rPr>
          <w:rFonts w:hint="eastAsia" w:ascii="仿宋_GB2312" w:eastAsia="仿宋_GB2312"/>
          <w:spacing w:val="0"/>
          <w:sz w:val="32"/>
          <w:szCs w:val="32"/>
          <w:highlight w:val="none"/>
          <w:lang w:val="en-US" w:eastAsia="zh-CN"/>
        </w:rPr>
        <w:t>3.42%</w:t>
      </w:r>
      <w:r>
        <w:rPr>
          <w:rFonts w:hint="eastAsia" w:ascii="仿宋_GB2312" w:eastAsia="仿宋_GB2312"/>
          <w:spacing w:val="0"/>
          <w:sz w:val="32"/>
          <w:szCs w:val="32"/>
          <w:highlight w:val="none"/>
          <w:lang w:eastAsia="zh-CN"/>
        </w:rPr>
        <w:t>，</w:t>
      </w:r>
      <w:r>
        <w:rPr>
          <w:rFonts w:hint="eastAsia" w:ascii="仿宋_GB2312" w:eastAsia="仿宋_GB2312"/>
          <w:spacing w:val="0"/>
          <w:sz w:val="32"/>
          <w:szCs w:val="32"/>
          <w:highlight w:val="none"/>
          <w:lang w:eastAsia="zh-CN"/>
        </w:rPr>
        <w:t>与上年相比减少406.51万元，下降61.48</w:t>
      </w:r>
      <w:r>
        <w:rPr>
          <w:rFonts w:hint="eastAsia" w:ascii="仿宋_GB2312" w:eastAsia="仿宋_GB2312"/>
          <w:spacing w:val="0"/>
          <w:sz w:val="32"/>
          <w:szCs w:val="32"/>
          <w:highlight w:val="none"/>
          <w:lang w:val="en-US" w:eastAsia="zh-CN"/>
        </w:rPr>
        <w:t>%</w:t>
      </w:r>
      <w:r>
        <w:rPr>
          <w:rFonts w:hint="eastAsia" w:ascii="仿宋_GB2312" w:eastAsia="仿宋_GB2312"/>
          <w:spacing w:val="0"/>
          <w:sz w:val="32"/>
          <w:szCs w:val="32"/>
          <w:highlight w:val="none"/>
          <w:lang w:eastAsia="zh-CN"/>
        </w:rPr>
        <w:t>，主要原因是：</w:t>
      </w:r>
      <w:r>
        <w:rPr>
          <w:rFonts w:hint="eastAsia" w:ascii="仿宋_GB2312" w:eastAsia="仿宋_GB2312"/>
          <w:sz w:val="32"/>
          <w:szCs w:val="32"/>
          <w:highlight w:val="none"/>
          <w:lang w:val="en-US" w:eastAsia="zh-CN"/>
        </w:rPr>
        <w:t>市场化养护经费减少，安保人员外包经费减少</w:t>
      </w:r>
      <w:r>
        <w:rPr>
          <w:rFonts w:hint="eastAsia" w:ascii="仿宋_GB2312" w:eastAsia="仿宋_GB2312"/>
          <w:spacing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2"/>
        <w:rPr>
          <w:rFonts w:hint="eastAsia" w:ascii="黑体" w:hAnsi="黑体" w:eastAsia="黑体"/>
          <w:sz w:val="32"/>
          <w:szCs w:val="32"/>
          <w:highlight w:val="none"/>
          <w:lang w:eastAsia="zh-CN"/>
        </w:rPr>
      </w:pPr>
      <w:bookmarkStart w:id="29" w:name="_Toc31862"/>
      <w:bookmarkStart w:id="30" w:name="_Toc18111"/>
      <w:r>
        <w:rPr>
          <w:rFonts w:hint="eastAsia" w:ascii="黑体" w:hAnsi="黑体" w:eastAsia="黑体"/>
          <w:sz w:val="32"/>
          <w:szCs w:val="32"/>
          <w:highlight w:val="none"/>
          <w:lang w:eastAsia="zh-CN"/>
        </w:rPr>
        <w:t>（二）一般公共预算</w:t>
      </w:r>
      <w:r>
        <w:rPr>
          <w:rFonts w:hint="eastAsia" w:ascii="黑体" w:hAnsi="黑体" w:eastAsia="黑体"/>
          <w:sz w:val="32"/>
          <w:szCs w:val="32"/>
          <w:highlight w:val="none"/>
          <w:lang w:val="en-US" w:eastAsia="zh-CN"/>
        </w:rPr>
        <w:t>财政拨款支出决算</w:t>
      </w:r>
      <w:r>
        <w:rPr>
          <w:rFonts w:hint="eastAsia" w:ascii="黑体" w:hAnsi="黑体" w:eastAsia="黑体"/>
          <w:sz w:val="32"/>
          <w:szCs w:val="32"/>
          <w:highlight w:val="none"/>
          <w:lang w:eastAsia="zh-CN"/>
        </w:rPr>
        <w:t>结构情况</w:t>
      </w:r>
      <w:bookmarkEnd w:id="29"/>
      <w:bookmarkEnd w:id="30"/>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1.社会保障和就业支出（类）2</w:t>
      </w:r>
      <w:r>
        <w:rPr>
          <w:rFonts w:hint="eastAsia" w:ascii="仿宋_GB2312" w:hAnsi="仿宋_GB2312" w:eastAsia="仿宋_GB2312" w:cs="仿宋_GB2312"/>
          <w:sz w:val="32"/>
          <w:szCs w:val="32"/>
          <w:highlight w:val="none"/>
          <w:lang w:val="en-US" w:eastAsia="zh-CN"/>
        </w:rPr>
        <w:t>6.37</w:t>
      </w:r>
      <w:r>
        <w:rPr>
          <w:rFonts w:hint="eastAsia" w:ascii="仿宋_GB2312" w:hAnsi="仿宋_GB2312" w:eastAsia="仿宋_GB2312" w:cs="仿宋_GB2312"/>
          <w:sz w:val="32"/>
          <w:szCs w:val="32"/>
          <w:highlight w:val="none"/>
        </w:rPr>
        <w:t>万元，占10.</w:t>
      </w:r>
      <w:r>
        <w:rPr>
          <w:rFonts w:hint="eastAsia" w:ascii="仿宋_GB2312" w:hAnsi="仿宋_GB2312" w:eastAsia="仿宋_GB2312" w:cs="仿宋_GB2312"/>
          <w:sz w:val="32"/>
          <w:szCs w:val="32"/>
          <w:highlight w:val="none"/>
          <w:lang w:val="en-US" w:eastAsia="zh-CN"/>
        </w:rPr>
        <w:t>35%</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2.城乡社区支出（类）</w:t>
      </w:r>
      <w:r>
        <w:rPr>
          <w:rFonts w:hint="eastAsia" w:ascii="仿宋_GB2312" w:hAnsi="仿宋_GB2312" w:eastAsia="仿宋_GB2312" w:cs="仿宋_GB2312"/>
          <w:sz w:val="32"/>
          <w:szCs w:val="32"/>
          <w:highlight w:val="none"/>
          <w:lang w:val="en-US" w:eastAsia="zh-CN"/>
        </w:rPr>
        <w:t>228.33</w:t>
      </w:r>
      <w:r>
        <w:rPr>
          <w:rFonts w:hint="eastAsia" w:ascii="仿宋_GB2312" w:hAnsi="仿宋_GB2312" w:eastAsia="仿宋_GB2312" w:cs="仿宋_GB2312"/>
          <w:sz w:val="32"/>
          <w:szCs w:val="32"/>
          <w:highlight w:val="none"/>
        </w:rPr>
        <w:t>万元，占</w:t>
      </w:r>
      <w:r>
        <w:rPr>
          <w:rFonts w:hint="eastAsia" w:ascii="仿宋_GB2312" w:hAnsi="仿宋_GB2312" w:eastAsia="仿宋_GB2312" w:cs="仿宋_GB2312"/>
          <w:sz w:val="32"/>
          <w:szCs w:val="32"/>
          <w:highlight w:val="none"/>
          <w:lang w:val="en-US" w:eastAsia="zh-CN"/>
        </w:rPr>
        <w:t>89.65%</w:t>
      </w:r>
      <w:r>
        <w:rPr>
          <w:rFonts w:hint="eastAsia" w:ascii="仿宋_GB2312" w:hAnsi="仿宋_GB2312" w:eastAsia="仿宋_GB2312" w:cs="仿宋_GB2312"/>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2"/>
        <w:rPr>
          <w:rFonts w:hint="eastAsia" w:ascii="黑体" w:hAnsi="黑体" w:eastAsia="黑体"/>
          <w:sz w:val="32"/>
          <w:szCs w:val="32"/>
          <w:highlight w:val="none"/>
          <w:lang w:eastAsia="zh-CN"/>
        </w:rPr>
      </w:pPr>
      <w:bookmarkStart w:id="31" w:name="_Toc19900"/>
      <w:bookmarkStart w:id="32" w:name="_Toc24627"/>
      <w:r>
        <w:rPr>
          <w:rFonts w:hint="eastAsia" w:ascii="黑体" w:hAnsi="黑体" w:eastAsia="黑体"/>
          <w:sz w:val="32"/>
          <w:szCs w:val="32"/>
          <w:highlight w:val="none"/>
          <w:lang w:eastAsia="zh-CN"/>
        </w:rPr>
        <w:t>（三）一般公共预算财政拨款支出决算具体情况</w:t>
      </w:r>
      <w:bookmarkEnd w:id="31"/>
      <w:bookmarkEnd w:id="32"/>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kern w:val="0"/>
          <w:sz w:val="32"/>
          <w:szCs w:val="32"/>
          <w:highlight w:val="none"/>
          <w:lang w:eastAsia="zh-CN"/>
        </w:rPr>
      </w:pPr>
      <w:r>
        <w:rPr>
          <w:rFonts w:hint="eastAsia" w:ascii="仿宋_GB2312" w:hAnsi="仿宋_GB2312" w:eastAsia="仿宋_GB2312" w:cs="仿宋_GB2312"/>
          <w:kern w:val="0"/>
          <w:sz w:val="32"/>
          <w:szCs w:val="32"/>
          <w:highlight w:val="none"/>
        </w:rPr>
        <w:t>1.社会保障和就业支出（类）行政事业单位养老支出（款）事业单位离退休（项）:</w:t>
      </w:r>
      <w:r>
        <w:rPr>
          <w:rFonts w:hint="eastAsia" w:ascii="仿宋_GB2312" w:hAnsi="仿宋_GB2312" w:eastAsia="仿宋_GB2312" w:cs="仿宋_GB2312"/>
          <w:kern w:val="0"/>
          <w:sz w:val="32"/>
          <w:szCs w:val="32"/>
          <w:highlight w:val="none"/>
          <w:lang w:val="en-US" w:eastAsia="zh-CN"/>
        </w:rPr>
        <w:t>支出决算数</w:t>
      </w:r>
      <w:r>
        <w:rPr>
          <w:rFonts w:hint="eastAsia" w:ascii="仿宋_GB2312" w:hAnsi="仿宋_GB2312" w:eastAsia="仿宋_GB2312" w:cs="仿宋_GB2312"/>
          <w:kern w:val="0"/>
          <w:sz w:val="32"/>
          <w:szCs w:val="32"/>
          <w:highlight w:val="none"/>
        </w:rPr>
        <w:t>为</w:t>
      </w:r>
      <w:r>
        <w:rPr>
          <w:rFonts w:hint="eastAsia" w:ascii="仿宋_GB2312" w:hAnsi="仿宋_GB2312" w:eastAsia="仿宋_GB2312" w:cs="仿宋_GB2312"/>
          <w:kern w:val="0"/>
          <w:sz w:val="32"/>
          <w:szCs w:val="32"/>
          <w:highlight w:val="none"/>
          <w:lang w:val="en-US" w:eastAsia="zh-CN"/>
        </w:rPr>
        <w:t>1.2</w:t>
      </w:r>
      <w:r>
        <w:rPr>
          <w:rFonts w:hint="eastAsia" w:ascii="仿宋_GB2312" w:hAnsi="仿宋_GB2312" w:eastAsia="仿宋_GB2312" w:cs="仿宋_GB2312"/>
          <w:kern w:val="0"/>
          <w:sz w:val="32"/>
          <w:szCs w:val="32"/>
          <w:highlight w:val="none"/>
        </w:rPr>
        <w:t>万元，比上年</w:t>
      </w:r>
      <w:r>
        <w:rPr>
          <w:rFonts w:hint="eastAsia" w:ascii="仿宋_GB2312" w:hAnsi="仿宋_GB2312" w:eastAsia="仿宋_GB2312" w:cs="仿宋_GB2312"/>
          <w:kern w:val="0"/>
          <w:sz w:val="32"/>
          <w:szCs w:val="32"/>
          <w:highlight w:val="none"/>
          <w:lang w:val="en-US" w:eastAsia="zh-CN"/>
        </w:rPr>
        <w:t>决算</w:t>
      </w:r>
      <w:r>
        <w:rPr>
          <w:rFonts w:hint="eastAsia" w:ascii="仿宋_GB2312" w:hAnsi="仿宋_GB2312" w:eastAsia="仿宋_GB2312" w:cs="仿宋_GB2312"/>
          <w:kern w:val="0"/>
          <w:sz w:val="32"/>
          <w:szCs w:val="32"/>
          <w:highlight w:val="none"/>
        </w:rPr>
        <w:t>增加</w:t>
      </w:r>
      <w:r>
        <w:rPr>
          <w:rFonts w:hint="eastAsia" w:ascii="仿宋_GB2312" w:hAnsi="仿宋_GB2312" w:eastAsia="仿宋_GB2312" w:cs="仿宋_GB2312"/>
          <w:kern w:val="0"/>
          <w:sz w:val="32"/>
          <w:szCs w:val="32"/>
          <w:highlight w:val="none"/>
          <w:lang w:val="en-US" w:eastAsia="zh-CN"/>
        </w:rPr>
        <w:t>1.2</w:t>
      </w:r>
      <w:r>
        <w:rPr>
          <w:rFonts w:hint="eastAsia" w:ascii="仿宋_GB2312" w:hAnsi="仿宋_GB2312" w:eastAsia="仿宋_GB2312" w:cs="仿宋_GB2312"/>
          <w:kern w:val="0"/>
          <w:sz w:val="32"/>
          <w:szCs w:val="32"/>
          <w:highlight w:val="none"/>
        </w:rPr>
        <w:t>万元，增长</w:t>
      </w:r>
      <w:r>
        <w:rPr>
          <w:rFonts w:hint="eastAsia" w:ascii="仿宋_GB2312" w:hAnsi="仿宋_GB2312" w:eastAsia="仿宋_GB2312" w:cs="仿宋_GB2312"/>
          <w:kern w:val="0"/>
          <w:sz w:val="32"/>
          <w:szCs w:val="32"/>
          <w:highlight w:val="none"/>
          <w:lang w:val="en-US" w:eastAsia="zh-CN"/>
        </w:rPr>
        <w:t>100%</w:t>
      </w:r>
      <w:r>
        <w:rPr>
          <w:rFonts w:hint="eastAsia" w:ascii="仿宋_GB2312" w:hAnsi="仿宋_GB2312" w:eastAsia="仿宋_GB2312" w:cs="仿宋_GB2312"/>
          <w:kern w:val="0"/>
          <w:sz w:val="32"/>
          <w:szCs w:val="32"/>
          <w:highlight w:val="none"/>
        </w:rPr>
        <w:t>，主要原因是：</w:t>
      </w:r>
      <w:r>
        <w:rPr>
          <w:rFonts w:hint="eastAsia" w:ascii="仿宋_GB2312" w:hAnsi="仿宋_GB2312" w:eastAsia="仿宋_GB2312" w:cs="仿宋_GB2312"/>
          <w:kern w:val="0"/>
          <w:sz w:val="32"/>
          <w:szCs w:val="32"/>
          <w:highlight w:val="none"/>
          <w:lang w:val="en-US" w:eastAsia="zh-CN"/>
        </w:rPr>
        <w:t>本年新增退休人员，追加退休人员经费</w:t>
      </w:r>
      <w:r>
        <w:rPr>
          <w:rFonts w:hint="eastAsia" w:ascii="仿宋_GB2312" w:hAnsi="仿宋_GB2312" w:eastAsia="仿宋_GB2312" w:cs="仿宋_GB2312"/>
          <w:kern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kern w:val="0"/>
          <w:sz w:val="32"/>
          <w:szCs w:val="32"/>
          <w:highlight w:val="none"/>
          <w:lang w:eastAsia="zh-CN"/>
        </w:rPr>
      </w:pPr>
      <w:r>
        <w:rPr>
          <w:rFonts w:hint="eastAsia" w:ascii="仿宋_GB2312" w:hAnsi="仿宋_GB2312" w:eastAsia="仿宋_GB2312" w:cs="仿宋_GB2312"/>
          <w:kern w:val="0"/>
          <w:sz w:val="32"/>
          <w:szCs w:val="32"/>
          <w:highlight w:val="none"/>
          <w:lang w:val="en-US" w:eastAsia="zh-CN"/>
        </w:rPr>
        <w:t>2</w:t>
      </w:r>
      <w:r>
        <w:rPr>
          <w:rFonts w:hint="eastAsia" w:ascii="仿宋_GB2312" w:hAnsi="仿宋_GB2312" w:eastAsia="仿宋_GB2312" w:cs="仿宋_GB2312"/>
          <w:kern w:val="0"/>
          <w:sz w:val="32"/>
          <w:szCs w:val="32"/>
          <w:highlight w:val="none"/>
        </w:rPr>
        <w:t>.社会保障和就业支出（类）行政事业单位养老支出（款）机关事业单位基本养老保险缴费支出（项）:</w:t>
      </w:r>
      <w:r>
        <w:rPr>
          <w:rFonts w:hint="eastAsia" w:ascii="仿宋_GB2312" w:hAnsi="仿宋_GB2312" w:eastAsia="仿宋_GB2312" w:cs="仿宋_GB2312"/>
          <w:kern w:val="0"/>
          <w:sz w:val="32"/>
          <w:szCs w:val="32"/>
          <w:highlight w:val="none"/>
          <w:lang w:val="en-US" w:eastAsia="zh-CN"/>
        </w:rPr>
        <w:t>支出决算数</w:t>
      </w:r>
      <w:r>
        <w:rPr>
          <w:rFonts w:hint="eastAsia" w:ascii="仿宋_GB2312" w:hAnsi="仿宋_GB2312" w:eastAsia="仿宋_GB2312" w:cs="仿宋_GB2312"/>
          <w:kern w:val="0"/>
          <w:sz w:val="32"/>
          <w:szCs w:val="32"/>
          <w:highlight w:val="none"/>
        </w:rPr>
        <w:t>为</w:t>
      </w:r>
      <w:r>
        <w:rPr>
          <w:rFonts w:hint="eastAsia" w:ascii="仿宋_GB2312" w:hAnsi="仿宋_GB2312" w:eastAsia="仿宋_GB2312" w:cs="仿宋_GB2312"/>
          <w:kern w:val="0"/>
          <w:sz w:val="32"/>
          <w:szCs w:val="32"/>
          <w:highlight w:val="none"/>
          <w:lang w:val="en-US" w:eastAsia="zh-CN"/>
        </w:rPr>
        <w:t>17.64</w:t>
      </w:r>
      <w:r>
        <w:rPr>
          <w:rFonts w:hint="eastAsia" w:ascii="仿宋_GB2312" w:hAnsi="仿宋_GB2312" w:eastAsia="仿宋_GB2312" w:cs="仿宋_GB2312"/>
          <w:kern w:val="0"/>
          <w:sz w:val="32"/>
          <w:szCs w:val="32"/>
          <w:highlight w:val="none"/>
        </w:rPr>
        <w:t>万元，比上年</w:t>
      </w:r>
      <w:r>
        <w:rPr>
          <w:rFonts w:hint="eastAsia" w:ascii="仿宋_GB2312" w:hAnsi="仿宋_GB2312" w:eastAsia="仿宋_GB2312" w:cs="仿宋_GB2312"/>
          <w:kern w:val="0"/>
          <w:sz w:val="32"/>
          <w:szCs w:val="32"/>
          <w:highlight w:val="none"/>
          <w:lang w:val="en-US" w:eastAsia="zh-CN"/>
        </w:rPr>
        <w:t>决算</w:t>
      </w:r>
      <w:r>
        <w:rPr>
          <w:rFonts w:hint="eastAsia" w:ascii="仿宋_GB2312" w:hAnsi="仿宋_GB2312" w:eastAsia="仿宋_GB2312" w:cs="仿宋_GB2312"/>
          <w:kern w:val="0"/>
          <w:sz w:val="32"/>
          <w:szCs w:val="32"/>
          <w:highlight w:val="none"/>
        </w:rPr>
        <w:t>增加</w:t>
      </w:r>
      <w:r>
        <w:rPr>
          <w:rFonts w:hint="eastAsia" w:ascii="仿宋_GB2312" w:hAnsi="仿宋_GB2312" w:eastAsia="仿宋_GB2312" w:cs="仿宋_GB2312"/>
          <w:kern w:val="0"/>
          <w:sz w:val="32"/>
          <w:szCs w:val="32"/>
          <w:highlight w:val="none"/>
          <w:lang w:val="en-US" w:eastAsia="zh-CN"/>
        </w:rPr>
        <w:t>0.44</w:t>
      </w:r>
      <w:r>
        <w:rPr>
          <w:rFonts w:hint="eastAsia" w:ascii="仿宋_GB2312" w:hAnsi="仿宋_GB2312" w:eastAsia="仿宋_GB2312" w:cs="仿宋_GB2312"/>
          <w:kern w:val="0"/>
          <w:sz w:val="32"/>
          <w:szCs w:val="32"/>
          <w:highlight w:val="none"/>
        </w:rPr>
        <w:t>万元，增长</w:t>
      </w:r>
      <w:r>
        <w:rPr>
          <w:rFonts w:hint="eastAsia" w:ascii="仿宋_GB2312" w:hAnsi="仿宋_GB2312" w:eastAsia="仿宋_GB2312" w:cs="仿宋_GB2312"/>
          <w:kern w:val="0"/>
          <w:sz w:val="32"/>
          <w:szCs w:val="32"/>
          <w:highlight w:val="none"/>
          <w:lang w:val="en-US" w:eastAsia="zh-CN"/>
        </w:rPr>
        <w:t>2.56%</w:t>
      </w:r>
      <w:r>
        <w:rPr>
          <w:rFonts w:hint="eastAsia" w:ascii="仿宋_GB2312" w:hAnsi="仿宋_GB2312" w:eastAsia="仿宋_GB2312" w:cs="仿宋_GB2312"/>
          <w:kern w:val="0"/>
          <w:sz w:val="32"/>
          <w:szCs w:val="32"/>
          <w:highlight w:val="none"/>
        </w:rPr>
        <w:t>，主要原因是：</w:t>
      </w:r>
      <w:r>
        <w:rPr>
          <w:rFonts w:hint="eastAsia" w:ascii="仿宋_GB2312" w:hAnsi="仿宋_GB2312" w:eastAsia="仿宋_GB2312" w:cs="仿宋_GB2312"/>
          <w:kern w:val="0"/>
          <w:sz w:val="32"/>
          <w:szCs w:val="32"/>
          <w:highlight w:val="none"/>
          <w:lang w:val="en-US" w:eastAsia="zh-CN"/>
        </w:rPr>
        <w:t>养老保险基数调整，经费支出增加</w:t>
      </w:r>
      <w:r>
        <w:rPr>
          <w:rFonts w:hint="eastAsia" w:ascii="仿宋_GB2312" w:hAnsi="仿宋_GB2312" w:eastAsia="仿宋_GB2312" w:cs="仿宋_GB2312"/>
          <w:kern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kern w:val="0"/>
          <w:sz w:val="32"/>
          <w:szCs w:val="32"/>
          <w:highlight w:val="none"/>
          <w:lang w:eastAsia="zh-CN"/>
        </w:rPr>
      </w:pPr>
      <w:r>
        <w:rPr>
          <w:rFonts w:hint="eastAsia" w:ascii="仿宋_GB2312" w:hAnsi="仿宋_GB2312" w:eastAsia="仿宋_GB2312" w:cs="仿宋_GB2312"/>
          <w:kern w:val="0"/>
          <w:sz w:val="32"/>
          <w:szCs w:val="32"/>
          <w:highlight w:val="none"/>
          <w:lang w:val="en-US" w:eastAsia="zh-CN"/>
        </w:rPr>
        <w:t>3</w:t>
      </w:r>
      <w:r>
        <w:rPr>
          <w:rFonts w:hint="eastAsia" w:ascii="仿宋_GB2312" w:hAnsi="仿宋_GB2312" w:eastAsia="仿宋_GB2312" w:cs="仿宋_GB2312"/>
          <w:kern w:val="0"/>
          <w:sz w:val="32"/>
          <w:szCs w:val="32"/>
          <w:highlight w:val="none"/>
        </w:rPr>
        <w:t>.社会保障和就业支出（类）行政事业单位养老支出（款）机关事业单位职业年金缴费支出（项）:</w:t>
      </w:r>
      <w:r>
        <w:rPr>
          <w:rFonts w:hint="eastAsia" w:ascii="仿宋_GB2312" w:hAnsi="仿宋_GB2312" w:eastAsia="仿宋_GB2312" w:cs="仿宋_GB2312"/>
          <w:kern w:val="0"/>
          <w:sz w:val="32"/>
          <w:szCs w:val="32"/>
          <w:highlight w:val="none"/>
          <w:lang w:val="en-US" w:eastAsia="zh-CN"/>
        </w:rPr>
        <w:t>支出决算数</w:t>
      </w:r>
      <w:r>
        <w:rPr>
          <w:rFonts w:hint="eastAsia" w:ascii="仿宋_GB2312" w:hAnsi="仿宋_GB2312" w:eastAsia="仿宋_GB2312" w:cs="仿宋_GB2312"/>
          <w:kern w:val="0"/>
          <w:sz w:val="32"/>
          <w:szCs w:val="32"/>
          <w:highlight w:val="none"/>
        </w:rPr>
        <w:t>为</w:t>
      </w:r>
      <w:r>
        <w:rPr>
          <w:rFonts w:hint="eastAsia" w:ascii="仿宋_GB2312" w:hAnsi="仿宋_GB2312" w:eastAsia="仿宋_GB2312" w:cs="仿宋_GB2312"/>
          <w:kern w:val="0"/>
          <w:sz w:val="32"/>
          <w:szCs w:val="32"/>
          <w:highlight w:val="none"/>
          <w:lang w:val="en-US" w:eastAsia="zh-CN"/>
        </w:rPr>
        <w:t>7.52</w:t>
      </w:r>
      <w:r>
        <w:rPr>
          <w:rFonts w:hint="eastAsia" w:ascii="仿宋_GB2312" w:hAnsi="仿宋_GB2312" w:eastAsia="仿宋_GB2312" w:cs="仿宋_GB2312"/>
          <w:kern w:val="0"/>
          <w:sz w:val="32"/>
          <w:szCs w:val="32"/>
          <w:highlight w:val="none"/>
        </w:rPr>
        <w:t>万元，比上年</w:t>
      </w:r>
      <w:r>
        <w:rPr>
          <w:rFonts w:hint="eastAsia" w:ascii="仿宋_GB2312" w:hAnsi="仿宋_GB2312" w:eastAsia="仿宋_GB2312" w:cs="仿宋_GB2312"/>
          <w:kern w:val="0"/>
          <w:sz w:val="32"/>
          <w:szCs w:val="32"/>
          <w:highlight w:val="none"/>
          <w:lang w:val="en-US" w:eastAsia="zh-CN"/>
        </w:rPr>
        <w:t>决算</w:t>
      </w:r>
      <w:r>
        <w:rPr>
          <w:rFonts w:hint="eastAsia" w:ascii="仿宋_GB2312" w:hAnsi="仿宋_GB2312" w:eastAsia="仿宋_GB2312" w:cs="仿宋_GB2312"/>
          <w:kern w:val="0"/>
          <w:sz w:val="32"/>
          <w:szCs w:val="32"/>
          <w:highlight w:val="none"/>
        </w:rPr>
        <w:t>增加</w:t>
      </w:r>
      <w:r>
        <w:rPr>
          <w:rFonts w:hint="eastAsia" w:ascii="仿宋_GB2312" w:hAnsi="仿宋_GB2312" w:eastAsia="仿宋_GB2312" w:cs="仿宋_GB2312"/>
          <w:kern w:val="0"/>
          <w:sz w:val="32"/>
          <w:szCs w:val="32"/>
          <w:highlight w:val="none"/>
          <w:lang w:val="en-US" w:eastAsia="zh-CN"/>
        </w:rPr>
        <w:t>4.07</w:t>
      </w:r>
      <w:r>
        <w:rPr>
          <w:rFonts w:hint="eastAsia" w:ascii="仿宋_GB2312" w:hAnsi="仿宋_GB2312" w:eastAsia="仿宋_GB2312" w:cs="仿宋_GB2312"/>
          <w:kern w:val="0"/>
          <w:sz w:val="32"/>
          <w:szCs w:val="32"/>
          <w:highlight w:val="none"/>
        </w:rPr>
        <w:t>万元，增长</w:t>
      </w:r>
      <w:r>
        <w:rPr>
          <w:rFonts w:hint="eastAsia" w:ascii="仿宋_GB2312" w:hAnsi="仿宋_GB2312" w:eastAsia="仿宋_GB2312" w:cs="仿宋_GB2312"/>
          <w:kern w:val="0"/>
          <w:sz w:val="32"/>
          <w:szCs w:val="32"/>
          <w:highlight w:val="none"/>
          <w:lang w:val="en-US" w:eastAsia="zh-CN"/>
        </w:rPr>
        <w:t>117.97%</w:t>
      </w:r>
      <w:r>
        <w:rPr>
          <w:rFonts w:hint="eastAsia" w:ascii="仿宋_GB2312" w:hAnsi="仿宋_GB2312" w:eastAsia="仿宋_GB2312" w:cs="仿宋_GB2312"/>
          <w:kern w:val="0"/>
          <w:sz w:val="32"/>
          <w:szCs w:val="32"/>
          <w:highlight w:val="none"/>
        </w:rPr>
        <w:t>，主要原因是：</w:t>
      </w:r>
      <w:r>
        <w:rPr>
          <w:rFonts w:hint="eastAsia" w:ascii="仿宋_GB2312" w:hAnsi="仿宋_GB2312" w:eastAsia="仿宋_GB2312" w:cs="仿宋_GB2312"/>
          <w:kern w:val="0"/>
          <w:sz w:val="32"/>
          <w:szCs w:val="32"/>
          <w:highlight w:val="none"/>
          <w:lang w:val="en-US" w:eastAsia="zh-CN"/>
        </w:rPr>
        <w:t>本年度退休人员增加，职业年金支出增加</w:t>
      </w:r>
      <w:r>
        <w:rPr>
          <w:rFonts w:hint="eastAsia" w:ascii="仿宋_GB2312" w:hAnsi="仿宋_GB2312" w:eastAsia="仿宋_GB2312" w:cs="仿宋_GB2312"/>
          <w:kern w:val="0"/>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kern w:val="0"/>
          <w:sz w:val="32"/>
          <w:szCs w:val="32"/>
          <w:highlight w:val="none"/>
          <w:lang w:val="en-US" w:eastAsia="zh-CN"/>
        </w:rPr>
      </w:pPr>
      <w:r>
        <w:rPr>
          <w:rFonts w:hint="eastAsia" w:ascii="仿宋_GB2312" w:hAnsi="仿宋_GB2312" w:eastAsia="仿宋_GB2312" w:cs="仿宋_GB2312"/>
          <w:kern w:val="0"/>
          <w:sz w:val="32"/>
          <w:szCs w:val="32"/>
          <w:highlight w:val="none"/>
          <w:lang w:val="en-US" w:eastAsia="zh-CN"/>
        </w:rPr>
        <w:t>4</w:t>
      </w:r>
      <w:r>
        <w:rPr>
          <w:rFonts w:hint="eastAsia" w:ascii="仿宋_GB2312" w:hAnsi="仿宋_GB2312" w:eastAsia="仿宋_GB2312" w:cs="仿宋_GB2312"/>
          <w:kern w:val="0"/>
          <w:sz w:val="32"/>
          <w:szCs w:val="32"/>
          <w:highlight w:val="none"/>
        </w:rPr>
        <w:t>.城乡社区支出（类）城乡社区环境卫生（款）</w:t>
      </w:r>
      <w:r>
        <w:rPr>
          <w:rFonts w:hint="eastAsia"/>
          <w:highlight w:val="none"/>
        </w:rPr>
        <w:t xml:space="preserve"> </w:t>
      </w:r>
      <w:r>
        <w:rPr>
          <w:rFonts w:hint="eastAsia" w:ascii="仿宋_GB2312" w:hAnsi="仿宋_GB2312" w:eastAsia="仿宋_GB2312" w:cs="仿宋_GB2312"/>
          <w:kern w:val="0"/>
          <w:sz w:val="32"/>
          <w:szCs w:val="32"/>
          <w:highlight w:val="none"/>
          <w:lang w:val="en-US" w:eastAsia="zh-CN"/>
        </w:rPr>
        <w:t>城乡社区环境卫生（项）:支出决算数为228.33万元，比上年决算减少381.06万元，下降62.53%，主要原因是：</w:t>
      </w:r>
      <w:r>
        <w:rPr>
          <w:rFonts w:hint="eastAsia" w:ascii="仿宋_GB2312" w:eastAsia="仿宋_GB2312"/>
          <w:sz w:val="32"/>
          <w:szCs w:val="32"/>
          <w:highlight w:val="none"/>
          <w:lang w:val="en-US" w:eastAsia="zh-CN"/>
        </w:rPr>
        <w:t>本年市场化养护经费收入减少，安保人员外包经费减少</w:t>
      </w:r>
      <w:r>
        <w:rPr>
          <w:rFonts w:hint="eastAsia" w:ascii="仿宋_GB2312" w:hAnsi="仿宋_GB2312" w:eastAsia="仿宋_GB2312" w:cs="仿宋_GB2312"/>
          <w:kern w:val="0"/>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kern w:val="0"/>
          <w:sz w:val="32"/>
          <w:szCs w:val="32"/>
          <w:highlight w:val="none"/>
          <w:lang w:val="en-US" w:eastAsia="zh-CN"/>
        </w:rPr>
      </w:pPr>
      <w:r>
        <w:rPr>
          <w:rFonts w:hint="eastAsia" w:ascii="仿宋_GB2312" w:eastAsia="仿宋_GB2312"/>
          <w:sz w:val="32"/>
          <w:szCs w:val="32"/>
          <w:highlight w:val="none"/>
          <w:lang w:val="en-US" w:eastAsia="zh-CN"/>
        </w:rPr>
        <w:t>5.城乡社区支出</w:t>
      </w:r>
      <w:r>
        <w:rPr>
          <w:rFonts w:hint="eastAsia" w:ascii="仿宋_GB2312" w:eastAsia="仿宋_GB2312"/>
          <w:sz w:val="32"/>
          <w:szCs w:val="32"/>
          <w:highlight w:val="none"/>
          <w:lang w:val="en-US" w:eastAsia="zh-CN"/>
        </w:rPr>
        <w:tab/>
      </w:r>
      <w:r>
        <w:rPr>
          <w:rFonts w:hint="eastAsia" w:ascii="仿宋_GB2312" w:eastAsia="仿宋_GB2312"/>
          <w:sz w:val="32"/>
          <w:szCs w:val="32"/>
          <w:highlight w:val="none"/>
          <w:lang w:val="en-US" w:eastAsia="zh-CN"/>
        </w:rPr>
        <w:t>（类）城乡社区公共设施（款）其他城乡社区公共设施支出（项）：支出决算数为0.00万元，比上年决算减少31.17万元，下降100%，主要原因是：本年无此科目支出。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33" w:name="_Toc11146"/>
      <w:bookmarkStart w:id="34" w:name="_Toc13818"/>
      <w:bookmarkStart w:id="35" w:name="_Toc18202"/>
      <w:r>
        <w:rPr>
          <w:rFonts w:hint="eastAsia" w:ascii="黑体" w:hAnsi="黑体" w:eastAsia="黑体" w:cs="宋体"/>
          <w:bCs/>
          <w:kern w:val="0"/>
          <w:sz w:val="32"/>
          <w:szCs w:val="32"/>
          <w:highlight w:val="none"/>
          <w:lang w:eastAsia="zh-CN"/>
        </w:rPr>
        <w:t>六、一般公共预算财政拨款基本支出决算情况说明</w:t>
      </w:r>
      <w:bookmarkEnd w:id="33"/>
      <w:bookmarkEnd w:id="34"/>
      <w:bookmarkEnd w:id="35"/>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val="en-US" w:eastAsia="zh-CN"/>
        </w:rPr>
        <w:t>2022</w:t>
      </w:r>
      <w:r>
        <w:rPr>
          <w:rFonts w:hint="eastAsia" w:ascii="仿宋_GB2312" w:eastAsia="仿宋_GB2312"/>
          <w:spacing w:val="0"/>
          <w:sz w:val="32"/>
          <w:szCs w:val="32"/>
          <w:highlight w:val="none"/>
          <w:lang w:eastAsia="zh-CN"/>
        </w:rPr>
        <w:t>年度</w:t>
      </w:r>
      <w:r>
        <w:rPr>
          <w:rFonts w:hint="eastAsia" w:ascii="仿宋_GB2312" w:eastAsia="仿宋_GB2312"/>
          <w:sz w:val="32"/>
          <w:szCs w:val="32"/>
          <w:highlight w:val="none"/>
        </w:rPr>
        <w:t>一般公共预算财政拨款基本</w:t>
      </w:r>
      <w:r>
        <w:rPr>
          <w:rFonts w:hint="eastAsia" w:ascii="仿宋_GB2312" w:eastAsia="仿宋_GB2312"/>
          <w:spacing w:val="0"/>
          <w:sz w:val="32"/>
          <w:szCs w:val="32"/>
          <w:highlight w:val="none"/>
          <w:lang w:eastAsia="zh-CN"/>
        </w:rPr>
        <w:t>支出250.</w:t>
      </w:r>
      <w:r>
        <w:rPr>
          <w:rFonts w:hint="eastAsia" w:ascii="仿宋_GB2312" w:eastAsia="仿宋_GB2312"/>
          <w:spacing w:val="0"/>
          <w:sz w:val="32"/>
          <w:szCs w:val="32"/>
          <w:highlight w:val="none"/>
          <w:lang w:val="en-US" w:eastAsia="zh-CN"/>
        </w:rPr>
        <w:t>8</w:t>
      </w:r>
      <w:r>
        <w:rPr>
          <w:rFonts w:hint="eastAsia" w:ascii="仿宋_GB2312" w:eastAsia="仿宋_GB2312"/>
          <w:spacing w:val="0"/>
          <w:sz w:val="32"/>
          <w:szCs w:val="32"/>
          <w:highlight w:val="none"/>
          <w:lang w:eastAsia="zh-CN"/>
        </w:rPr>
        <w:t>4万元，其中：</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rPr>
        <w:t>人员经费227.49万元，包括：基本工资</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津贴补贴</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奖金</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机关事业单位基本养老保险缴费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职业年金缴费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职工基本医疗保险缴费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公务员医疗补助缴费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其他社会保障缴费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住房公积金</w:t>
      </w:r>
      <w:r>
        <w:rPr>
          <w:rFonts w:hint="eastAsia" w:ascii="仿宋_GB2312" w:eastAsia="仿宋_GB2312"/>
          <w:sz w:val="32"/>
          <w:szCs w:val="32"/>
          <w:highlight w:val="none"/>
          <w:lang w:eastAsia="zh-CN"/>
        </w:rPr>
        <w:t>、退休费、生活补助。</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rPr>
        <w:t>公用经费23.35万元，包括：办公费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印刷费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水费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电费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邮电费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维修（护）费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劳务费</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公务用车运行维护费</w:t>
      </w:r>
      <w:r>
        <w:rPr>
          <w:rFonts w:hint="eastAsia" w:ascii="仿宋_GB2312" w:eastAsia="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36" w:name="_Toc7190"/>
      <w:bookmarkStart w:id="37" w:name="_Toc32115"/>
      <w:bookmarkStart w:id="38" w:name="_Toc31388"/>
      <w:r>
        <w:rPr>
          <w:rFonts w:hint="eastAsia" w:ascii="黑体" w:hAnsi="黑体" w:eastAsia="黑体" w:cs="宋体"/>
          <w:bCs/>
          <w:kern w:val="0"/>
          <w:sz w:val="32"/>
          <w:szCs w:val="32"/>
          <w:highlight w:val="none"/>
          <w:lang w:val="en-US" w:eastAsia="zh-CN"/>
        </w:rPr>
        <w:t>七、</w:t>
      </w:r>
      <w:r>
        <w:rPr>
          <w:rFonts w:hint="eastAsia" w:ascii="黑体" w:hAnsi="黑体" w:eastAsia="黑体" w:cs="宋体"/>
          <w:bCs/>
          <w:kern w:val="0"/>
          <w:sz w:val="32"/>
          <w:szCs w:val="32"/>
          <w:highlight w:val="none"/>
          <w:lang w:eastAsia="zh-CN"/>
        </w:rPr>
        <w:t>财政拨款</w:t>
      </w:r>
      <w:r>
        <w:rPr>
          <w:rFonts w:hint="eastAsia" w:ascii="黑体" w:hAnsi="黑体" w:eastAsia="黑体" w:cs="宋体"/>
          <w:bCs/>
          <w:kern w:val="0"/>
          <w:sz w:val="32"/>
          <w:szCs w:val="32"/>
          <w:highlight w:val="none"/>
        </w:rPr>
        <w:t>“三公”经费支出</w:t>
      </w:r>
      <w:r>
        <w:rPr>
          <w:rFonts w:hint="eastAsia" w:ascii="黑体" w:hAnsi="黑体" w:eastAsia="黑体" w:cs="宋体"/>
          <w:bCs/>
          <w:kern w:val="0"/>
          <w:sz w:val="32"/>
          <w:szCs w:val="32"/>
          <w:highlight w:val="none"/>
          <w:lang w:eastAsia="zh-CN"/>
        </w:rPr>
        <w:t>决算</w:t>
      </w:r>
      <w:r>
        <w:rPr>
          <w:rFonts w:hint="eastAsia" w:ascii="黑体" w:hAnsi="黑体" w:eastAsia="黑体" w:cs="宋体"/>
          <w:bCs/>
          <w:kern w:val="0"/>
          <w:sz w:val="32"/>
          <w:szCs w:val="32"/>
          <w:highlight w:val="none"/>
        </w:rPr>
        <w:t>情况</w:t>
      </w:r>
      <w:r>
        <w:rPr>
          <w:rFonts w:hint="eastAsia" w:ascii="黑体" w:hAnsi="黑体" w:eastAsia="黑体" w:cs="宋体"/>
          <w:bCs/>
          <w:kern w:val="0"/>
          <w:sz w:val="32"/>
          <w:szCs w:val="32"/>
          <w:highlight w:val="none"/>
          <w:lang w:eastAsia="zh-CN"/>
        </w:rPr>
        <w:t>说明</w:t>
      </w:r>
      <w:bookmarkEnd w:id="36"/>
      <w:bookmarkEnd w:id="37"/>
      <w:bookmarkEnd w:id="38"/>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2022年度财政拨款“三公”经费支出决算4.63万元，比上年减少1.48万元，下降24.22%，主要原因是：响应中央厉行节约，减少车辆维修费及燃油费。其中：因公出国（境）费支出0.00万元，占0.00%，比上年减少0.00万元，下降0.00%，主要原因是：</w:t>
      </w:r>
      <w:r>
        <w:rPr>
          <w:rFonts w:hint="eastAsia" w:ascii="仿宋_GB2312" w:eastAsia="仿宋_GB2312"/>
          <w:sz w:val="32"/>
          <w:szCs w:val="32"/>
          <w:highlight w:val="none"/>
        </w:rPr>
        <w:t>我单位无因公出国（境）费支出</w:t>
      </w:r>
      <w:r>
        <w:rPr>
          <w:rFonts w:hint="eastAsia" w:ascii="仿宋_GB2312" w:eastAsia="仿宋_GB2312"/>
          <w:sz w:val="32"/>
          <w:szCs w:val="32"/>
          <w:highlight w:val="none"/>
          <w:lang w:val="en-US" w:eastAsia="zh-CN"/>
        </w:rPr>
        <w:t>；公务用车购置及运行维护费支出4.63万元，占100%，比上年减少1.48万元，下降24.22%，主要原因是：本年度减少了车辆维修费及燃油费；公务接待费支出0.00万元，占0.00%，比上年减少0.00万元，下降0.00%，主要原因是：</w:t>
      </w:r>
      <w:r>
        <w:rPr>
          <w:rFonts w:hint="eastAsia" w:ascii="仿宋_GB2312" w:eastAsia="仿宋_GB2312"/>
          <w:sz w:val="32"/>
          <w:szCs w:val="32"/>
          <w:highlight w:val="none"/>
        </w:rPr>
        <w:t>我单位无公务接待费支出</w:t>
      </w:r>
      <w:r>
        <w:rPr>
          <w:rFonts w:hint="eastAsia" w:ascii="仿宋_GB2312" w:eastAsia="仿宋_GB2312"/>
          <w:sz w:val="32"/>
          <w:szCs w:val="32"/>
          <w:highlight w:val="none"/>
          <w:lang w:val="en-US" w:eastAsia="zh-CN"/>
        </w:rPr>
        <w:t>。具体情况如下：</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因公出国（境）费支出</w:t>
      </w:r>
      <w:r>
        <w:rPr>
          <w:rFonts w:hint="eastAsia" w:ascii="仿宋_GB2312" w:eastAsia="仿宋_GB2312"/>
          <w:sz w:val="32"/>
          <w:szCs w:val="32"/>
          <w:highlight w:val="none"/>
          <w:lang w:val="en-US" w:eastAsia="zh-CN"/>
        </w:rPr>
        <w:t>0.00</w:t>
      </w:r>
      <w:r>
        <w:rPr>
          <w:rFonts w:hint="eastAsia" w:ascii="仿宋_GB2312" w:eastAsia="仿宋_GB2312"/>
          <w:sz w:val="32"/>
          <w:szCs w:val="32"/>
          <w:highlight w:val="none"/>
        </w:rPr>
        <w:t>万元</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开支内容包括我单位无因公出国（境）费支出。单位全年安排的因公出国（境）团组</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个，因公出国（境）</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人次。</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公务用车购置及运行维护费4.63万元</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其中</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公务用车购置费0</w:t>
      </w:r>
      <w:r>
        <w:rPr>
          <w:rFonts w:hint="eastAsia" w:ascii="仿宋_GB2312" w:eastAsia="仿宋_GB2312"/>
          <w:sz w:val="32"/>
          <w:szCs w:val="32"/>
          <w:highlight w:val="none"/>
          <w:lang w:val="en-US" w:eastAsia="zh-CN"/>
        </w:rPr>
        <w:t>.00</w:t>
      </w:r>
      <w:r>
        <w:rPr>
          <w:rFonts w:hint="eastAsia" w:ascii="仿宋_GB2312" w:eastAsia="仿宋_GB2312"/>
          <w:sz w:val="32"/>
          <w:szCs w:val="32"/>
          <w:highlight w:val="none"/>
        </w:rPr>
        <w:t>万元，公务用车运行维护费4.63万元。公务用车运行维护费开支内容包括</w:t>
      </w:r>
      <w:r>
        <w:rPr>
          <w:rFonts w:hint="eastAsia" w:ascii="仿宋_GB2312" w:eastAsia="仿宋_GB2312"/>
          <w:sz w:val="32"/>
          <w:szCs w:val="32"/>
          <w:highlight w:val="none"/>
          <w:lang w:eastAsia="zh-CN"/>
        </w:rPr>
        <w:t>公务用车燃料费、维修费</w:t>
      </w:r>
      <w:r>
        <w:rPr>
          <w:rFonts w:hint="eastAsia" w:ascii="仿宋_GB2312" w:eastAsia="仿宋_GB2312"/>
          <w:sz w:val="32"/>
          <w:szCs w:val="32"/>
          <w:highlight w:val="none"/>
        </w:rPr>
        <w:t>、保险费、等</w:t>
      </w:r>
      <w:r>
        <w:rPr>
          <w:rFonts w:hint="eastAsia" w:ascii="仿宋_GB2312" w:eastAsia="仿宋_GB2312"/>
          <w:color w:val="000000"/>
          <w:sz w:val="32"/>
          <w:szCs w:val="32"/>
          <w:highlight w:val="none"/>
        </w:rPr>
        <w:t>支出</w:t>
      </w:r>
      <w:r>
        <w:rPr>
          <w:rFonts w:hint="eastAsia" w:ascii="仿宋_GB2312" w:eastAsia="仿宋_GB2312"/>
          <w:sz w:val="32"/>
          <w:szCs w:val="32"/>
          <w:highlight w:val="none"/>
        </w:rPr>
        <w:t>。公务用车购置数0辆，公务用车保有量14辆。</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公务接待费0</w:t>
      </w:r>
      <w:r>
        <w:rPr>
          <w:rFonts w:hint="eastAsia" w:ascii="仿宋_GB2312" w:eastAsia="仿宋_GB2312"/>
          <w:sz w:val="32"/>
          <w:szCs w:val="32"/>
          <w:highlight w:val="none"/>
          <w:lang w:val="en-US" w:eastAsia="zh-CN"/>
        </w:rPr>
        <w:t>.00</w:t>
      </w:r>
      <w:r>
        <w:rPr>
          <w:rFonts w:hint="eastAsia" w:ascii="仿宋_GB2312" w:eastAsia="仿宋_GB2312"/>
          <w:sz w:val="32"/>
          <w:szCs w:val="32"/>
          <w:highlight w:val="none"/>
        </w:rPr>
        <w:t>万元，开支内容包括</w:t>
      </w:r>
      <w:r>
        <w:rPr>
          <w:rFonts w:hint="eastAsia" w:ascii="仿宋_GB2312" w:eastAsia="仿宋_GB2312"/>
          <w:sz w:val="32"/>
          <w:szCs w:val="32"/>
          <w:highlight w:val="none"/>
          <w:lang w:val="en-US" w:eastAsia="zh-CN"/>
        </w:rPr>
        <w:t>我单位本年度无</w:t>
      </w:r>
      <w:r>
        <w:rPr>
          <w:rFonts w:hint="eastAsia" w:ascii="仿宋_GB2312" w:eastAsia="仿宋_GB2312"/>
          <w:color w:val="000000"/>
          <w:sz w:val="32"/>
          <w:szCs w:val="32"/>
          <w:highlight w:val="none"/>
        </w:rPr>
        <w:t>公务接待支出</w:t>
      </w:r>
      <w:r>
        <w:rPr>
          <w:rFonts w:hint="eastAsia" w:ascii="仿宋_GB2312" w:eastAsia="仿宋_GB2312"/>
          <w:sz w:val="32"/>
          <w:szCs w:val="32"/>
          <w:highlight w:val="none"/>
        </w:rPr>
        <w:t>。单位全年安排的国内公务接待</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批次，</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人次。</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rPr>
        <w:t>与</w:t>
      </w:r>
      <w:r>
        <w:rPr>
          <w:rFonts w:hint="eastAsia" w:ascii="仿宋_GB2312" w:eastAsia="仿宋_GB2312"/>
          <w:sz w:val="32"/>
          <w:szCs w:val="32"/>
          <w:highlight w:val="none"/>
          <w:lang w:val="en-US" w:eastAsia="zh-CN"/>
        </w:rPr>
        <w:t>全年</w:t>
      </w:r>
      <w:r>
        <w:rPr>
          <w:rFonts w:hint="eastAsia" w:ascii="仿宋_GB2312" w:eastAsia="仿宋_GB2312"/>
          <w:sz w:val="32"/>
          <w:szCs w:val="32"/>
          <w:highlight w:val="none"/>
          <w:lang w:eastAsia="zh-CN"/>
        </w:rPr>
        <w:t>预算数</w:t>
      </w:r>
      <w:r>
        <w:rPr>
          <w:rFonts w:hint="eastAsia" w:ascii="仿宋_GB2312" w:eastAsia="仿宋_GB2312"/>
          <w:sz w:val="32"/>
          <w:szCs w:val="32"/>
          <w:highlight w:val="none"/>
        </w:rPr>
        <w:t>相比情况：“三公”经费支出</w:t>
      </w:r>
      <w:r>
        <w:rPr>
          <w:rFonts w:hint="eastAsia" w:ascii="仿宋_GB2312" w:eastAsia="仿宋_GB2312"/>
          <w:sz w:val="32"/>
          <w:szCs w:val="32"/>
          <w:highlight w:val="none"/>
          <w:lang w:val="en-US" w:eastAsia="zh-CN"/>
        </w:rPr>
        <w:t>全年</w:t>
      </w:r>
      <w:r>
        <w:rPr>
          <w:rFonts w:hint="eastAsia" w:ascii="仿宋_GB2312" w:eastAsia="仿宋_GB2312"/>
          <w:sz w:val="32"/>
          <w:szCs w:val="32"/>
          <w:highlight w:val="none"/>
          <w:lang w:eastAsia="zh-CN"/>
        </w:rPr>
        <w:t>预算数</w:t>
      </w:r>
      <w:r>
        <w:rPr>
          <w:rFonts w:hint="eastAsia" w:ascii="仿宋_GB2312" w:eastAsia="仿宋_GB2312"/>
          <w:sz w:val="32"/>
          <w:szCs w:val="32"/>
          <w:highlight w:val="none"/>
        </w:rPr>
        <w:t>4.67万元，决算数4.63万元，预决算差异率0.86</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主要原因是：</w:t>
      </w:r>
      <w:r>
        <w:rPr>
          <w:rFonts w:hint="eastAsia" w:ascii="仿宋_GB2312" w:eastAsia="仿宋_GB2312"/>
          <w:sz w:val="32"/>
          <w:szCs w:val="32"/>
          <w:highlight w:val="none"/>
          <w:lang w:val="en-US" w:eastAsia="zh-CN"/>
        </w:rPr>
        <w:t>厉行节约，减少车辆维修费及燃油费</w:t>
      </w:r>
      <w:r>
        <w:rPr>
          <w:rFonts w:hint="eastAsia" w:ascii="仿宋_GB2312" w:eastAsia="仿宋_GB2312"/>
          <w:sz w:val="32"/>
          <w:szCs w:val="32"/>
          <w:highlight w:val="none"/>
        </w:rPr>
        <w:t>。其中：因公出国（境）费</w:t>
      </w:r>
      <w:r>
        <w:rPr>
          <w:rFonts w:hint="eastAsia" w:ascii="仿宋_GB2312" w:eastAsia="仿宋_GB2312"/>
          <w:sz w:val="32"/>
          <w:szCs w:val="32"/>
          <w:highlight w:val="none"/>
          <w:lang w:val="en-US" w:eastAsia="zh-CN"/>
        </w:rPr>
        <w:t>全年预算数</w:t>
      </w:r>
      <w:r>
        <w:rPr>
          <w:rFonts w:hint="eastAsia" w:ascii="仿宋_GB2312" w:eastAsia="仿宋_GB2312"/>
          <w:sz w:val="32"/>
          <w:szCs w:val="32"/>
          <w:highlight w:val="none"/>
        </w:rPr>
        <w:t>0</w:t>
      </w:r>
      <w:r>
        <w:rPr>
          <w:rFonts w:hint="eastAsia" w:ascii="仿宋_GB2312" w:eastAsia="仿宋_GB2312"/>
          <w:sz w:val="32"/>
          <w:szCs w:val="32"/>
          <w:highlight w:val="none"/>
          <w:lang w:val="en-US" w:eastAsia="zh-CN"/>
        </w:rPr>
        <w:t>.00</w:t>
      </w:r>
      <w:r>
        <w:rPr>
          <w:rFonts w:hint="eastAsia" w:ascii="仿宋_GB2312" w:eastAsia="仿宋_GB2312"/>
          <w:sz w:val="32"/>
          <w:szCs w:val="32"/>
          <w:highlight w:val="none"/>
        </w:rPr>
        <w:t>万元，决算数0</w:t>
      </w:r>
      <w:r>
        <w:rPr>
          <w:rFonts w:hint="eastAsia" w:ascii="仿宋_GB2312" w:eastAsia="仿宋_GB2312"/>
          <w:sz w:val="32"/>
          <w:szCs w:val="32"/>
          <w:highlight w:val="none"/>
          <w:lang w:val="en-US" w:eastAsia="zh-CN"/>
        </w:rPr>
        <w:t>.00</w:t>
      </w:r>
      <w:r>
        <w:rPr>
          <w:rFonts w:hint="eastAsia" w:ascii="仿宋_GB2312" w:eastAsia="仿宋_GB2312"/>
          <w:sz w:val="32"/>
          <w:szCs w:val="32"/>
          <w:highlight w:val="none"/>
        </w:rPr>
        <w:t>万元，预决算差异率</w:t>
      </w:r>
      <w:r>
        <w:rPr>
          <w:rFonts w:hint="eastAsia" w:ascii="仿宋_GB2312" w:eastAsia="仿宋_GB2312"/>
          <w:sz w:val="32"/>
          <w:szCs w:val="32"/>
          <w:highlight w:val="none"/>
          <w:lang w:val="en-US" w:eastAsia="zh-CN"/>
        </w:rPr>
        <w:t>0.00%</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主要原因是：</w:t>
      </w:r>
      <w:r>
        <w:rPr>
          <w:rFonts w:hint="eastAsia" w:ascii="仿宋_GB2312" w:eastAsia="仿宋_GB2312"/>
          <w:sz w:val="32"/>
          <w:szCs w:val="32"/>
          <w:highlight w:val="none"/>
          <w:lang w:val="en-US" w:eastAsia="zh-CN"/>
        </w:rPr>
        <w:t>本年度</w:t>
      </w:r>
      <w:r>
        <w:rPr>
          <w:rFonts w:hint="eastAsia" w:ascii="仿宋_GB2312" w:eastAsia="仿宋_GB2312"/>
          <w:sz w:val="32"/>
          <w:szCs w:val="32"/>
          <w:highlight w:val="none"/>
        </w:rPr>
        <w:t>无因公出国（境）费支出；公务用车购置费</w:t>
      </w:r>
      <w:r>
        <w:rPr>
          <w:rFonts w:hint="eastAsia" w:ascii="仿宋_GB2312" w:eastAsia="仿宋_GB2312"/>
          <w:sz w:val="32"/>
          <w:szCs w:val="32"/>
          <w:highlight w:val="none"/>
          <w:lang w:val="en-US" w:eastAsia="zh-CN"/>
        </w:rPr>
        <w:t>全年</w:t>
      </w:r>
      <w:r>
        <w:rPr>
          <w:rFonts w:hint="eastAsia" w:ascii="仿宋_GB2312" w:eastAsia="仿宋_GB2312"/>
          <w:sz w:val="32"/>
          <w:szCs w:val="32"/>
          <w:highlight w:val="none"/>
        </w:rPr>
        <w:t>预算数0</w:t>
      </w:r>
      <w:r>
        <w:rPr>
          <w:rFonts w:hint="eastAsia" w:ascii="仿宋_GB2312" w:eastAsia="仿宋_GB2312"/>
          <w:sz w:val="32"/>
          <w:szCs w:val="32"/>
          <w:highlight w:val="none"/>
          <w:lang w:val="en-US" w:eastAsia="zh-CN"/>
        </w:rPr>
        <w:t>.00</w:t>
      </w:r>
      <w:r>
        <w:rPr>
          <w:rFonts w:hint="eastAsia" w:ascii="仿宋_GB2312" w:eastAsia="仿宋_GB2312"/>
          <w:sz w:val="32"/>
          <w:szCs w:val="32"/>
          <w:highlight w:val="none"/>
        </w:rPr>
        <w:t>万元，决算数0</w:t>
      </w:r>
      <w:r>
        <w:rPr>
          <w:rFonts w:hint="eastAsia" w:ascii="仿宋_GB2312" w:eastAsia="仿宋_GB2312"/>
          <w:sz w:val="32"/>
          <w:szCs w:val="32"/>
          <w:highlight w:val="none"/>
          <w:lang w:val="en-US" w:eastAsia="zh-CN"/>
        </w:rPr>
        <w:t>.00</w:t>
      </w:r>
      <w:r>
        <w:rPr>
          <w:rFonts w:hint="eastAsia" w:ascii="仿宋_GB2312" w:eastAsia="仿宋_GB2312"/>
          <w:sz w:val="32"/>
          <w:szCs w:val="32"/>
          <w:highlight w:val="none"/>
        </w:rPr>
        <w:t>万元，预决算差异率</w:t>
      </w:r>
      <w:r>
        <w:rPr>
          <w:rFonts w:hint="eastAsia" w:ascii="仿宋_GB2312" w:eastAsia="仿宋_GB2312"/>
          <w:sz w:val="32"/>
          <w:szCs w:val="32"/>
          <w:highlight w:val="none"/>
          <w:lang w:val="en-US" w:eastAsia="zh-CN"/>
        </w:rPr>
        <w:t>0.00%</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主要原因是：</w:t>
      </w:r>
      <w:r>
        <w:rPr>
          <w:rFonts w:hint="eastAsia" w:ascii="仿宋_GB2312" w:eastAsia="仿宋_GB2312"/>
          <w:sz w:val="32"/>
          <w:szCs w:val="32"/>
          <w:highlight w:val="none"/>
          <w:lang w:val="en-US" w:eastAsia="zh-CN"/>
        </w:rPr>
        <w:t>本年度</w:t>
      </w:r>
      <w:r>
        <w:rPr>
          <w:rFonts w:hint="eastAsia" w:ascii="仿宋_GB2312" w:eastAsia="仿宋_GB2312"/>
          <w:sz w:val="32"/>
          <w:szCs w:val="32"/>
          <w:highlight w:val="none"/>
        </w:rPr>
        <w:t>无公务用车购置费</w:t>
      </w:r>
      <w:r>
        <w:rPr>
          <w:rFonts w:hint="eastAsia" w:ascii="仿宋_GB2312" w:eastAsia="仿宋_GB2312"/>
          <w:sz w:val="32"/>
          <w:szCs w:val="32"/>
          <w:highlight w:val="none"/>
          <w:lang w:val="en-US" w:eastAsia="zh-CN"/>
        </w:rPr>
        <w:t>支出</w:t>
      </w:r>
      <w:r>
        <w:rPr>
          <w:rFonts w:hint="eastAsia" w:ascii="仿宋_GB2312" w:eastAsia="仿宋_GB2312"/>
          <w:sz w:val="32"/>
          <w:szCs w:val="32"/>
          <w:highlight w:val="none"/>
        </w:rPr>
        <w:t>；公务用车运行费</w:t>
      </w:r>
      <w:r>
        <w:rPr>
          <w:rFonts w:hint="eastAsia" w:ascii="仿宋_GB2312" w:eastAsia="仿宋_GB2312"/>
          <w:sz w:val="32"/>
          <w:szCs w:val="32"/>
          <w:highlight w:val="none"/>
          <w:lang w:val="en-US" w:eastAsia="zh-CN"/>
        </w:rPr>
        <w:t>全年</w:t>
      </w:r>
      <w:r>
        <w:rPr>
          <w:rFonts w:hint="eastAsia" w:ascii="仿宋_GB2312" w:eastAsia="仿宋_GB2312"/>
          <w:sz w:val="32"/>
          <w:szCs w:val="32"/>
          <w:highlight w:val="none"/>
        </w:rPr>
        <w:t>预算数4.63万元，决算数4.63万元，预决算差异率</w:t>
      </w:r>
      <w:r>
        <w:rPr>
          <w:rFonts w:hint="eastAsia" w:ascii="仿宋_GB2312" w:eastAsia="仿宋_GB2312"/>
          <w:sz w:val="32"/>
          <w:szCs w:val="32"/>
          <w:highlight w:val="none"/>
          <w:lang w:val="en-US" w:eastAsia="zh-CN"/>
        </w:rPr>
        <w:t>0.00%</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主要原因是：</w:t>
      </w:r>
      <w:r>
        <w:rPr>
          <w:rFonts w:hint="eastAsia" w:ascii="仿宋_GB2312" w:hAnsi="宋体" w:eastAsia="仿宋_GB2312" w:cs="宋体"/>
          <w:kern w:val="0"/>
          <w:sz w:val="32"/>
          <w:szCs w:val="32"/>
          <w:highlight w:val="none"/>
        </w:rPr>
        <w:t>预决算一致，无差异</w:t>
      </w:r>
      <w:r>
        <w:rPr>
          <w:rFonts w:hint="eastAsia" w:ascii="仿宋_GB2312" w:eastAsia="仿宋_GB2312"/>
          <w:sz w:val="32"/>
          <w:szCs w:val="32"/>
          <w:highlight w:val="none"/>
        </w:rPr>
        <w:t>；公务接待费</w:t>
      </w:r>
      <w:r>
        <w:rPr>
          <w:rFonts w:hint="eastAsia" w:ascii="仿宋_GB2312" w:eastAsia="仿宋_GB2312"/>
          <w:sz w:val="32"/>
          <w:szCs w:val="32"/>
          <w:highlight w:val="none"/>
          <w:lang w:val="en-US" w:eastAsia="zh-CN"/>
        </w:rPr>
        <w:t>全年</w:t>
      </w:r>
      <w:r>
        <w:rPr>
          <w:rFonts w:hint="eastAsia" w:ascii="仿宋_GB2312" w:eastAsia="仿宋_GB2312"/>
          <w:sz w:val="32"/>
          <w:szCs w:val="32"/>
          <w:highlight w:val="none"/>
        </w:rPr>
        <w:t>预算数0.04万元，决算数0.00万元，预决算差异率</w:t>
      </w:r>
      <w:r>
        <w:rPr>
          <w:rFonts w:hint="eastAsia" w:ascii="仿宋_GB2312" w:eastAsia="仿宋_GB2312"/>
          <w:sz w:val="32"/>
          <w:szCs w:val="32"/>
          <w:highlight w:val="none"/>
          <w:lang w:val="en-US" w:eastAsia="zh-CN"/>
        </w:rPr>
        <w:t>-100%</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主要原因是：</w:t>
      </w:r>
      <w:r>
        <w:rPr>
          <w:rFonts w:hint="eastAsia" w:ascii="仿宋_GB2312" w:eastAsia="仿宋_GB2312"/>
          <w:sz w:val="32"/>
          <w:szCs w:val="32"/>
          <w:highlight w:val="none"/>
          <w:lang w:val="en-US" w:eastAsia="zh-CN"/>
        </w:rPr>
        <w:t>本年度</w:t>
      </w:r>
      <w:r>
        <w:rPr>
          <w:rFonts w:hint="eastAsia" w:ascii="仿宋_GB2312" w:eastAsia="仿宋_GB2312"/>
          <w:sz w:val="32"/>
          <w:szCs w:val="32"/>
          <w:highlight w:val="none"/>
        </w:rPr>
        <w:t>无公务接待费</w:t>
      </w:r>
      <w:r>
        <w:rPr>
          <w:rFonts w:hint="eastAsia" w:ascii="仿宋_GB2312" w:eastAsia="仿宋_GB2312"/>
          <w:sz w:val="32"/>
          <w:szCs w:val="32"/>
          <w:highlight w:val="none"/>
          <w:lang w:val="en-US" w:eastAsia="zh-CN"/>
        </w:rPr>
        <w:t>支出</w:t>
      </w:r>
      <w:r>
        <w:rPr>
          <w:rFonts w:hint="eastAsia" w:ascii="仿宋_GB2312" w:eastAsia="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39" w:name="_Toc16383"/>
      <w:bookmarkStart w:id="40" w:name="_Toc19137"/>
      <w:bookmarkStart w:id="41" w:name="_Toc7927"/>
      <w:r>
        <w:rPr>
          <w:rFonts w:hint="eastAsia" w:ascii="黑体" w:hAnsi="黑体" w:eastAsia="黑体" w:cs="宋体"/>
          <w:bCs/>
          <w:kern w:val="0"/>
          <w:sz w:val="32"/>
          <w:szCs w:val="32"/>
          <w:highlight w:val="none"/>
          <w:lang w:val="en-US" w:eastAsia="zh-CN"/>
        </w:rPr>
        <w:t>八</w:t>
      </w:r>
      <w:r>
        <w:rPr>
          <w:rFonts w:hint="eastAsia" w:ascii="黑体" w:hAnsi="黑体" w:eastAsia="黑体" w:cs="宋体"/>
          <w:bCs/>
          <w:kern w:val="0"/>
          <w:sz w:val="32"/>
          <w:szCs w:val="32"/>
          <w:highlight w:val="none"/>
          <w:lang w:eastAsia="zh-CN"/>
        </w:rPr>
        <w:t>、政府性基金预算财政拨款收入支出决算情况说明</w:t>
      </w:r>
      <w:bookmarkEnd w:id="39"/>
      <w:bookmarkEnd w:id="40"/>
      <w:bookmarkEnd w:id="41"/>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lang w:eastAsia="zh-CN"/>
        </w:rPr>
        <w:t>我单位本年度无政府性基金预算财政拨款收入、支出</w:t>
      </w:r>
      <w:r>
        <w:rPr>
          <w:rFonts w:hint="eastAsia" w:ascii="仿宋_GB2312" w:eastAsia="仿宋_GB2312"/>
          <w:sz w:val="32"/>
          <w:szCs w:val="32"/>
          <w:highlight w:val="none"/>
          <w:lang w:val="en-US" w:eastAsia="zh-CN"/>
        </w:rPr>
        <w:t>及结转和结余</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政府性基金预算财政拨款收入支出决算表为空表。</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42" w:name="_Toc19129"/>
      <w:bookmarkStart w:id="43" w:name="_Toc18027"/>
      <w:r>
        <w:rPr>
          <w:rFonts w:hint="eastAsia" w:ascii="黑体" w:hAnsi="黑体" w:eastAsia="黑体" w:cs="宋体"/>
          <w:bCs/>
          <w:kern w:val="0"/>
          <w:sz w:val="32"/>
          <w:szCs w:val="32"/>
          <w:highlight w:val="none"/>
          <w:lang w:val="en-US" w:eastAsia="zh-CN"/>
        </w:rPr>
        <w:t>九</w:t>
      </w:r>
      <w:r>
        <w:rPr>
          <w:rFonts w:hint="eastAsia" w:ascii="黑体" w:hAnsi="黑体" w:eastAsia="黑体" w:cs="宋体"/>
          <w:bCs/>
          <w:kern w:val="0"/>
          <w:sz w:val="32"/>
          <w:szCs w:val="32"/>
          <w:highlight w:val="none"/>
          <w:lang w:eastAsia="zh-CN"/>
        </w:rPr>
        <w:t>、国有资本经营预算财政拨款收入支出决算情况说明</w:t>
      </w:r>
      <w:bookmarkEnd w:id="42"/>
      <w:bookmarkEnd w:id="43"/>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eastAsia="zh-CN"/>
        </w:rPr>
        <w:t>我单位本年度无国有资本经营预算财政拨款收入、支出</w:t>
      </w:r>
      <w:r>
        <w:rPr>
          <w:rFonts w:hint="eastAsia" w:ascii="仿宋_GB2312" w:eastAsia="仿宋_GB2312"/>
          <w:sz w:val="32"/>
          <w:szCs w:val="32"/>
          <w:highlight w:val="none"/>
          <w:lang w:val="en-US" w:eastAsia="zh-CN"/>
        </w:rPr>
        <w:t>及结转和结余</w:t>
      </w:r>
      <w:r>
        <w:rPr>
          <w:rFonts w:hint="eastAsia" w:ascii="仿宋_GB2312" w:eastAsia="仿宋_GB2312"/>
          <w:sz w:val="32"/>
          <w:szCs w:val="32"/>
          <w:highlight w:val="none"/>
          <w:lang w:eastAsia="zh-CN"/>
        </w:rPr>
        <w:t>，国有资本经营</w:t>
      </w:r>
      <w:r>
        <w:rPr>
          <w:rFonts w:hint="eastAsia" w:ascii="仿宋_GB2312" w:eastAsia="仿宋_GB2312"/>
          <w:sz w:val="32"/>
          <w:szCs w:val="32"/>
          <w:highlight w:val="none"/>
        </w:rPr>
        <w:t>预算财政拨款收入支出决算表为空表。</w:t>
      </w:r>
      <w:r>
        <w:rPr>
          <w:rFonts w:hint="eastAsia" w:ascii="仿宋_GB2312" w:eastAsia="仿宋_GB2312"/>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44" w:name="_Toc10328"/>
      <w:bookmarkStart w:id="45" w:name="_Toc7314"/>
      <w:bookmarkStart w:id="46" w:name="_Toc15901"/>
      <w:r>
        <w:rPr>
          <w:rFonts w:hint="eastAsia" w:ascii="黑体" w:hAnsi="黑体" w:eastAsia="黑体" w:cs="宋体"/>
          <w:bCs/>
          <w:kern w:val="0"/>
          <w:sz w:val="32"/>
          <w:szCs w:val="32"/>
          <w:highlight w:val="none"/>
          <w:lang w:eastAsia="zh-CN"/>
        </w:rPr>
        <w:t>十</w:t>
      </w:r>
      <w:r>
        <w:rPr>
          <w:rFonts w:hint="eastAsia" w:ascii="黑体" w:hAnsi="黑体" w:eastAsia="黑体" w:cs="宋体"/>
          <w:bCs/>
          <w:kern w:val="0"/>
          <w:sz w:val="32"/>
          <w:szCs w:val="32"/>
          <w:highlight w:val="none"/>
        </w:rPr>
        <w:t>、其他重要事项的情况</w:t>
      </w:r>
      <w:r>
        <w:rPr>
          <w:rFonts w:hint="eastAsia" w:ascii="黑体" w:hAnsi="黑体" w:eastAsia="黑体" w:cs="宋体"/>
          <w:bCs/>
          <w:kern w:val="0"/>
          <w:sz w:val="32"/>
          <w:szCs w:val="32"/>
          <w:highlight w:val="none"/>
          <w:lang w:eastAsia="zh-CN"/>
        </w:rPr>
        <w:t>说明</w:t>
      </w:r>
      <w:bookmarkEnd w:id="44"/>
      <w:bookmarkEnd w:id="45"/>
      <w:bookmarkEnd w:id="46"/>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2"/>
        <w:rPr>
          <w:rFonts w:hint="eastAsia" w:ascii="黑体" w:hAnsi="黑体" w:eastAsia="黑体"/>
          <w:sz w:val="32"/>
          <w:szCs w:val="32"/>
          <w:highlight w:val="none"/>
        </w:rPr>
      </w:pPr>
      <w:bookmarkStart w:id="47" w:name="_Toc13105"/>
      <w:bookmarkStart w:id="48" w:name="_Toc30555"/>
      <w:bookmarkStart w:id="49" w:name="_Toc18970"/>
      <w:r>
        <w:rPr>
          <w:rFonts w:hint="eastAsia" w:ascii="黑体" w:hAnsi="黑体" w:eastAsia="黑体"/>
          <w:sz w:val="32"/>
          <w:szCs w:val="32"/>
          <w:highlight w:val="none"/>
          <w:lang w:eastAsia="zh-CN"/>
        </w:rPr>
        <w:t>（一）</w:t>
      </w:r>
      <w:r>
        <w:rPr>
          <w:rFonts w:hint="eastAsia" w:ascii="黑体" w:hAnsi="黑体" w:eastAsia="黑体"/>
          <w:sz w:val="32"/>
          <w:szCs w:val="32"/>
          <w:highlight w:val="none"/>
        </w:rPr>
        <w:t>机关运行经费支出情况</w:t>
      </w:r>
      <w:bookmarkEnd w:id="47"/>
      <w:bookmarkEnd w:id="48"/>
      <w:bookmarkEnd w:id="49"/>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新疆乌鲁木齐市水磨沟区南湖广场管理中心（事业单位）</w:t>
      </w:r>
      <w:r>
        <w:rPr>
          <w:rFonts w:hint="eastAsia" w:ascii="仿宋_GB2312" w:eastAsia="仿宋_GB2312"/>
          <w:color w:val="auto"/>
          <w:sz w:val="32"/>
          <w:szCs w:val="32"/>
          <w:highlight w:val="none"/>
          <w:lang w:eastAsia="zh-CN"/>
        </w:rPr>
        <w:t>公用经费</w:t>
      </w:r>
      <w:r>
        <w:rPr>
          <w:rFonts w:hint="eastAsia" w:ascii="仿宋_GB2312" w:eastAsia="仿宋_GB2312"/>
          <w:color w:val="auto"/>
          <w:sz w:val="32"/>
          <w:szCs w:val="32"/>
          <w:highlight w:val="none"/>
          <w:lang w:val="en-US" w:eastAsia="zh-CN"/>
        </w:rPr>
        <w:t>23.35</w:t>
      </w:r>
      <w:r>
        <w:rPr>
          <w:rFonts w:hint="eastAsia" w:ascii="仿宋_GB2312" w:eastAsia="仿宋_GB2312"/>
          <w:color w:val="auto"/>
          <w:sz w:val="32"/>
          <w:szCs w:val="32"/>
          <w:highlight w:val="none"/>
        </w:rPr>
        <w:t>万元，比上年增加</w:t>
      </w:r>
      <w:r>
        <w:rPr>
          <w:rFonts w:hint="eastAsia" w:ascii="仿宋_GB2312" w:eastAsia="仿宋_GB2312"/>
          <w:color w:val="auto"/>
          <w:sz w:val="32"/>
          <w:szCs w:val="32"/>
          <w:highlight w:val="none"/>
          <w:lang w:val="en-US" w:eastAsia="zh-CN"/>
        </w:rPr>
        <w:t>2.73</w:t>
      </w:r>
      <w:r>
        <w:rPr>
          <w:rFonts w:hint="eastAsia" w:ascii="仿宋_GB2312" w:eastAsia="仿宋_GB2312"/>
          <w:color w:val="auto"/>
          <w:sz w:val="32"/>
          <w:szCs w:val="32"/>
          <w:highlight w:val="none"/>
        </w:rPr>
        <w:t>万元，增长</w:t>
      </w:r>
      <w:r>
        <w:rPr>
          <w:rFonts w:hint="eastAsia" w:ascii="仿宋_GB2312" w:eastAsia="仿宋_GB2312"/>
          <w:color w:val="auto"/>
          <w:sz w:val="32"/>
          <w:szCs w:val="32"/>
          <w:highlight w:val="none"/>
          <w:lang w:val="en-US" w:eastAsia="zh-CN"/>
        </w:rPr>
        <w:t>13.24%</w:t>
      </w:r>
      <w:r>
        <w:rPr>
          <w:rFonts w:hint="eastAsia" w:ascii="仿宋_GB2312" w:eastAsia="仿宋_GB2312"/>
          <w:color w:val="auto"/>
          <w:sz w:val="32"/>
          <w:szCs w:val="32"/>
          <w:highlight w:val="none"/>
        </w:rPr>
        <w:t>，主要原因是</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lang w:val="en-US" w:eastAsia="zh-CN"/>
        </w:rPr>
        <w:t>本年度商品服务支出中劳务费增加</w:t>
      </w:r>
      <w:r>
        <w:rPr>
          <w:rFonts w:hint="eastAsia" w:ascii="仿宋_GB2312" w:eastAsia="仿宋_GB2312"/>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2"/>
        <w:rPr>
          <w:rFonts w:hint="eastAsia" w:ascii="黑体" w:hAnsi="黑体" w:eastAsia="黑体"/>
          <w:sz w:val="32"/>
          <w:szCs w:val="32"/>
          <w:highlight w:val="none"/>
          <w:lang w:eastAsia="zh-CN"/>
        </w:rPr>
      </w:pPr>
      <w:bookmarkStart w:id="50" w:name="_Toc20762"/>
      <w:bookmarkStart w:id="51" w:name="_Toc4448"/>
      <w:bookmarkStart w:id="52" w:name="_Toc26704"/>
      <w:r>
        <w:rPr>
          <w:rFonts w:hint="eastAsia" w:ascii="黑体" w:hAnsi="黑体" w:eastAsia="黑体"/>
          <w:sz w:val="32"/>
          <w:szCs w:val="32"/>
          <w:highlight w:val="none"/>
          <w:lang w:eastAsia="zh-CN"/>
        </w:rPr>
        <w:t>（二）政府采购情况</w:t>
      </w:r>
      <w:bookmarkEnd w:id="50"/>
      <w:bookmarkEnd w:id="51"/>
      <w:bookmarkEnd w:id="52"/>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pacing w:val="0"/>
          <w:sz w:val="32"/>
          <w:szCs w:val="32"/>
          <w:highlight w:val="none"/>
          <w:lang w:eastAsia="zh-CN"/>
        </w:rPr>
      </w:pPr>
      <w:r>
        <w:rPr>
          <w:rFonts w:hint="eastAsia" w:ascii="仿宋_GB2312" w:eastAsia="仿宋_GB2312"/>
          <w:spacing w:val="0"/>
          <w:sz w:val="32"/>
          <w:szCs w:val="32"/>
          <w:highlight w:val="none"/>
          <w:lang w:val="en-US" w:eastAsia="zh-CN"/>
        </w:rPr>
        <w:t>2022</w:t>
      </w:r>
      <w:r>
        <w:rPr>
          <w:rFonts w:hint="eastAsia" w:ascii="仿宋_GB2312" w:eastAsia="仿宋_GB2312"/>
          <w:spacing w:val="0"/>
          <w:sz w:val="32"/>
          <w:szCs w:val="32"/>
          <w:highlight w:val="none"/>
          <w:lang w:eastAsia="zh-CN"/>
        </w:rPr>
        <w:t>年度政府采购支出总额</w:t>
      </w:r>
      <w:r>
        <w:rPr>
          <w:rFonts w:hint="eastAsia" w:ascii="仿宋_GB2312" w:eastAsia="仿宋_GB2312"/>
          <w:spacing w:val="0"/>
          <w:sz w:val="32"/>
          <w:szCs w:val="32"/>
          <w:highlight w:val="none"/>
          <w:lang w:val="en-US" w:eastAsia="zh-CN"/>
        </w:rPr>
        <w:t>0.00</w:t>
      </w:r>
      <w:r>
        <w:rPr>
          <w:rFonts w:hint="eastAsia" w:ascii="仿宋_GB2312" w:eastAsia="仿宋_GB2312"/>
          <w:spacing w:val="0"/>
          <w:sz w:val="32"/>
          <w:szCs w:val="32"/>
          <w:highlight w:val="none"/>
          <w:lang w:eastAsia="zh-CN"/>
        </w:rPr>
        <w:t>万元，其中：政府采购货物支出</w:t>
      </w:r>
      <w:r>
        <w:rPr>
          <w:rFonts w:hint="eastAsia" w:ascii="仿宋_GB2312" w:eastAsia="仿宋_GB2312"/>
          <w:spacing w:val="0"/>
          <w:sz w:val="32"/>
          <w:szCs w:val="32"/>
          <w:highlight w:val="none"/>
          <w:lang w:val="en-US" w:eastAsia="zh-CN"/>
        </w:rPr>
        <w:t>0.00</w:t>
      </w:r>
      <w:r>
        <w:rPr>
          <w:rFonts w:hint="eastAsia" w:ascii="仿宋_GB2312" w:eastAsia="仿宋_GB2312"/>
          <w:spacing w:val="0"/>
          <w:sz w:val="32"/>
          <w:szCs w:val="32"/>
          <w:highlight w:val="none"/>
          <w:lang w:eastAsia="zh-CN"/>
        </w:rPr>
        <w:t>万元、政府采购工程支出</w:t>
      </w:r>
      <w:r>
        <w:rPr>
          <w:rFonts w:hint="eastAsia" w:ascii="仿宋_GB2312" w:eastAsia="仿宋_GB2312"/>
          <w:spacing w:val="0"/>
          <w:sz w:val="32"/>
          <w:szCs w:val="32"/>
          <w:highlight w:val="none"/>
          <w:lang w:val="en-US" w:eastAsia="zh-CN"/>
        </w:rPr>
        <w:t>0.00</w:t>
      </w:r>
      <w:r>
        <w:rPr>
          <w:rFonts w:hint="eastAsia" w:ascii="仿宋_GB2312" w:eastAsia="仿宋_GB2312"/>
          <w:spacing w:val="0"/>
          <w:sz w:val="32"/>
          <w:szCs w:val="32"/>
          <w:highlight w:val="none"/>
          <w:lang w:eastAsia="zh-CN"/>
        </w:rPr>
        <w:t>万元、政府采购服务支出</w:t>
      </w:r>
      <w:r>
        <w:rPr>
          <w:rFonts w:hint="eastAsia" w:ascii="仿宋_GB2312" w:eastAsia="仿宋_GB2312"/>
          <w:spacing w:val="0"/>
          <w:sz w:val="32"/>
          <w:szCs w:val="32"/>
          <w:highlight w:val="none"/>
          <w:lang w:val="en-US" w:eastAsia="zh-CN"/>
        </w:rPr>
        <w:t>0.00</w:t>
      </w:r>
      <w:r>
        <w:rPr>
          <w:rFonts w:hint="eastAsia" w:ascii="仿宋_GB2312" w:eastAsia="仿宋_GB2312"/>
          <w:spacing w:val="0"/>
          <w:sz w:val="32"/>
          <w:szCs w:val="32"/>
          <w:highlight w:val="none"/>
          <w:lang w:eastAsia="zh-CN"/>
        </w:rPr>
        <w:t>万元。</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pacing w:val="0"/>
          <w:sz w:val="32"/>
          <w:szCs w:val="32"/>
          <w:highlight w:val="none"/>
          <w:lang w:val="en-US" w:eastAsia="zh-CN"/>
        </w:rPr>
      </w:pPr>
      <w:r>
        <w:rPr>
          <w:rFonts w:hint="eastAsia" w:ascii="仿宋_GB2312" w:eastAsia="仿宋_GB2312"/>
          <w:spacing w:val="0"/>
          <w:sz w:val="32"/>
          <w:szCs w:val="32"/>
          <w:highlight w:val="none"/>
          <w:lang w:eastAsia="zh-CN"/>
        </w:rPr>
        <w:t>授予中小企业合同金额</w:t>
      </w:r>
      <w:r>
        <w:rPr>
          <w:rFonts w:hint="eastAsia" w:ascii="仿宋_GB2312" w:eastAsia="仿宋_GB2312"/>
          <w:spacing w:val="0"/>
          <w:sz w:val="32"/>
          <w:szCs w:val="32"/>
          <w:highlight w:val="none"/>
          <w:lang w:val="en-US" w:eastAsia="zh-CN"/>
        </w:rPr>
        <w:t>0.00</w:t>
      </w:r>
      <w:r>
        <w:rPr>
          <w:rFonts w:hint="eastAsia" w:ascii="仿宋_GB2312" w:eastAsia="仿宋_GB2312"/>
          <w:spacing w:val="0"/>
          <w:sz w:val="32"/>
          <w:szCs w:val="32"/>
          <w:highlight w:val="none"/>
          <w:lang w:eastAsia="zh-CN"/>
        </w:rPr>
        <w:t>万元，占政府采购支出总额的</w:t>
      </w:r>
      <w:r>
        <w:rPr>
          <w:rFonts w:hint="eastAsia" w:ascii="仿宋_GB2312" w:eastAsia="仿宋_GB2312"/>
          <w:spacing w:val="0"/>
          <w:sz w:val="32"/>
          <w:szCs w:val="32"/>
          <w:highlight w:val="none"/>
          <w:lang w:val="en-US" w:eastAsia="zh-CN"/>
        </w:rPr>
        <w:t>0.00%</w:t>
      </w:r>
      <w:r>
        <w:rPr>
          <w:rFonts w:hint="eastAsia" w:ascii="仿宋_GB2312" w:eastAsia="仿宋_GB2312"/>
          <w:spacing w:val="0"/>
          <w:sz w:val="32"/>
          <w:szCs w:val="32"/>
          <w:highlight w:val="none"/>
          <w:lang w:eastAsia="zh-CN"/>
        </w:rPr>
        <w:t>，其中：授予小微企业合同金额0</w:t>
      </w:r>
      <w:r>
        <w:rPr>
          <w:rFonts w:hint="eastAsia" w:ascii="仿宋_GB2312" w:eastAsia="仿宋_GB2312"/>
          <w:spacing w:val="0"/>
          <w:sz w:val="32"/>
          <w:szCs w:val="32"/>
          <w:highlight w:val="none"/>
          <w:lang w:val="en-US" w:eastAsia="zh-CN"/>
        </w:rPr>
        <w:t>.00</w:t>
      </w:r>
      <w:r>
        <w:rPr>
          <w:rFonts w:hint="eastAsia" w:ascii="仿宋_GB2312" w:eastAsia="仿宋_GB2312"/>
          <w:spacing w:val="0"/>
          <w:sz w:val="32"/>
          <w:szCs w:val="32"/>
          <w:highlight w:val="none"/>
          <w:lang w:eastAsia="zh-CN"/>
        </w:rPr>
        <w:t>万元，占政府采购支出总额的</w:t>
      </w:r>
      <w:r>
        <w:rPr>
          <w:rFonts w:hint="eastAsia" w:ascii="仿宋_GB2312" w:eastAsia="仿宋_GB2312"/>
          <w:spacing w:val="0"/>
          <w:sz w:val="32"/>
          <w:szCs w:val="32"/>
          <w:highlight w:val="none"/>
          <w:lang w:val="en-US" w:eastAsia="zh-CN"/>
        </w:rPr>
        <w:t>0.00%。</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outlineLvl w:val="2"/>
        <w:rPr>
          <w:rFonts w:hint="eastAsia" w:ascii="黑体" w:hAnsi="黑体" w:eastAsia="黑体"/>
          <w:sz w:val="32"/>
          <w:szCs w:val="32"/>
          <w:highlight w:val="none"/>
          <w:lang w:eastAsia="zh-CN"/>
        </w:rPr>
      </w:pPr>
      <w:bookmarkStart w:id="53" w:name="_Toc4591"/>
      <w:bookmarkStart w:id="54" w:name="_Toc28327"/>
      <w:bookmarkStart w:id="55" w:name="_Toc12816"/>
      <w:r>
        <w:rPr>
          <w:rFonts w:hint="eastAsia" w:ascii="黑体" w:hAnsi="黑体" w:eastAsia="黑体"/>
          <w:sz w:val="32"/>
          <w:szCs w:val="32"/>
          <w:highlight w:val="none"/>
          <w:lang w:eastAsia="zh-CN"/>
        </w:rPr>
        <w:t>（三）国有资产占用情况说明</w:t>
      </w:r>
      <w:bookmarkEnd w:id="53"/>
      <w:bookmarkEnd w:id="54"/>
      <w:bookmarkEnd w:id="55"/>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pacing w:val="0"/>
          <w:sz w:val="32"/>
          <w:szCs w:val="32"/>
          <w:highlight w:val="none"/>
          <w:lang w:val="en-US" w:eastAsia="zh-CN"/>
        </w:rPr>
      </w:pPr>
      <w:r>
        <w:rPr>
          <w:rFonts w:hint="eastAsia" w:ascii="仿宋_GB2312" w:eastAsia="仿宋_GB2312"/>
          <w:spacing w:val="0"/>
          <w:sz w:val="32"/>
          <w:szCs w:val="32"/>
          <w:highlight w:val="none"/>
          <w:lang w:val="en-US" w:eastAsia="zh-CN"/>
        </w:rPr>
        <w:t>截止2022年12月31日，固定资产原值268.27万元，房屋428平方米，价值60.85万元。车辆14辆，价值35.72万元，其中：副部（省）级及以上领导用车0辆、主要领导干部用车1辆、机要通信用车0辆、应急保障用车0辆、执法执勤用车0辆、特种专业技术用车0辆、离退休干部用车0辆、其他用车13辆，其他用车主要是：</w:t>
      </w:r>
      <w:r>
        <w:rPr>
          <w:rFonts w:hint="eastAsia" w:ascii="仿宋_GB2312" w:eastAsia="仿宋_GB2312"/>
          <w:kern w:val="0"/>
          <w:sz w:val="32"/>
          <w:highlight w:val="none"/>
          <w:lang w:val="en-US" w:eastAsia="zh-CN"/>
        </w:rPr>
        <w:t>单位</w:t>
      </w:r>
      <w:r>
        <w:rPr>
          <w:rFonts w:hint="eastAsia" w:ascii="仿宋_GB2312" w:eastAsia="仿宋_GB2312"/>
          <w:spacing w:val="0"/>
          <w:sz w:val="32"/>
          <w:szCs w:val="32"/>
          <w:highlight w:val="none"/>
          <w:lang w:val="en-US" w:eastAsia="zh-CN"/>
        </w:rPr>
        <w:t>巡逻车、清雪车滑移机、垃圾清理、洒水车等；单价100万元（含）以上设备（不含车辆）0台（套）。</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bookmarkStart w:id="56" w:name="_Toc14323"/>
      <w:bookmarkStart w:id="57" w:name="_Toc9222"/>
      <w:bookmarkStart w:id="58" w:name="_Toc435"/>
      <w:r>
        <w:rPr>
          <w:rFonts w:hint="eastAsia" w:ascii="黑体" w:hAnsi="黑体" w:eastAsia="黑体" w:cs="宋体"/>
          <w:bCs/>
          <w:kern w:val="0"/>
          <w:sz w:val="32"/>
          <w:szCs w:val="32"/>
          <w:highlight w:val="none"/>
          <w:lang w:eastAsia="zh-CN"/>
        </w:rPr>
        <w:t>十</w:t>
      </w:r>
      <w:r>
        <w:rPr>
          <w:rFonts w:hint="eastAsia" w:ascii="黑体" w:hAnsi="黑体" w:eastAsia="黑体" w:cs="宋体"/>
          <w:bCs/>
          <w:kern w:val="0"/>
          <w:sz w:val="32"/>
          <w:szCs w:val="32"/>
          <w:highlight w:val="none"/>
          <w:lang w:val="en-US" w:eastAsia="zh-CN"/>
        </w:rPr>
        <w:t>一</w:t>
      </w:r>
      <w:r>
        <w:rPr>
          <w:rFonts w:hint="eastAsia" w:ascii="黑体" w:hAnsi="黑体" w:eastAsia="黑体" w:cs="宋体"/>
          <w:bCs/>
          <w:kern w:val="0"/>
          <w:sz w:val="32"/>
          <w:szCs w:val="32"/>
          <w:highlight w:val="none"/>
          <w:lang w:eastAsia="zh-CN"/>
        </w:rPr>
        <w:t>、预算绩效的情况说明</w:t>
      </w:r>
      <w:bookmarkEnd w:id="56"/>
      <w:bookmarkEnd w:id="57"/>
      <w:bookmarkEnd w:id="58"/>
    </w:p>
    <w:p>
      <w:pPr>
        <w:shd w:val="clear" w:color="auto" w:fill="FFFFFF"/>
        <w:spacing w:beforeLines="0" w:afterLines="0" w:line="360" w:lineRule="auto"/>
        <w:ind w:firstLine="640"/>
        <w:rPr>
          <w:rFonts w:hint="eastAsia" w:ascii="仿宋_GB2312" w:eastAsia="仿宋_GB2312"/>
          <w:sz w:val="32"/>
          <w:szCs w:val="32"/>
          <w:highlight w:val="none"/>
          <w:lang w:eastAsia="zh-CN"/>
        </w:rPr>
      </w:pPr>
      <w:r>
        <w:rPr>
          <w:rFonts w:hint="eastAsia" w:ascii="仿宋_GB2312" w:eastAsia="仿宋_GB2312"/>
          <w:sz w:val="32"/>
          <w:szCs w:val="32"/>
          <w:highlight w:val="none"/>
          <w:lang w:eastAsia="zh-CN"/>
        </w:rPr>
        <w:t>根据预算绩效管理要求，我单位2022年度开展预算绩效评价项目1个，全年预算数 3.87万元，全年执行数3.87万元。预算绩效管理取得的成效:一是有序完成设定目标的部分工作任务，对南湖广场250000平方米绿地进行绿地养护，养护验收合格率为80%，乔木涂白28100余株，维修改造管线4850米，使用自来水公司绿化用水267916立方，水车浇水1000车。从而保证了全年绿化用水，使园内乔灌花草生长茂盛，枝繁叶茂，改善了园区绿化环境。灌木补植3000株，药物防治15轮，加快提高绿地等级的步伐，全面改善园林绿化环境质量，强化绿地的常态管理，使绿化养护工作逐步走上标准化、精细化、科学化管理的轨道;二是结合南湖广场绿化养护的实际情况，在项目期间，加大绿化种植养护过来力度，更新养护管理观念，以精细化养护为手段，创新工作理念，努力提高绿化覆盖率，完成了南湖广场绿化养护的各项工作，不断巩固提升园林创建成果，奋力打造城市公园建设，建设良好生态环境，提升群众生活幸福指数。</w:t>
      </w:r>
    </w:p>
    <w:p>
      <w:pPr>
        <w:shd w:val="clear" w:color="auto" w:fill="FFFFFF"/>
        <w:spacing w:beforeLines="0" w:afterLines="0" w:line="360" w:lineRule="auto"/>
        <w:ind w:firstLine="640"/>
        <w:rPr>
          <w:rFonts w:hint="eastAsia" w:ascii="仿宋_GB2312" w:eastAsia="仿宋_GB2312"/>
          <w:sz w:val="32"/>
          <w:szCs w:val="32"/>
          <w:highlight w:val="none"/>
          <w:lang w:eastAsia="zh-CN"/>
        </w:rPr>
      </w:pPr>
      <w:r>
        <w:rPr>
          <w:rFonts w:hint="eastAsia" w:ascii="仿宋_GB2312" w:eastAsia="仿宋_GB2312"/>
          <w:sz w:val="32"/>
          <w:szCs w:val="32"/>
          <w:highlight w:val="none"/>
          <w:lang w:eastAsia="zh-CN"/>
        </w:rPr>
        <w:t>发现的问题及原因:一是管理资金不足。对城市园林绿化与养护过程中需要投入大量的资金最为基础，能够有效提升园林景观，对城市环境的改善尤为重要;二是工作人员素质较低。由于我国较多城市园林绿化养护管理人员主要是以中老年为主，综合素质普遍较低，并且专业技能严重缺乏，致使园林绿化养护达不到一定要求。除了除草与施肥之外，不具备专业的技能，较大程度降低了植被的成活率，直接影响了园林绿化与养护工作。</w:t>
      </w:r>
    </w:p>
    <w:p>
      <w:pPr>
        <w:shd w:val="clear" w:color="auto" w:fill="FFFFFF"/>
        <w:spacing w:beforeLines="0" w:afterLines="0" w:line="360" w:lineRule="auto"/>
        <w:ind w:firstLine="640"/>
        <w:rPr>
          <w:rFonts w:hint="eastAsia" w:ascii="仿宋_GB2312" w:eastAsia="仿宋_GB2312"/>
          <w:sz w:val="32"/>
          <w:szCs w:val="32"/>
          <w:highlight w:val="none"/>
          <w:lang w:eastAsia="zh-CN"/>
        </w:rPr>
      </w:pPr>
      <w:r>
        <w:rPr>
          <w:rFonts w:hint="eastAsia" w:ascii="仿宋_GB2312" w:eastAsia="仿宋_GB2312"/>
          <w:sz w:val="32"/>
          <w:szCs w:val="32"/>
          <w:highlight w:val="none"/>
          <w:lang w:eastAsia="zh-CN"/>
        </w:rPr>
        <w:t>下一步改进措施:一是加强养护科学管理。确保园林景观效果大幅提升，如进一步完善管理养护考核制度，实行奖勤罚懒、奖优罚劣。加强教育培训，提升工人养护技能，对于现有的养护人员，需要定期向员工提供园林绿化养护培训和专业技术知识，并注意对培训结果进行考察，以督促工作人员真正学习。如果检查出不合格的工作人员，应对其进行多次培训，直到其真正掌握了专业的知识与技能后再允许继续工作。除此之外，还应鼓励和督促相关的工作人员结合实际养护工作经验改进养护程序和做法，以制定适合当地情况的合适的养护策略。维护人员可以将养护工作视为与整个园林项目不可分割的一部分，然后以各种方式提高保护意识;二是增强内控意识，强化单位负责人的会计与内控责任单位负责人在单位内部控制体系中居于主导地位。加强预算执行中对预算执行情况定期分析、沟通，及时就预算执行情况进行跟踪，提前报批追加或调整预算。提高单位负责人重视预算管理意识，积极转变观念，加强收支审核制度，避免资金被挤占。加强预算执行的管理，单位负责人应根据财务数据、项目进度定期组织会议及时反馈纠正偏差，积极有效推进各项目工作。</w:t>
      </w:r>
    </w:p>
    <w:p>
      <w:pPr>
        <w:shd w:val="clear" w:color="auto" w:fill="FFFFFF"/>
        <w:spacing w:beforeLines="0" w:afterLines="0" w:line="360" w:lineRule="auto"/>
        <w:ind w:firstLine="640"/>
        <w:rPr>
          <w:rFonts w:hint="eastAsia" w:ascii="仿宋_GB2312" w:eastAsia="仿宋_GB2312"/>
          <w:sz w:val="32"/>
          <w:szCs w:val="32"/>
          <w:highlight w:val="none"/>
          <w:lang w:eastAsia="zh-CN"/>
        </w:rPr>
      </w:pPr>
    </w:p>
    <w:p>
      <w:pPr>
        <w:shd w:val="clear" w:color="auto" w:fill="FFFFFF"/>
        <w:spacing w:beforeLines="0" w:afterLines="0" w:line="360" w:lineRule="auto"/>
        <w:ind w:firstLine="640"/>
        <w:rPr>
          <w:rFonts w:hint="eastAsia" w:ascii="仿宋_GB2312" w:eastAsia="仿宋_GB2312"/>
          <w:sz w:val="32"/>
          <w:szCs w:val="32"/>
          <w:highlight w:val="none"/>
          <w:lang w:eastAsia="zh-CN"/>
        </w:rPr>
      </w:pPr>
    </w:p>
    <w:tbl>
      <w:tblPr>
        <w:tblStyle w:val="8"/>
        <w:tblW w:w="908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23"/>
        <w:gridCol w:w="690"/>
        <w:gridCol w:w="840"/>
        <w:gridCol w:w="346"/>
        <w:gridCol w:w="90"/>
        <w:gridCol w:w="1730"/>
        <w:gridCol w:w="90"/>
        <w:gridCol w:w="856"/>
        <w:gridCol w:w="675"/>
        <w:gridCol w:w="90"/>
        <w:gridCol w:w="660"/>
        <w:gridCol w:w="45"/>
        <w:gridCol w:w="90"/>
        <w:gridCol w:w="237"/>
        <w:gridCol w:w="296"/>
        <w:gridCol w:w="90"/>
        <w:gridCol w:w="191"/>
        <w:gridCol w:w="679"/>
        <w:gridCol w:w="90"/>
        <w:gridCol w:w="7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05" w:hRule="atLeast"/>
        </w:trPr>
        <w:tc>
          <w:tcPr>
            <w:tcW w:w="9088" w:type="dxa"/>
            <w:gridSpan w:val="20"/>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项目支出绩效自评表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70" w:hRule="atLeast"/>
        </w:trPr>
        <w:tc>
          <w:tcPr>
            <w:tcW w:w="9088" w:type="dxa"/>
            <w:gridSpan w:val="20"/>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6"/>
                <w:szCs w:val="16"/>
                <w:u w:val="none"/>
              </w:rPr>
            </w:pPr>
            <w:r>
              <w:rPr>
                <w:rFonts w:hint="eastAsia" w:ascii="宋体" w:hAnsi="宋体" w:eastAsia="宋体" w:cs="宋体"/>
                <w:i w:val="0"/>
                <w:color w:val="000000"/>
                <w:kern w:val="0"/>
                <w:sz w:val="16"/>
                <w:szCs w:val="16"/>
                <w:u w:val="none"/>
                <w:lang w:val="en-US" w:eastAsia="zh-CN" w:bidi="ar"/>
              </w:rPr>
              <w:t>(2022年度)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项目名称</w:t>
            </w:r>
          </w:p>
        </w:tc>
        <w:tc>
          <w:tcPr>
            <w:tcW w:w="8565" w:type="dxa"/>
            <w:gridSpan w:val="19"/>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市场化养护经费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主管部门</w:t>
            </w:r>
          </w:p>
        </w:tc>
        <w:tc>
          <w:tcPr>
            <w:tcW w:w="5317"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乌鲁木齐市水磨沟区南湖广场管理中心</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实施单位</w:t>
            </w:r>
          </w:p>
        </w:tc>
        <w:tc>
          <w:tcPr>
            <w:tcW w:w="2453"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乌鲁木齐市水磨沟区南湖广场管理中心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项目资金</w:t>
            </w:r>
            <w:r>
              <w:rPr>
                <w:rFonts w:hint="eastAsia" w:ascii="宋体" w:hAnsi="宋体" w:eastAsia="宋体" w:cs="宋体"/>
                <w:i w:val="0"/>
                <w:color w:val="000000"/>
                <w:kern w:val="0"/>
                <w:sz w:val="21"/>
                <w:szCs w:val="21"/>
                <w:u w:val="none"/>
                <w:lang w:val="en-US" w:eastAsia="zh-CN" w:bidi="ar"/>
              </w:rPr>
              <w:br w:type="textWrapping"/>
            </w:r>
            <w:r>
              <w:rPr>
                <w:rFonts w:hint="eastAsia" w:ascii="宋体" w:hAnsi="宋体" w:eastAsia="宋体" w:cs="宋体"/>
                <w:i w:val="0"/>
                <w:color w:val="000000"/>
                <w:kern w:val="0"/>
                <w:sz w:val="21"/>
                <w:szCs w:val="21"/>
                <w:u w:val="none"/>
                <w:lang w:val="en-US" w:eastAsia="zh-CN" w:bidi="ar"/>
              </w:rPr>
              <w:t>（万元）</w:t>
            </w:r>
          </w:p>
        </w:tc>
        <w:tc>
          <w:tcPr>
            <w:tcW w:w="187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8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年初预算数</w:t>
            </w:r>
          </w:p>
        </w:tc>
        <w:tc>
          <w:tcPr>
            <w:tcW w:w="16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全年预算数</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全年执行数</w:t>
            </w:r>
          </w:p>
        </w:tc>
        <w:tc>
          <w:tcPr>
            <w:tcW w:w="62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分值</w:t>
            </w:r>
          </w:p>
        </w:tc>
        <w:tc>
          <w:tcPr>
            <w:tcW w:w="96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执行率</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87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年度资金总额</w:t>
            </w:r>
          </w:p>
        </w:tc>
        <w:tc>
          <w:tcPr>
            <w:tcW w:w="18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16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62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96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100.00%</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87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其中：当年财政拨款</w:t>
            </w:r>
          </w:p>
        </w:tc>
        <w:tc>
          <w:tcPr>
            <w:tcW w:w="18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16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62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c>
          <w:tcPr>
            <w:tcW w:w="96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87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      上年结转资金</w:t>
            </w:r>
          </w:p>
        </w:tc>
        <w:tc>
          <w:tcPr>
            <w:tcW w:w="18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w:t>
            </w:r>
          </w:p>
        </w:tc>
        <w:tc>
          <w:tcPr>
            <w:tcW w:w="16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w:t>
            </w:r>
          </w:p>
        </w:tc>
        <w:tc>
          <w:tcPr>
            <w:tcW w:w="62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c>
          <w:tcPr>
            <w:tcW w:w="96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876"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 xml:space="preserve">  其他资金</w:t>
            </w:r>
          </w:p>
        </w:tc>
        <w:tc>
          <w:tcPr>
            <w:tcW w:w="182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w:t>
            </w:r>
          </w:p>
        </w:tc>
        <w:tc>
          <w:tcPr>
            <w:tcW w:w="1621"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w:t>
            </w:r>
          </w:p>
        </w:tc>
        <w:tc>
          <w:tcPr>
            <w:tcW w:w="795"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w:t>
            </w:r>
          </w:p>
        </w:tc>
        <w:tc>
          <w:tcPr>
            <w:tcW w:w="62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c>
          <w:tcPr>
            <w:tcW w:w="960"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c>
          <w:tcPr>
            <w:tcW w:w="87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年度总体目标</w:t>
            </w:r>
          </w:p>
        </w:tc>
        <w:tc>
          <w:tcPr>
            <w:tcW w:w="5317"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预期目标</w:t>
            </w:r>
          </w:p>
        </w:tc>
        <w:tc>
          <w:tcPr>
            <w:tcW w:w="3248" w:type="dxa"/>
            <w:gridSpan w:val="11"/>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5317" w:type="dxa"/>
            <w:gridSpan w:val="8"/>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用于南湖广场日常管理、绿化管养、卫生保洁、设施管理维护及公共场所安全实施，并建立日常工作执行反馈制度，每周召开工作例会，听取工作汇报，并对工作任务进行分解、安排，对存在的问题提出整改意见或改进措施，落实责任并限时整改。严格考核考评制度，每月实施考核。严格考核验收制度，对养护中管养死亡的乔灌木，由管护单位自行补植。</w:t>
            </w:r>
          </w:p>
        </w:tc>
        <w:tc>
          <w:tcPr>
            <w:tcW w:w="3248" w:type="dxa"/>
            <w:gridSpan w:val="11"/>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br w:type="textWrapping"/>
            </w:r>
            <w:r>
              <w:rPr>
                <w:rFonts w:hint="eastAsia" w:ascii="宋体" w:hAnsi="宋体" w:eastAsia="宋体" w:cs="宋体"/>
                <w:i w:val="0"/>
                <w:color w:val="000000"/>
                <w:kern w:val="0"/>
                <w:sz w:val="21"/>
                <w:szCs w:val="21"/>
                <w:u w:val="none"/>
                <w:lang w:val="en-US" w:eastAsia="zh-CN" w:bidi="ar"/>
              </w:rPr>
              <w:t>结合南湖广场绿化养护的实际情况，在项目期间，加大绿化种植养护过来力度，更新养护管理观念，以精细化养护为手段，创新工作理念，提高绿化覆盖率，完成了南湖广场绿化养护的各项工作，不断巩固提升园林创建成果，奋力打造城市公园建设，建设良好生态环境，提升群众生活幸福指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840" w:type="dxa"/>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436"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1820"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856" w:type="dxa"/>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765"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660"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135"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237" w:type="dxa"/>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386"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191" w:type="dxa"/>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76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c>
          <w:tcPr>
            <w:tcW w:w="78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top"/>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一级指标</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二级指标</w:t>
            </w:r>
          </w:p>
        </w:tc>
        <w:tc>
          <w:tcPr>
            <w:tcW w:w="3112" w:type="dxa"/>
            <w:gridSpan w:val="5"/>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三级指标</w:t>
            </w:r>
          </w:p>
        </w:tc>
        <w:tc>
          <w:tcPr>
            <w:tcW w:w="76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年度指标值</w:t>
            </w: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实际完成值</w:t>
            </w:r>
          </w:p>
        </w:tc>
        <w:tc>
          <w:tcPr>
            <w:tcW w:w="372"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分值</w:t>
            </w:r>
          </w:p>
        </w:tc>
        <w:tc>
          <w:tcPr>
            <w:tcW w:w="577"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得分</w:t>
            </w:r>
          </w:p>
        </w:tc>
        <w:tc>
          <w:tcPr>
            <w:tcW w:w="1549" w:type="dxa"/>
            <w:gridSpan w:val="3"/>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偏差原因分析及改进措施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3112"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76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37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57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4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年度绩效指标完成情况</w:t>
            </w: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产出指标</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数量指标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绿化养护面积</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=100000平方米</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250000平方米</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质量指标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乔木成活率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&gt;=85%</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4.71</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由于存在病虫害，天气原因以及种苗本身等客观因素。实际完成80%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质量指标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养护验收合格率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&gt;=85%</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9.41</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由于客观天气、环境、经费等原因，存在一定影响，同时现场操作人员经验技术需要进一步培训提高。养护实际验收质量达标率为80%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时效指标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市场化养护期限</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&lt;=12个月</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12个月</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时效指标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经费支付及时率</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&gt;=90%</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成本指标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每平方米养护成本</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=0.38元</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13.38元</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效益指标</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经济效益指标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社会效益指标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提升广场绿化水平，为市民提供休憩娱乐的优质绿化环境</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有效提升</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完全达到预期效果</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生态效益指标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提高林木绿化率，改善周边生态环境</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有效提高</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完全达到预期效果</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可持续影响指标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52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满意度指标</w:t>
            </w: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满意度指标</w:t>
            </w:r>
          </w:p>
        </w:tc>
        <w:tc>
          <w:tcPr>
            <w:tcW w:w="3112"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市民满意度</w:t>
            </w: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&gt;=90%</w:t>
            </w: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98.57%</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6"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436" w:type="dxa"/>
            <w:gridSpan w:val="2"/>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c>
          <w:tcPr>
            <w:tcW w:w="1820"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c>
          <w:tcPr>
            <w:tcW w:w="85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1"/>
                <w:szCs w:val="21"/>
                <w:u w:val="none"/>
              </w:rPr>
            </w:pPr>
          </w:p>
        </w:tc>
        <w:tc>
          <w:tcPr>
            <w:tcW w:w="765"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6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35" w:type="dxa"/>
            <w:gridSpan w:val="2"/>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2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386" w:type="dxa"/>
            <w:gridSpan w:val="2"/>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9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76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7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96" w:hRule="atLeast"/>
        </w:trPr>
        <w:tc>
          <w:tcPr>
            <w:tcW w:w="6590" w:type="dxa"/>
            <w:gridSpan w:val="11"/>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总分</w:t>
            </w:r>
          </w:p>
        </w:tc>
        <w:tc>
          <w:tcPr>
            <w:tcW w:w="372"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57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99.12分</w:t>
            </w:r>
          </w:p>
        </w:tc>
        <w:tc>
          <w:tcPr>
            <w:tcW w:w="1549"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r>
    </w:tbl>
    <w:p>
      <w:pPr>
        <w:shd w:val="clear" w:color="auto" w:fill="FFFFFF"/>
        <w:spacing w:beforeLines="0" w:afterLines="0" w:line="360" w:lineRule="auto"/>
        <w:ind w:firstLine="640"/>
        <w:rPr>
          <w:rFonts w:hint="eastAsia" w:ascii="仿宋_GB2312" w:eastAsia="仿宋_GB2312"/>
          <w:sz w:val="32"/>
          <w:szCs w:val="32"/>
          <w:highlight w:val="none"/>
          <w:lang w:eastAsia="zh-CN"/>
        </w:rPr>
      </w:pPr>
    </w:p>
    <w:p>
      <w:pPr>
        <w:shd w:val="clear" w:color="auto" w:fill="FFFFFF"/>
        <w:spacing w:beforeLines="0" w:afterLines="0" w:line="360" w:lineRule="auto"/>
        <w:ind w:firstLine="640"/>
        <w:rPr>
          <w:rFonts w:hint="eastAsia" w:ascii="仿宋_GB2312" w:eastAsia="仿宋_GB2312"/>
          <w:sz w:val="32"/>
          <w:szCs w:val="32"/>
          <w:highlight w:val="none"/>
          <w:lang w:eastAsia="zh-CN"/>
        </w:rPr>
      </w:pPr>
    </w:p>
    <w:p>
      <w:pPr>
        <w:shd w:val="clear" w:color="auto" w:fill="FFFFFF"/>
        <w:spacing w:beforeLines="0" w:afterLines="0" w:line="360" w:lineRule="auto"/>
        <w:ind w:firstLine="640"/>
        <w:rPr>
          <w:rFonts w:hint="eastAsia" w:ascii="仿宋_GB2312" w:eastAsia="仿宋_GB2312"/>
          <w:sz w:val="32"/>
          <w:szCs w:val="32"/>
          <w:highlight w:val="none"/>
          <w:lang w:eastAsia="zh-CN"/>
        </w:rPr>
      </w:pPr>
    </w:p>
    <w:p>
      <w:pPr>
        <w:shd w:val="clear" w:color="auto" w:fill="FFFFFF"/>
        <w:spacing w:beforeLines="0" w:afterLines="0" w:line="360" w:lineRule="auto"/>
        <w:ind w:firstLine="640"/>
        <w:rPr>
          <w:rFonts w:hint="eastAsia" w:ascii="仿宋_GB2312" w:eastAsia="仿宋_GB2312"/>
          <w:sz w:val="32"/>
          <w:szCs w:val="32"/>
          <w:highlight w:val="none"/>
          <w:lang w:eastAsia="zh-CN"/>
        </w:rPr>
      </w:pPr>
    </w:p>
    <w:p>
      <w:pPr>
        <w:shd w:val="clear" w:color="auto" w:fill="FFFFFF"/>
        <w:spacing w:beforeLines="0" w:afterLines="0" w:line="360" w:lineRule="auto"/>
        <w:rPr>
          <w:rFonts w:hint="eastAsia" w:ascii="仿宋_GB2312" w:eastAsia="仿宋_GB2312"/>
          <w:sz w:val="32"/>
          <w:szCs w:val="32"/>
          <w:highlight w:val="yellow"/>
          <w:lang w:eastAsia="zh-CN"/>
        </w:rPr>
      </w:pP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yellow"/>
          <w:lang w:eastAsia="zh-CN"/>
        </w:rPr>
      </w:pP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center"/>
        <w:textAlignment w:val="auto"/>
        <w:outlineLvl w:val="0"/>
        <w:rPr>
          <w:rFonts w:hint="eastAsia" w:ascii="黑体" w:hAnsi="黑体" w:eastAsia="黑体"/>
          <w:sz w:val="32"/>
          <w:szCs w:val="32"/>
          <w:highlight w:val="none"/>
        </w:rPr>
      </w:pPr>
      <w:bookmarkStart w:id="59" w:name="_Toc24143"/>
      <w:r>
        <w:rPr>
          <w:rFonts w:hint="eastAsia" w:ascii="黑体" w:hAnsi="黑体" w:eastAsia="黑体"/>
          <w:sz w:val="32"/>
          <w:szCs w:val="32"/>
          <w:highlight w:val="none"/>
        </w:rPr>
        <w:br w:type="page"/>
      </w:r>
      <w:bookmarkStart w:id="60" w:name="_Toc4580"/>
      <w:bookmarkStart w:id="61" w:name="_Toc10437"/>
      <w:r>
        <w:rPr>
          <w:rFonts w:hint="eastAsia" w:ascii="黑体" w:hAnsi="黑体" w:eastAsia="黑体"/>
          <w:sz w:val="32"/>
          <w:szCs w:val="32"/>
          <w:highlight w:val="none"/>
        </w:rPr>
        <w:t>第三部分 专业名词解释</w:t>
      </w:r>
      <w:bookmarkEnd w:id="59"/>
      <w:bookmarkEnd w:id="60"/>
      <w:bookmarkEnd w:id="61"/>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财政拨款收入：指同级财政当年拨付的资金。</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上级补助收入：指事业单位从主管部门和上级单位取得的非财政补助收入。</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事业收入：指事业单位开展专业业务活动及其辅助活动所取得的收入。</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经营收入：指事业单位在专业业务活动及其辅助活动之外开展非独立核算经营活动取得的收入。</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附属单位上缴收入：指事业单位附属的独立核算单位按有关规定上缴的收入。</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其他收入：指除上述“财政拨款收入”、“事业收入”、“经营收入”、“附属单位上缴收入”等之外取得的收入。</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eastAsia="zh-CN"/>
        </w:rPr>
        <w:t>年初</w:t>
      </w:r>
      <w:r>
        <w:rPr>
          <w:rFonts w:hint="eastAsia" w:ascii="仿宋_GB2312" w:eastAsia="仿宋_GB2312"/>
          <w:sz w:val="32"/>
          <w:szCs w:val="32"/>
          <w:highlight w:val="none"/>
        </w:rPr>
        <w:t>结转和结余：指以前年度支出预算因客观条件变化未执行完毕、结转到本年度按有关规定继续使用的资金，既包括财政拨款结转和结余，也包括事业收入、经营收入、其他收入的结转和结余。</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年末结转和结余：指本年度或以前年度预算安排、因客观条件发生变化无法按原计划实施，需要延迟到以后年度按有关规定继续使用的资金，既包括财政拨款结转和结余，也包括事业收入、经营收入、其他收入的结转和结余。</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基本支出：指为保障机构正常运转、完成日常工作任务而发生的人员支出和公用支出。</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项目支出：指在基本支出之外为完成特定行政任务和事业发展目标所发生的支出。</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经营支出：指事业单位在专业业务活动及其辅助活动之外开展非独立核算经营活动发生的支出。</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对附属单位补助支出：指事业单位发生的用非财政预算资金对附属单位的补助支出。</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rPr>
        <w:t>“三公”经费：指用财政拨款安排的因公出国（境）费、公务用车购置及运行费和公务接待费。其中，因公出国（境）费反映单位公务出国（境）的</w:t>
      </w:r>
      <w:r>
        <w:rPr>
          <w:rFonts w:hint="eastAsia" w:ascii="仿宋_GB2312" w:eastAsia="仿宋_GB2312"/>
          <w:sz w:val="32"/>
          <w:szCs w:val="32"/>
          <w:highlight w:val="none"/>
          <w:lang w:eastAsia="zh-CN"/>
        </w:rPr>
        <w:t>国际旅费、国外城市间交通费、</w:t>
      </w:r>
      <w:r>
        <w:rPr>
          <w:rFonts w:hint="eastAsia" w:ascii="仿宋_GB2312" w:eastAsia="仿宋_GB2312"/>
          <w:sz w:val="32"/>
          <w:szCs w:val="32"/>
          <w:highlight w:val="none"/>
        </w:rPr>
        <w:t>住宿费、伙食费、培训费、</w:t>
      </w:r>
      <w:r>
        <w:rPr>
          <w:rFonts w:hint="eastAsia" w:ascii="仿宋_GB2312" w:eastAsia="仿宋_GB2312"/>
          <w:sz w:val="32"/>
          <w:szCs w:val="32"/>
          <w:highlight w:val="none"/>
          <w:lang w:eastAsia="zh-CN"/>
        </w:rPr>
        <w:t>公</w:t>
      </w:r>
      <w:r>
        <w:rPr>
          <w:rFonts w:hint="eastAsia" w:ascii="仿宋_GB2312" w:eastAsia="仿宋_GB2312"/>
          <w:sz w:val="32"/>
          <w:szCs w:val="32"/>
          <w:highlight w:val="none"/>
        </w:rPr>
        <w:t>杂费等支出；公务用车购置费</w:t>
      </w:r>
      <w:r>
        <w:rPr>
          <w:rFonts w:hint="eastAsia" w:ascii="仿宋_GB2312" w:eastAsia="仿宋_GB2312"/>
          <w:sz w:val="32"/>
          <w:szCs w:val="32"/>
          <w:highlight w:val="none"/>
          <w:lang w:eastAsia="zh-CN"/>
        </w:rPr>
        <w:t>反映公务用车购置支出（含车辆购置税、牌照费）；</w:t>
      </w:r>
      <w:r>
        <w:rPr>
          <w:rFonts w:hint="eastAsia" w:ascii="仿宋_GB2312" w:eastAsia="仿宋_GB2312"/>
          <w:sz w:val="32"/>
          <w:szCs w:val="32"/>
          <w:highlight w:val="none"/>
        </w:rPr>
        <w:t>公务用车运行</w:t>
      </w:r>
      <w:r>
        <w:rPr>
          <w:rFonts w:hint="eastAsia" w:ascii="仿宋_GB2312" w:eastAsia="仿宋_GB2312"/>
          <w:sz w:val="32"/>
          <w:szCs w:val="32"/>
          <w:highlight w:val="none"/>
          <w:lang w:eastAsia="zh-CN"/>
        </w:rPr>
        <w:t>维护</w:t>
      </w:r>
      <w:r>
        <w:rPr>
          <w:rFonts w:hint="eastAsia" w:ascii="仿宋_GB2312" w:eastAsia="仿宋_GB2312"/>
          <w:sz w:val="32"/>
          <w:szCs w:val="32"/>
          <w:highlight w:val="none"/>
        </w:rPr>
        <w:t>费反映</w:t>
      </w:r>
      <w:r>
        <w:rPr>
          <w:rFonts w:hint="eastAsia" w:ascii="仿宋_GB2312" w:eastAsia="仿宋_GB2312"/>
          <w:sz w:val="32"/>
          <w:szCs w:val="32"/>
          <w:highlight w:val="none"/>
          <w:lang w:eastAsia="zh-CN"/>
        </w:rPr>
        <w:t>单位按规定保留的公务用车燃料费、维修费、</w:t>
      </w:r>
      <w:r>
        <w:rPr>
          <w:rFonts w:hint="eastAsia" w:ascii="仿宋_GB2312" w:eastAsia="仿宋_GB2312"/>
          <w:sz w:val="32"/>
          <w:szCs w:val="32"/>
          <w:highlight w:val="none"/>
        </w:rPr>
        <w:t>过路过桥费、保险费、安全奖励费用等支出</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公务接待费反映单位按规定开支的各类公务接待（含外宾接待）</w:t>
      </w:r>
      <w:r>
        <w:rPr>
          <w:rFonts w:hint="eastAsia" w:ascii="仿宋_GB2312" w:eastAsia="仿宋_GB2312"/>
          <w:sz w:val="32"/>
          <w:szCs w:val="32"/>
          <w:highlight w:val="none"/>
          <w:lang w:eastAsia="zh-CN"/>
        </w:rPr>
        <w:t>费用</w:t>
      </w:r>
      <w:r>
        <w:rPr>
          <w:rFonts w:hint="eastAsia" w:ascii="仿宋_GB2312" w:eastAsia="仿宋_GB2312"/>
          <w:sz w:val="32"/>
          <w:szCs w:val="32"/>
          <w:highlight w:val="none"/>
        </w:rPr>
        <w:t>。</w:t>
      </w:r>
    </w:p>
    <w:p>
      <w:pPr>
        <w:keepNext w:val="0"/>
        <w:keepLines w:val="0"/>
        <w:pageBreakBefore w:val="0"/>
        <w:widowControl w:val="0"/>
        <w:kinsoku/>
        <w:wordWrap/>
        <w:overflowPunct/>
        <w:topLinePunct w:val="0"/>
        <w:bidi w:val="0"/>
        <w:adjustRightInd/>
        <w:snapToGrid/>
        <w:spacing w:line="240" w:lineRule="auto"/>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机关运行经费：行政单位和参照公务员法管理的事业单位财政拨款基本支出中的公用经费支出。</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center"/>
        <w:textAlignment w:val="auto"/>
        <w:outlineLvl w:val="0"/>
        <w:rPr>
          <w:rFonts w:hint="eastAsia" w:ascii="黑体" w:hAnsi="黑体" w:eastAsia="黑体"/>
          <w:sz w:val="32"/>
          <w:szCs w:val="32"/>
          <w:highlight w:val="none"/>
        </w:rPr>
      </w:pPr>
      <w:bookmarkStart w:id="62" w:name="_Toc28903"/>
      <w:r>
        <w:rPr>
          <w:rFonts w:hint="eastAsia" w:ascii="黑体" w:hAnsi="黑体" w:eastAsia="黑体"/>
          <w:sz w:val="32"/>
          <w:szCs w:val="32"/>
          <w:highlight w:val="none"/>
        </w:rPr>
        <w:br w:type="page"/>
      </w:r>
      <w:bookmarkStart w:id="63" w:name="_Toc5876"/>
      <w:bookmarkStart w:id="64" w:name="_Toc32549"/>
      <w:r>
        <w:rPr>
          <w:rFonts w:hint="eastAsia" w:ascii="黑体" w:hAnsi="黑体" w:eastAsia="黑体"/>
          <w:sz w:val="32"/>
          <w:szCs w:val="32"/>
          <w:highlight w:val="none"/>
        </w:rPr>
        <w:t>第四部分 部门决算报表（见附表）</w:t>
      </w:r>
      <w:bookmarkEnd w:id="62"/>
      <w:bookmarkEnd w:id="63"/>
      <w:bookmarkEnd w:id="64"/>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65" w:name="_Toc3595"/>
      <w:bookmarkStart w:id="66" w:name="_Toc5272"/>
      <w:bookmarkStart w:id="67" w:name="_Toc6062"/>
      <w:r>
        <w:rPr>
          <w:rFonts w:hint="eastAsia" w:ascii="黑体" w:hAnsi="黑体" w:eastAsia="黑体" w:cs="宋体"/>
          <w:bCs/>
          <w:kern w:val="0"/>
          <w:sz w:val="32"/>
          <w:szCs w:val="32"/>
          <w:highlight w:val="none"/>
        </w:rPr>
        <w:t>一、《收入支出决算总表》</w:t>
      </w:r>
      <w:bookmarkEnd w:id="65"/>
      <w:bookmarkEnd w:id="66"/>
      <w:bookmarkEnd w:id="67"/>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68" w:name="_Toc30518"/>
      <w:bookmarkStart w:id="69" w:name="_Toc6432"/>
      <w:bookmarkStart w:id="70" w:name="_Toc30364"/>
      <w:r>
        <w:rPr>
          <w:rFonts w:hint="eastAsia" w:ascii="黑体" w:hAnsi="黑体" w:eastAsia="黑体" w:cs="宋体"/>
          <w:bCs/>
          <w:kern w:val="0"/>
          <w:sz w:val="32"/>
          <w:szCs w:val="32"/>
          <w:highlight w:val="none"/>
        </w:rPr>
        <w:t>二、《收入决算表》</w:t>
      </w:r>
      <w:bookmarkEnd w:id="68"/>
      <w:bookmarkEnd w:id="69"/>
      <w:bookmarkEnd w:id="70"/>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71" w:name="_Toc24682"/>
      <w:bookmarkStart w:id="72" w:name="_Toc21304"/>
      <w:bookmarkStart w:id="73" w:name="_Toc23872"/>
      <w:r>
        <w:rPr>
          <w:rFonts w:hint="eastAsia" w:ascii="黑体" w:hAnsi="黑体" w:eastAsia="黑体" w:cs="宋体"/>
          <w:bCs/>
          <w:kern w:val="0"/>
          <w:sz w:val="32"/>
          <w:szCs w:val="32"/>
          <w:highlight w:val="none"/>
        </w:rPr>
        <w:t>三、《支出决算表》</w:t>
      </w:r>
      <w:bookmarkEnd w:id="71"/>
      <w:bookmarkEnd w:id="72"/>
      <w:bookmarkEnd w:id="73"/>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74" w:name="_Toc32114"/>
      <w:bookmarkStart w:id="75" w:name="_Toc14238"/>
      <w:bookmarkStart w:id="76" w:name="_Toc17363"/>
      <w:r>
        <w:rPr>
          <w:rFonts w:hint="eastAsia" w:ascii="黑体" w:hAnsi="黑体" w:eastAsia="黑体" w:cs="宋体"/>
          <w:bCs/>
          <w:kern w:val="0"/>
          <w:sz w:val="32"/>
          <w:szCs w:val="32"/>
          <w:highlight w:val="none"/>
        </w:rPr>
        <w:t>四、《财政拨款收入支出决算总表》</w:t>
      </w:r>
      <w:bookmarkEnd w:id="74"/>
      <w:bookmarkEnd w:id="75"/>
      <w:bookmarkEnd w:id="76"/>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77" w:name="_Toc1532"/>
      <w:bookmarkStart w:id="78" w:name="_Toc10347"/>
      <w:bookmarkStart w:id="79" w:name="_Toc16665"/>
      <w:r>
        <w:rPr>
          <w:rFonts w:hint="eastAsia" w:ascii="黑体" w:hAnsi="黑体" w:eastAsia="黑体" w:cs="宋体"/>
          <w:bCs/>
          <w:kern w:val="0"/>
          <w:sz w:val="32"/>
          <w:szCs w:val="32"/>
          <w:highlight w:val="none"/>
        </w:rPr>
        <w:t>五、《一般公共预算财政拨款支出决算表》</w:t>
      </w:r>
      <w:bookmarkEnd w:id="77"/>
      <w:bookmarkEnd w:id="78"/>
      <w:bookmarkEnd w:id="79"/>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80" w:name="_Toc24067"/>
      <w:bookmarkStart w:id="81" w:name="_Toc5626"/>
      <w:bookmarkStart w:id="82" w:name="_Toc2980"/>
      <w:r>
        <w:rPr>
          <w:rFonts w:hint="eastAsia" w:ascii="黑体" w:hAnsi="黑体" w:eastAsia="黑体" w:cs="宋体"/>
          <w:bCs/>
          <w:kern w:val="0"/>
          <w:sz w:val="32"/>
          <w:szCs w:val="32"/>
          <w:highlight w:val="none"/>
        </w:rPr>
        <w:t>六、《一般公共预算财政拨款基本支出决算表》</w:t>
      </w:r>
      <w:bookmarkEnd w:id="80"/>
      <w:bookmarkEnd w:id="81"/>
      <w:bookmarkEnd w:id="82"/>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83" w:name="_Toc3931"/>
      <w:bookmarkStart w:id="84" w:name="_Toc9459"/>
      <w:r>
        <w:rPr>
          <w:rFonts w:hint="eastAsia" w:ascii="黑体" w:hAnsi="黑体" w:eastAsia="黑体" w:cs="宋体"/>
          <w:bCs/>
          <w:kern w:val="0"/>
          <w:sz w:val="32"/>
          <w:szCs w:val="32"/>
          <w:highlight w:val="none"/>
        </w:rPr>
        <w:t>七、</w:t>
      </w:r>
      <w:bookmarkStart w:id="85" w:name="_Toc32663"/>
      <w:r>
        <w:rPr>
          <w:rFonts w:hint="eastAsia" w:ascii="黑体" w:hAnsi="黑体" w:eastAsia="黑体" w:cs="宋体"/>
          <w:bCs/>
          <w:kern w:val="0"/>
          <w:sz w:val="32"/>
          <w:szCs w:val="32"/>
          <w:highlight w:val="none"/>
        </w:rPr>
        <w:t>《财政拨款“三公”经费支出决算表》</w:t>
      </w:r>
      <w:bookmarkEnd w:id="83"/>
      <w:bookmarkEnd w:id="84"/>
      <w:bookmarkEnd w:id="85"/>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86" w:name="_Toc482"/>
      <w:bookmarkStart w:id="87" w:name="_Toc20536"/>
      <w:bookmarkStart w:id="88" w:name="_Toc5453"/>
      <w:r>
        <w:rPr>
          <w:rFonts w:hint="eastAsia" w:ascii="黑体" w:hAnsi="黑体" w:eastAsia="黑体" w:cs="宋体"/>
          <w:bCs/>
          <w:kern w:val="0"/>
          <w:sz w:val="32"/>
          <w:szCs w:val="32"/>
          <w:highlight w:val="none"/>
        </w:rPr>
        <w:t>八、《政府性基金预算财政拨款收入支出决算表》</w:t>
      </w:r>
      <w:bookmarkEnd w:id="86"/>
      <w:bookmarkEnd w:id="87"/>
      <w:bookmarkEnd w:id="88"/>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rPr>
      </w:pPr>
      <w:bookmarkStart w:id="89" w:name="_Toc19300"/>
      <w:bookmarkStart w:id="90" w:name="_Toc30064"/>
      <w:r>
        <w:rPr>
          <w:rFonts w:hint="eastAsia" w:ascii="黑体" w:hAnsi="黑体" w:eastAsia="黑体" w:cs="宋体"/>
          <w:bCs/>
          <w:kern w:val="0"/>
          <w:sz w:val="32"/>
          <w:szCs w:val="32"/>
          <w:highlight w:val="none"/>
          <w:lang w:val="en-US" w:eastAsia="zh-CN"/>
        </w:rPr>
        <w:t>九</w:t>
      </w:r>
      <w:r>
        <w:rPr>
          <w:rFonts w:hint="eastAsia" w:ascii="黑体" w:hAnsi="黑体" w:eastAsia="黑体" w:cs="宋体"/>
          <w:bCs/>
          <w:kern w:val="0"/>
          <w:sz w:val="32"/>
          <w:szCs w:val="32"/>
          <w:highlight w:val="none"/>
        </w:rPr>
        <w:t>、《</w:t>
      </w:r>
      <w:r>
        <w:rPr>
          <w:rFonts w:hint="eastAsia" w:ascii="黑体" w:hAnsi="黑体" w:eastAsia="黑体" w:cs="宋体"/>
          <w:bCs/>
          <w:kern w:val="0"/>
          <w:sz w:val="32"/>
          <w:szCs w:val="32"/>
          <w:highlight w:val="none"/>
          <w:lang w:eastAsia="zh-CN"/>
        </w:rPr>
        <w:t>国有资本经营</w:t>
      </w:r>
      <w:r>
        <w:rPr>
          <w:rFonts w:hint="eastAsia" w:ascii="黑体" w:hAnsi="黑体" w:eastAsia="黑体" w:cs="宋体"/>
          <w:bCs/>
          <w:kern w:val="0"/>
          <w:sz w:val="32"/>
          <w:szCs w:val="32"/>
          <w:highlight w:val="none"/>
        </w:rPr>
        <w:t>预算财政拨款收入支出决算表》</w:t>
      </w:r>
      <w:bookmarkEnd w:id="89"/>
      <w:bookmarkEnd w:id="90"/>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textAlignment w:val="auto"/>
        <w:outlineLvl w:val="1"/>
        <w:rPr>
          <w:rFonts w:hint="eastAsia" w:ascii="黑体" w:hAnsi="黑体" w:eastAsia="黑体" w:cs="宋体"/>
          <w:bCs/>
          <w:kern w:val="0"/>
          <w:sz w:val="32"/>
          <w:szCs w:val="32"/>
          <w:highlight w:val="none"/>
          <w:lang w:eastAsia="zh-CN"/>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AgtDAhwwEAAHADAAAOAAAAAAAAAAEAIAAAAB4BAABkcnMvZTJvRG9jLnhtbFBL&#10;BQYAAAAABgAGAFkBAABTBQAAAAA=&#10;">
              <v:fill on="f" focussize="0,0"/>
              <v:stroke on="f"/>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mMTI0MmU2YTA3NjliZjE0ODdjN2VlZTE1NDk1ZTYifQ=="/>
  </w:docVars>
  <w:rsids>
    <w:rsidRoot w:val="00000000"/>
    <w:rsid w:val="008A0CAB"/>
    <w:rsid w:val="00E65F3E"/>
    <w:rsid w:val="011726B8"/>
    <w:rsid w:val="01205ED0"/>
    <w:rsid w:val="012469F0"/>
    <w:rsid w:val="01A917D8"/>
    <w:rsid w:val="020B1E19"/>
    <w:rsid w:val="02B76872"/>
    <w:rsid w:val="02F73D26"/>
    <w:rsid w:val="03277A72"/>
    <w:rsid w:val="034D4FEF"/>
    <w:rsid w:val="03A632D2"/>
    <w:rsid w:val="043E5B56"/>
    <w:rsid w:val="04560533"/>
    <w:rsid w:val="04C8148A"/>
    <w:rsid w:val="06182106"/>
    <w:rsid w:val="061D0810"/>
    <w:rsid w:val="06551191"/>
    <w:rsid w:val="06792773"/>
    <w:rsid w:val="06DB1E8B"/>
    <w:rsid w:val="0743265E"/>
    <w:rsid w:val="077F1302"/>
    <w:rsid w:val="07C831AB"/>
    <w:rsid w:val="08274F1E"/>
    <w:rsid w:val="086F792B"/>
    <w:rsid w:val="08C50FDC"/>
    <w:rsid w:val="09884093"/>
    <w:rsid w:val="0A1C6A2B"/>
    <w:rsid w:val="0A3F5B1F"/>
    <w:rsid w:val="0A7B4867"/>
    <w:rsid w:val="0AC83854"/>
    <w:rsid w:val="0B8C3ECC"/>
    <w:rsid w:val="0C7227A7"/>
    <w:rsid w:val="0CD719FE"/>
    <w:rsid w:val="0CF06C79"/>
    <w:rsid w:val="0D3C17B4"/>
    <w:rsid w:val="0D626C43"/>
    <w:rsid w:val="0D95707B"/>
    <w:rsid w:val="0E050CDF"/>
    <w:rsid w:val="0E1B518F"/>
    <w:rsid w:val="0E59781D"/>
    <w:rsid w:val="0E756E8B"/>
    <w:rsid w:val="0ED50E04"/>
    <w:rsid w:val="0F582EA1"/>
    <w:rsid w:val="0FD95739"/>
    <w:rsid w:val="0FF131D3"/>
    <w:rsid w:val="100E5E43"/>
    <w:rsid w:val="102E443C"/>
    <w:rsid w:val="104C3319"/>
    <w:rsid w:val="112A69D2"/>
    <w:rsid w:val="13065313"/>
    <w:rsid w:val="142B5C8A"/>
    <w:rsid w:val="143477DD"/>
    <w:rsid w:val="144B4C0F"/>
    <w:rsid w:val="144C60C6"/>
    <w:rsid w:val="148617AC"/>
    <w:rsid w:val="14F60DE2"/>
    <w:rsid w:val="15F5754E"/>
    <w:rsid w:val="165C284A"/>
    <w:rsid w:val="169E4F9A"/>
    <w:rsid w:val="174A7237"/>
    <w:rsid w:val="17A9659B"/>
    <w:rsid w:val="17C408E6"/>
    <w:rsid w:val="17DA20BB"/>
    <w:rsid w:val="180C273E"/>
    <w:rsid w:val="187E287E"/>
    <w:rsid w:val="18C821D4"/>
    <w:rsid w:val="191C158E"/>
    <w:rsid w:val="19AB5486"/>
    <w:rsid w:val="19DB6010"/>
    <w:rsid w:val="1A700524"/>
    <w:rsid w:val="1B3B0F26"/>
    <w:rsid w:val="1B975C14"/>
    <w:rsid w:val="1B98062F"/>
    <w:rsid w:val="1BEE234F"/>
    <w:rsid w:val="1CA148EC"/>
    <w:rsid w:val="1D0C360F"/>
    <w:rsid w:val="1D1C0892"/>
    <w:rsid w:val="1D824C39"/>
    <w:rsid w:val="1D9D7450"/>
    <w:rsid w:val="1DAF458D"/>
    <w:rsid w:val="1DFA6FC7"/>
    <w:rsid w:val="1E8B21AD"/>
    <w:rsid w:val="1EA8342C"/>
    <w:rsid w:val="1EE168C8"/>
    <w:rsid w:val="1EFC3067"/>
    <w:rsid w:val="1F516E45"/>
    <w:rsid w:val="1F825EEF"/>
    <w:rsid w:val="202C760B"/>
    <w:rsid w:val="204C3744"/>
    <w:rsid w:val="20DD6197"/>
    <w:rsid w:val="20E406FC"/>
    <w:rsid w:val="21881B11"/>
    <w:rsid w:val="22047797"/>
    <w:rsid w:val="222A08C9"/>
    <w:rsid w:val="228602BE"/>
    <w:rsid w:val="229B4DEB"/>
    <w:rsid w:val="23410292"/>
    <w:rsid w:val="237174CF"/>
    <w:rsid w:val="23B60011"/>
    <w:rsid w:val="23BC04D2"/>
    <w:rsid w:val="23C15EAA"/>
    <w:rsid w:val="24A705FF"/>
    <w:rsid w:val="25BB17AF"/>
    <w:rsid w:val="25DB2050"/>
    <w:rsid w:val="260B6293"/>
    <w:rsid w:val="269F6AE9"/>
    <w:rsid w:val="26A51232"/>
    <w:rsid w:val="26C75C52"/>
    <w:rsid w:val="270C6310"/>
    <w:rsid w:val="27CF2642"/>
    <w:rsid w:val="285D2A8B"/>
    <w:rsid w:val="28B76749"/>
    <w:rsid w:val="28F33322"/>
    <w:rsid w:val="295F55B3"/>
    <w:rsid w:val="29B10A15"/>
    <w:rsid w:val="2A053397"/>
    <w:rsid w:val="2B101616"/>
    <w:rsid w:val="2B5C568B"/>
    <w:rsid w:val="2C415A49"/>
    <w:rsid w:val="2C6A6F8C"/>
    <w:rsid w:val="2CB371D5"/>
    <w:rsid w:val="2D1136DF"/>
    <w:rsid w:val="2D1A5149"/>
    <w:rsid w:val="2DD45655"/>
    <w:rsid w:val="2DEF248E"/>
    <w:rsid w:val="2DF70932"/>
    <w:rsid w:val="2E18598A"/>
    <w:rsid w:val="2EA87867"/>
    <w:rsid w:val="2ED07696"/>
    <w:rsid w:val="2EEF1E39"/>
    <w:rsid w:val="2F1A7CE7"/>
    <w:rsid w:val="2F2E3D6E"/>
    <w:rsid w:val="2FD11A8B"/>
    <w:rsid w:val="2FD27414"/>
    <w:rsid w:val="305D7F48"/>
    <w:rsid w:val="30651CF0"/>
    <w:rsid w:val="309C7C4F"/>
    <w:rsid w:val="30D72AD2"/>
    <w:rsid w:val="319501D5"/>
    <w:rsid w:val="31AF5DE3"/>
    <w:rsid w:val="31C63837"/>
    <w:rsid w:val="31D7657D"/>
    <w:rsid w:val="326F09E3"/>
    <w:rsid w:val="327014DE"/>
    <w:rsid w:val="32FE7D81"/>
    <w:rsid w:val="33B777EE"/>
    <w:rsid w:val="354E515D"/>
    <w:rsid w:val="358A3D6E"/>
    <w:rsid w:val="35BA04FC"/>
    <w:rsid w:val="35DF27CE"/>
    <w:rsid w:val="35E95B5F"/>
    <w:rsid w:val="36197594"/>
    <w:rsid w:val="36EF564C"/>
    <w:rsid w:val="37020E9C"/>
    <w:rsid w:val="370552AF"/>
    <w:rsid w:val="3726380B"/>
    <w:rsid w:val="37537643"/>
    <w:rsid w:val="375A65D6"/>
    <w:rsid w:val="38827989"/>
    <w:rsid w:val="388B6EB1"/>
    <w:rsid w:val="38C7436C"/>
    <w:rsid w:val="38D72C74"/>
    <w:rsid w:val="3914510A"/>
    <w:rsid w:val="39662DA7"/>
    <w:rsid w:val="39CA4215"/>
    <w:rsid w:val="3A111C5F"/>
    <w:rsid w:val="3AA96ACD"/>
    <w:rsid w:val="3AC70B1C"/>
    <w:rsid w:val="3B564E69"/>
    <w:rsid w:val="3B8A672D"/>
    <w:rsid w:val="3CEF7BCF"/>
    <w:rsid w:val="3D5275AC"/>
    <w:rsid w:val="3E2B6937"/>
    <w:rsid w:val="3EA177A5"/>
    <w:rsid w:val="3EE27F03"/>
    <w:rsid w:val="3FAC39DF"/>
    <w:rsid w:val="3FFB1D69"/>
    <w:rsid w:val="405638B1"/>
    <w:rsid w:val="40834692"/>
    <w:rsid w:val="414C0703"/>
    <w:rsid w:val="41BE19BD"/>
    <w:rsid w:val="421909E8"/>
    <w:rsid w:val="429D73E0"/>
    <w:rsid w:val="42B645F0"/>
    <w:rsid w:val="43236CBC"/>
    <w:rsid w:val="44D1323C"/>
    <w:rsid w:val="46901EEE"/>
    <w:rsid w:val="469C74D2"/>
    <w:rsid w:val="46D15392"/>
    <w:rsid w:val="46DF7883"/>
    <w:rsid w:val="46E05F00"/>
    <w:rsid w:val="46F870EF"/>
    <w:rsid w:val="470C497C"/>
    <w:rsid w:val="47346CB4"/>
    <w:rsid w:val="47347005"/>
    <w:rsid w:val="48022301"/>
    <w:rsid w:val="48231751"/>
    <w:rsid w:val="48A00A76"/>
    <w:rsid w:val="491240CD"/>
    <w:rsid w:val="49473D88"/>
    <w:rsid w:val="4A9250D2"/>
    <w:rsid w:val="4AE81D6C"/>
    <w:rsid w:val="4B4C0111"/>
    <w:rsid w:val="4B674EE5"/>
    <w:rsid w:val="4BCE2439"/>
    <w:rsid w:val="4C7F6531"/>
    <w:rsid w:val="4C9704C1"/>
    <w:rsid w:val="4D12764B"/>
    <w:rsid w:val="4F1F6F4C"/>
    <w:rsid w:val="4F2C33A4"/>
    <w:rsid w:val="4F5221D2"/>
    <w:rsid w:val="4F6370A3"/>
    <w:rsid w:val="50653746"/>
    <w:rsid w:val="50AA7619"/>
    <w:rsid w:val="50B079E5"/>
    <w:rsid w:val="50DB5F45"/>
    <w:rsid w:val="516713AE"/>
    <w:rsid w:val="51B73A83"/>
    <w:rsid w:val="5217704A"/>
    <w:rsid w:val="525D7070"/>
    <w:rsid w:val="527E7891"/>
    <w:rsid w:val="52981897"/>
    <w:rsid w:val="529D6258"/>
    <w:rsid w:val="52A11FF1"/>
    <w:rsid w:val="52F92565"/>
    <w:rsid w:val="538708F0"/>
    <w:rsid w:val="53C337E4"/>
    <w:rsid w:val="557470EE"/>
    <w:rsid w:val="55B94A43"/>
    <w:rsid w:val="55C66E6B"/>
    <w:rsid w:val="55CF1C7C"/>
    <w:rsid w:val="5625599A"/>
    <w:rsid w:val="56DF422C"/>
    <w:rsid w:val="56FB3771"/>
    <w:rsid w:val="571A2F2D"/>
    <w:rsid w:val="571C510A"/>
    <w:rsid w:val="577E1FC3"/>
    <w:rsid w:val="57B47D22"/>
    <w:rsid w:val="57B91AC2"/>
    <w:rsid w:val="583059FA"/>
    <w:rsid w:val="59233C31"/>
    <w:rsid w:val="595F1432"/>
    <w:rsid w:val="59C0418C"/>
    <w:rsid w:val="5A3B2BBB"/>
    <w:rsid w:val="5A9D66AD"/>
    <w:rsid w:val="5A9F7A15"/>
    <w:rsid w:val="5ACF1E8D"/>
    <w:rsid w:val="5B3A286F"/>
    <w:rsid w:val="5B656156"/>
    <w:rsid w:val="5B884DD1"/>
    <w:rsid w:val="5B983671"/>
    <w:rsid w:val="5CA86A16"/>
    <w:rsid w:val="5D223904"/>
    <w:rsid w:val="5E682FB0"/>
    <w:rsid w:val="5F0F21D9"/>
    <w:rsid w:val="5F160310"/>
    <w:rsid w:val="5F7C1164"/>
    <w:rsid w:val="5FA17648"/>
    <w:rsid w:val="606D1B14"/>
    <w:rsid w:val="60795A64"/>
    <w:rsid w:val="61022B68"/>
    <w:rsid w:val="618C11CE"/>
    <w:rsid w:val="619C2B47"/>
    <w:rsid w:val="61A46A97"/>
    <w:rsid w:val="627D5AD6"/>
    <w:rsid w:val="62965E6D"/>
    <w:rsid w:val="629D45CE"/>
    <w:rsid w:val="62DD7D21"/>
    <w:rsid w:val="63ED26A7"/>
    <w:rsid w:val="63F66C47"/>
    <w:rsid w:val="644211EF"/>
    <w:rsid w:val="647D0974"/>
    <w:rsid w:val="651E609D"/>
    <w:rsid w:val="65321094"/>
    <w:rsid w:val="65D97752"/>
    <w:rsid w:val="66356979"/>
    <w:rsid w:val="6656030C"/>
    <w:rsid w:val="665A3587"/>
    <w:rsid w:val="668C49E6"/>
    <w:rsid w:val="66941F28"/>
    <w:rsid w:val="66CF2B35"/>
    <w:rsid w:val="68DB0208"/>
    <w:rsid w:val="692C17C2"/>
    <w:rsid w:val="695D3482"/>
    <w:rsid w:val="69AD798C"/>
    <w:rsid w:val="6A32044F"/>
    <w:rsid w:val="6A4C3E1C"/>
    <w:rsid w:val="6B68175F"/>
    <w:rsid w:val="6B78724F"/>
    <w:rsid w:val="6C2554C5"/>
    <w:rsid w:val="6C733C48"/>
    <w:rsid w:val="6D477541"/>
    <w:rsid w:val="6D712519"/>
    <w:rsid w:val="6E0F7A08"/>
    <w:rsid w:val="6EB34B5E"/>
    <w:rsid w:val="6F685F9F"/>
    <w:rsid w:val="6F9F7066"/>
    <w:rsid w:val="6FA1420F"/>
    <w:rsid w:val="6FA74921"/>
    <w:rsid w:val="70BE2CE9"/>
    <w:rsid w:val="70F3754D"/>
    <w:rsid w:val="70FD234B"/>
    <w:rsid w:val="71473612"/>
    <w:rsid w:val="718F7F65"/>
    <w:rsid w:val="71FD163F"/>
    <w:rsid w:val="72C20820"/>
    <w:rsid w:val="72F96197"/>
    <w:rsid w:val="730920D9"/>
    <w:rsid w:val="73FB6630"/>
    <w:rsid w:val="7447570D"/>
    <w:rsid w:val="74511E48"/>
    <w:rsid w:val="749D7D9F"/>
    <w:rsid w:val="74E76DCD"/>
    <w:rsid w:val="7531207A"/>
    <w:rsid w:val="757F27C7"/>
    <w:rsid w:val="760F6D5A"/>
    <w:rsid w:val="762150F3"/>
    <w:rsid w:val="76634832"/>
    <w:rsid w:val="768F16E6"/>
    <w:rsid w:val="769901DB"/>
    <w:rsid w:val="76D53A35"/>
    <w:rsid w:val="77253DF8"/>
    <w:rsid w:val="77902C04"/>
    <w:rsid w:val="77BE0E3C"/>
    <w:rsid w:val="77ED6F44"/>
    <w:rsid w:val="78150C2F"/>
    <w:rsid w:val="782B58C9"/>
    <w:rsid w:val="7908577F"/>
    <w:rsid w:val="792356E1"/>
    <w:rsid w:val="79330B16"/>
    <w:rsid w:val="79CE357D"/>
    <w:rsid w:val="79F57265"/>
    <w:rsid w:val="7A2667CC"/>
    <w:rsid w:val="7A3E54DB"/>
    <w:rsid w:val="7A80451E"/>
    <w:rsid w:val="7B957477"/>
    <w:rsid w:val="7BD12ECE"/>
    <w:rsid w:val="7BF575B0"/>
    <w:rsid w:val="7C883F0C"/>
    <w:rsid w:val="7D697356"/>
    <w:rsid w:val="7DA87188"/>
    <w:rsid w:val="7DEC608F"/>
    <w:rsid w:val="7EA563B3"/>
    <w:rsid w:val="7F3D6FF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annotation text"/>
    <w:basedOn w:val="1"/>
    <w:uiPriority w:val="0"/>
    <w:pPr>
      <w:jc w:val="left"/>
    </w:pPr>
  </w:style>
  <w:style w:type="paragraph" w:styleId="3">
    <w:name w:val="toc 3"/>
    <w:basedOn w:val="1"/>
    <w:next w:val="1"/>
    <w:qFormat/>
    <w:uiPriority w:val="0"/>
    <w:pPr>
      <w:ind w:left="840" w:leftChars="400"/>
    </w:p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uiPriority w:val="0"/>
  </w:style>
  <w:style w:type="paragraph" w:styleId="7">
    <w:name w:val="toc 2"/>
    <w:basedOn w:val="1"/>
    <w:next w:val="1"/>
    <w:qFormat/>
    <w:uiPriority w:val="0"/>
    <w:pPr>
      <w:ind w:left="420" w:leftChars="200"/>
    </w:pPr>
  </w:style>
  <w:style w:type="character" w:customStyle="1" w:styleId="10">
    <w:name w:val="font01"/>
    <w:basedOn w:val="9"/>
    <w:qFormat/>
    <w:uiPriority w:val="0"/>
    <w:rPr>
      <w:rFonts w:hint="eastAsia" w:ascii="宋体" w:hAnsi="宋体" w:eastAsia="宋体" w:cs="宋体"/>
      <w:color w:val="000000"/>
      <w:sz w:val="24"/>
      <w:szCs w:val="24"/>
      <w:u w:val="none"/>
    </w:rPr>
  </w:style>
  <w:style w:type="character" w:customStyle="1" w:styleId="11">
    <w:name w:val="font21"/>
    <w:basedOn w:val="9"/>
    <w:qFormat/>
    <w:uiPriority w:val="0"/>
    <w:rPr>
      <w:rFonts w:hint="eastAsia" w:ascii="宋体" w:hAnsi="宋体" w:eastAsia="宋体" w:cs="宋体"/>
      <w:b/>
      <w:color w:val="000000"/>
      <w:sz w:val="32"/>
      <w:szCs w:val="32"/>
      <w:u w:val="none"/>
    </w:rPr>
  </w:style>
  <w:style w:type="paragraph" w:customStyle="1" w:styleId="12">
    <w:name w:val="WPSOffice手动目录 2"/>
    <w:qFormat/>
    <w:uiPriority w:val="0"/>
    <w:pPr>
      <w:ind w:leftChars="200"/>
    </w:pPr>
    <w:rPr>
      <w:rFonts w:ascii="Times New Roman" w:hAnsi="Times New Roman" w:eastAsia="宋体" w:cs="Times New Roman"/>
      <w:sz w:val="20"/>
      <w:szCs w:val="20"/>
    </w:rPr>
  </w:style>
  <w:style w:type="paragraph" w:customStyle="1" w:styleId="13">
    <w:name w:val="WPSOffice手动目录 1"/>
    <w:qFormat/>
    <w:uiPriority w:val="0"/>
    <w:pPr>
      <w:ind w:leftChars="0"/>
    </w:pPr>
    <w:rPr>
      <w:rFonts w:ascii="Times New Roman" w:hAnsi="Times New Roman" w:eastAsia="宋体" w:cs="Times New Roman"/>
      <w:sz w:val="20"/>
      <w:szCs w:val="20"/>
    </w:rPr>
  </w:style>
  <w:style w:type="paragraph" w:customStyle="1" w:styleId="14">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6604</Words>
  <Characters>7303</Characters>
  <Lines>0</Lines>
  <Paragraphs>0</Paragraphs>
  <TotalTime>30</TotalTime>
  <ScaleCrop>false</ScaleCrop>
  <LinksUpToDate>false</LinksUpToDate>
  <CharactersWithSpaces>7332</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GXR</dc:creator>
  <cp:lastModifiedBy>DELL</cp:lastModifiedBy>
  <dcterms:modified xsi:type="dcterms:W3CDTF">2024-02-19T04:53:07Z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5F301995ECAD4D3B9A7F3E460C6C1495</vt:lpwstr>
  </property>
</Properties>
</file>