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ascii="黑体" w:hAnsi="黑体" w:eastAsia="黑体"/>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中共乌鲁木齐市水磨沟区委员会机构编制委员会办公室</w:t>
      </w:r>
      <w:r>
        <w:rPr>
          <w:rFonts w:hint="default" w:ascii="Times New Roman" w:hAnsi="Times New Roman" w:eastAsia="方正小标宋_GBK" w:cs="Times New Roman"/>
          <w:sz w:val="44"/>
          <w:szCs w:val="44"/>
          <w:highlight w:val="none"/>
          <w:lang w:val="en-US" w:eastAsia="zh-CN"/>
        </w:rPr>
        <w:t>2022</w:t>
      </w:r>
      <w:r>
        <w:rPr>
          <w:rFonts w:hint="default" w:ascii="Times New Roman" w:hAnsi="Times New Roman" w:eastAsia="方正小标宋_GBK" w:cs="Times New Roman"/>
          <w:sz w:val="44"/>
          <w:szCs w:val="44"/>
          <w:highlight w:val="none"/>
        </w:rPr>
        <w:t>年度部门</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rPr>
          <w:rFonts w:hint="eastAsia" w:ascii="仿宋_GB2312" w:hAnsi="仿宋_GB2312" w:eastAsia="仿宋_GB2312" w:cs="仿宋_GB2312"/>
          <w:bCs/>
          <w:kern w:val="0"/>
          <w:sz w:val="32"/>
          <w:szCs w:val="32"/>
          <w:highlight w:val="none"/>
          <w:lang w:eastAsia="zh-CN"/>
        </w:rPr>
      </w:pP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11707"/>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15366"/>
      <w:bookmarkStart w:id="3" w:name="_Toc30738"/>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4" w:name="_Toc31238"/>
      <w:bookmarkStart w:id="5" w:name="_Toc30757"/>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处理区委机构编制委员会日常事务工作；协调督促有关方面落实区委机构编制委员会的决定事项、工作部署和要求；围绕全区重点领域和关键环节体制机制改革，以及全面坚持和加强党的领导、全面深化改革和加强机构编制管理等深层次重大问题，组织开展调查研究，向区委机构编制委员会提出工作建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二</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贯彻执行党和国家关于行政管理体制改革、机构改革和机构编制管理的方针、政策和法规，并组织实施。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三</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统一管理全区各级党政机关，人大、政协、法院、检察院机关，人民团体机关及事业单位的机构编制工作。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四</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研究拟订全区机构改革的总体方案，并组织实施；审核区级党政机关，人大、政协、法院、检察院机关，人民团体机关，片区管委会的机构改革方案；指导、协调全区机构改革及机构编制管理工作。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协调区级党政群机关各部门职能配置及其调整；研究拟订区级各部门有关事权划分和职责分工的意见。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拟定区级党政机关，人大、政协、法院、检察院机关，人民团体机关的机构设置和人员编制、领导职数。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拟定区级事业单位的机构设置、职责任务、人员编制、领导职数、编制结构及经费开支渠道；指导、协调全区事业单位分类改革和机构编制管理工作。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八</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贯彻执行事业单位登记管理办法；承担权限内事业单位登记管理工作及机关、群团等机构的统一社会信用代码赋码发证工作；依法对全区事业单位登记管理工作进行监督检查。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九</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监督检查全区机构改革及机构编制的执行情况。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十</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负责全区党政群机关、事业单位机构编制实名制管理及统计工作；指导、协调全区机构编制信息化建设工作；指导和规范全区党政群机关、事业单位网上中文域名注册管理工作。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十一</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 xml:space="preserve">负责行政管理体制改革、机构改革和机构编制管理的理论研究和信息收集工作；负责全区机构编制系统干部的培训工作。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中共乌鲁木齐市水磨沟区委员会机构编制委员会办公室</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z w:val="32"/>
          <w:szCs w:val="32"/>
          <w:highlight w:val="none"/>
          <w:lang w:eastAsia="zh-CN"/>
        </w:rPr>
        <w:t>度，</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人，其中：在职人员6人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离休人员0人，退休人员</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决算单位构成看，中共乌鲁木齐市水磨沟区委员会机构编制委员会办公室部门决算包括：中共乌鲁木齐市水磨沟区委员会机构编制委员会办公室决算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单位无下属预算单位，下设</w:t>
      </w:r>
      <w:r>
        <w:rPr>
          <w:rFonts w:hint="eastAsia" w:ascii="仿宋_GB2312" w:eastAsia="仿宋_GB2312"/>
          <w:sz w:val="32"/>
          <w:szCs w:val="32"/>
          <w:highlight w:val="none"/>
          <w:lang w:val="en-US" w:eastAsia="zh-CN"/>
        </w:rPr>
        <w:t>1</w:t>
      </w:r>
      <w:r>
        <w:rPr>
          <w:rFonts w:hint="eastAsia" w:ascii="仿宋_GB2312" w:hAnsi="黑体" w:eastAsia="仿宋_GB2312" w:cs="宋体"/>
          <w:bCs/>
          <w:kern w:val="0"/>
          <w:sz w:val="32"/>
          <w:szCs w:val="32"/>
          <w:highlight w:val="none"/>
        </w:rPr>
        <w:t>个处室，分别</w:t>
      </w:r>
      <w:r>
        <w:rPr>
          <w:rFonts w:hint="eastAsia" w:ascii="仿宋_GB2312" w:eastAsia="仿宋_GB2312"/>
          <w:sz w:val="32"/>
          <w:szCs w:val="32"/>
          <w:highlight w:val="none"/>
        </w:rPr>
        <w:t>是：</w:t>
      </w:r>
      <w:r>
        <w:rPr>
          <w:rFonts w:hint="default" w:ascii="仿宋_GB2312" w:eastAsia="仿宋_GB2312"/>
          <w:sz w:val="32"/>
          <w:szCs w:val="32"/>
          <w:highlight w:val="none"/>
          <w:lang w:eastAsia="zh-CN"/>
        </w:rPr>
        <w:t>乌鲁木齐市水磨沟区机构编制信息中心</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 w:name="_Toc3092"/>
      <w:r>
        <w:rPr>
          <w:rFonts w:hint="eastAsia" w:ascii="黑体" w:hAnsi="黑体" w:eastAsia="黑体"/>
          <w:sz w:val="32"/>
          <w:szCs w:val="32"/>
          <w:highlight w:val="none"/>
        </w:rPr>
        <w:br w:type="page"/>
      </w:r>
      <w:bookmarkStart w:id="7" w:name="_Toc17846"/>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29291"/>
      <w:bookmarkStart w:id="9" w:name="_Toc12566"/>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119.31万元，</w:t>
      </w:r>
      <w:r>
        <w:rPr>
          <w:rFonts w:hint="eastAsia" w:ascii="仿宋_GB2312" w:eastAsia="仿宋_GB2312"/>
          <w:spacing w:val="0"/>
          <w:sz w:val="32"/>
          <w:szCs w:val="32"/>
          <w:highlight w:val="none"/>
          <w:lang w:val="en-US" w:eastAsia="zh-CN"/>
        </w:rPr>
        <w:t>其中：本年收入合计</w:t>
      </w:r>
      <w:r>
        <w:rPr>
          <w:rFonts w:hint="eastAsia" w:ascii="仿宋_GB2312" w:eastAsia="仿宋_GB2312"/>
          <w:spacing w:val="0"/>
          <w:sz w:val="32"/>
          <w:szCs w:val="32"/>
          <w:highlight w:val="none"/>
          <w:lang w:eastAsia="zh-CN"/>
        </w:rPr>
        <w:t>105.53万元，使用非财政拨款结余0.00万元，年初结转和结余13.78万元。</w:t>
      </w:r>
      <w:r>
        <w:rPr>
          <w:rFonts w:hint="eastAsia" w:ascii="仿宋_GB2312" w:eastAsia="仿宋_GB2312"/>
          <w:spacing w:val="0"/>
          <w:sz w:val="32"/>
          <w:szCs w:val="32"/>
          <w:highlight w:val="none"/>
          <w:lang w:val="en-US" w:eastAsia="zh-CN"/>
        </w:rPr>
        <w:t>收入总计</w:t>
      </w:r>
      <w:r>
        <w:rPr>
          <w:rFonts w:hint="eastAsia" w:ascii="仿宋_GB2312" w:eastAsia="仿宋_GB2312"/>
          <w:spacing w:val="0"/>
          <w:sz w:val="32"/>
          <w:szCs w:val="32"/>
          <w:highlight w:val="none"/>
          <w:lang w:eastAsia="zh-CN"/>
        </w:rPr>
        <w:t>与上年相比，减少29.48万元，下降19.81</w:t>
      </w:r>
      <w:r>
        <w:rPr>
          <w:rFonts w:hint="eastAsia" w:ascii="仿宋_GB2312" w:eastAsia="仿宋_GB2312"/>
          <w:spacing w:val="0"/>
          <w:sz w:val="32"/>
          <w:szCs w:val="32"/>
          <w:highlight w:val="none"/>
          <w:lang w:val="en-US" w:eastAsia="zh-CN"/>
        </w:rPr>
        <w:t>%</w:t>
      </w:r>
      <w:r>
        <w:rPr>
          <w:rFonts w:hint="eastAsia" w:ascii="仿宋_GB2312" w:eastAsia="仿宋_GB2312"/>
          <w:spacing w:val="0"/>
          <w:sz w:val="32"/>
          <w:szCs w:val="32"/>
          <w:highlight w:val="none"/>
          <w:lang w:eastAsia="zh-CN"/>
        </w:rPr>
        <w:t>，主要原因是：临聘人员及雇员经费有所减少，同时本年退休1人，工资福利较上年有所减少。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本年支出总计119.31万元，其中：本年支出合计110.78万元，结余分配0.00万元，年末结转和结余8.53万元。支出总计与上年相比，减少29.48万元，下降19.81%，主要原因是：本年退休1人，工资福利较上年有所减少，办公费、邮电费、临聘人员经费及雇员经费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6785"/>
      <w:bookmarkStart w:id="11" w:name="_Toc1979"/>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年度本年收入105.53万元，其中：财政拨款收入105.51万元，占99.98%；上级补助收入0.00万元，占0.00%；事业收入0.00万元，占0.00%；经营收入0.00万元，占0.00%；附属单位上缴收入0.00万元，占0.00%；其他收入0.02万元，占0.02%。</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3152"/>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2022年度本年支出110.78万元，其中：基本支出109.46万元，占98.81%；项目支出1.32万元，占1.19%；上缴上级支出0.00万元，占0.00%；经营支出0.00万元，占0.00%；对附属单位补助支出0.00万元，占0.00%。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4393"/>
      <w:bookmarkStart w:id="15" w:name="_Toc23202"/>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年度财政拨款收入总计119.29万元，其中：年初财政拨款结转和结余13.78万元，财政拨款本年收入105.51万元。财政拨款收入总计与上年相比，减少29.43万元，下降19.79%，主要原因是：临聘人员及雇员经费有所减少，同时本年退休1人，工资福利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财政拨款支出总计119.29万元，其中：年末财政拨款结转和结余8.51万元，财政拨款本年支出110.78万元。财政拨款支出总计与上年相比，减少29.43万元，下降19.79%，主要原因是：本年退休1人，工资福利较上年有所减少，办公费、邮电费、临聘人员经费及雇员经费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与年初预算数相比情况：财政拨款收入总计年初预算数117.70万元，决算数119.29万元，预决算差异率1.35%，主要原因是：本年财政拨款收入总计含历年结余资金。财政拨款支出总计年初预算数117.70万元，决算数119.29万元，预决算差异率1.35%，主要原因是：历年结转结余资金在本年完成支付。</w:t>
      </w:r>
      <w:bookmarkStart w:id="59" w:name="_GoBack"/>
      <w:bookmarkEnd w:id="5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7833"/>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8" w:name="_Toc14172"/>
      <w:r>
        <w:rPr>
          <w:rFonts w:hint="eastAsia" w:ascii="黑体" w:hAnsi="黑体" w:eastAsia="黑体"/>
          <w:sz w:val="32"/>
          <w:szCs w:val="32"/>
          <w:highlight w:val="none"/>
          <w:lang w:eastAsia="zh-CN"/>
        </w:rPr>
        <w:t>（一）一般公共预算财政拨款支出决算总体情况</w:t>
      </w:r>
      <w:bookmarkEnd w:id="1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2022年度一般公共预算财政拨款支出110.78万元，占本年支出合计的100%，与上年相比减少24.16万元，下降17.90%，主要原因是：本年退休1人，工资福利较上年有所减少，办公费、邮电费、临聘人员经费及雇员经费较上年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19" w:name="_Toc10958"/>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bookmarkEnd w:id="19"/>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1.社会保障和就业支出（类）</w:t>
      </w:r>
      <w:r>
        <w:rPr>
          <w:rFonts w:hint="eastAsia" w:ascii="仿宋_GB2312" w:eastAsia="仿宋_GB2312"/>
          <w:spacing w:val="0"/>
          <w:sz w:val="32"/>
          <w:szCs w:val="32"/>
          <w:highlight w:val="none"/>
          <w:lang w:val="en-US" w:eastAsia="zh-CN"/>
        </w:rPr>
        <w:t>110.12</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99.4%</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rPr>
        <w:t>其他支出（类）</w:t>
      </w:r>
      <w:r>
        <w:rPr>
          <w:rFonts w:hint="eastAsia" w:ascii="仿宋_GB2312" w:eastAsia="仿宋_GB2312"/>
          <w:spacing w:val="0"/>
          <w:sz w:val="32"/>
          <w:szCs w:val="32"/>
          <w:highlight w:val="none"/>
          <w:lang w:val="en-US" w:eastAsia="zh-CN"/>
        </w:rPr>
        <w:t>0.66</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0.6%</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0" w:name="_Toc5176"/>
      <w:r>
        <w:rPr>
          <w:rFonts w:hint="eastAsia" w:ascii="黑体" w:hAnsi="黑体" w:eastAsia="黑体"/>
          <w:sz w:val="32"/>
          <w:szCs w:val="32"/>
          <w:highlight w:val="none"/>
          <w:lang w:eastAsia="zh-CN"/>
        </w:rPr>
        <w:t>（三）一般公共预算财政拨款支出决算具体情况</w:t>
      </w:r>
      <w:bookmarkEnd w:id="2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1.社会保障和就业支出（类）人力资源和社会保障管理事务（款）行政运行（项）: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44.84</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5.25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10.48%</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本年退休1人，相关人员经费支出有所减少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2.社会保障和就业支出（类）人力资源和社会保障管理事务（款）</w:t>
      </w:r>
      <w:r>
        <w:rPr>
          <w:rFonts w:hint="eastAsia" w:ascii="仿宋_GB2312" w:hAnsi="仿宋_GB2312" w:eastAsia="仿宋_GB2312" w:cs="仿宋_GB2312"/>
          <w:kern w:val="0"/>
          <w:sz w:val="32"/>
          <w:szCs w:val="32"/>
          <w:highlight w:val="none"/>
          <w:lang w:val="en-US" w:eastAsia="zh-CN"/>
        </w:rPr>
        <w:t>事业</w:t>
      </w:r>
      <w:r>
        <w:rPr>
          <w:rFonts w:hint="eastAsia" w:ascii="仿宋_GB2312" w:hAnsi="仿宋_GB2312" w:eastAsia="仿宋_GB2312" w:cs="仿宋_GB2312"/>
          <w:kern w:val="0"/>
          <w:sz w:val="32"/>
          <w:szCs w:val="32"/>
          <w:highlight w:val="none"/>
        </w:rPr>
        <w:t>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55.2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12.25</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18.16%</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因上年年中辞职1人，故上年工资社保公积金较本年多，另外办公费较上年有所减少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yellow"/>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.社会保障和就业支出（类）民政管理事务（款）</w:t>
      </w:r>
      <w:r>
        <w:rPr>
          <w:rFonts w:hint="eastAsia" w:ascii="仿宋_GB2312" w:hAnsi="仿宋_GB2312" w:eastAsia="仿宋_GB2312" w:cs="仿宋_GB2312"/>
          <w:kern w:val="0"/>
          <w:sz w:val="32"/>
          <w:szCs w:val="32"/>
          <w:highlight w:val="none"/>
          <w:lang w:val="en-US" w:eastAsia="zh-CN"/>
        </w:rPr>
        <w:t>基层政权建设和社区治理</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0.66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减少</w:t>
      </w:r>
      <w:r>
        <w:rPr>
          <w:rFonts w:hint="eastAsia" w:ascii="仿宋_GB2312" w:hAnsi="仿宋_GB2312" w:eastAsia="仿宋_GB2312" w:cs="仿宋_GB2312"/>
          <w:kern w:val="0"/>
          <w:sz w:val="32"/>
          <w:szCs w:val="32"/>
          <w:highlight w:val="none"/>
          <w:lang w:val="en-US" w:eastAsia="zh-CN"/>
        </w:rPr>
        <w:t>3.72</w:t>
      </w:r>
      <w:r>
        <w:rPr>
          <w:rFonts w:hint="eastAsia" w:ascii="仿宋_GB2312" w:hAnsi="仿宋_GB2312" w:eastAsia="仿宋_GB2312" w:cs="仿宋_GB2312"/>
          <w:kern w:val="0"/>
          <w:sz w:val="32"/>
          <w:szCs w:val="32"/>
          <w:highlight w:val="none"/>
        </w:rPr>
        <w:t>万元，下降</w:t>
      </w:r>
      <w:r>
        <w:rPr>
          <w:rFonts w:hint="eastAsia" w:ascii="仿宋_GB2312" w:hAnsi="仿宋_GB2312" w:eastAsia="仿宋_GB2312" w:cs="仿宋_GB2312"/>
          <w:kern w:val="0"/>
          <w:sz w:val="32"/>
          <w:szCs w:val="32"/>
          <w:highlight w:val="none"/>
          <w:lang w:val="en-US" w:eastAsia="zh-CN"/>
        </w:rPr>
        <w:t>84.93%</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本年较上年临聘人员经费有所减少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eastAsia="zh-CN"/>
        </w:rPr>
      </w:pP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.社会保障和就业支出（类）行政事业单位养老支出（款）</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9.42</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决算增加2.09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增长28.51%</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本年较上年养老保险金调整基数</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.其他支出（类）其他支出（款）</w:t>
      </w:r>
      <w:r>
        <w:rPr>
          <w:rFonts w:hint="eastAsia" w:ascii="仿宋_GB2312" w:hAnsi="仿宋_GB2312" w:eastAsia="仿宋_GB2312" w:cs="仿宋_GB2312"/>
          <w:kern w:val="0"/>
          <w:sz w:val="32"/>
          <w:szCs w:val="32"/>
          <w:highlight w:val="none"/>
          <w:lang w:val="en-US" w:eastAsia="zh-CN"/>
        </w:rPr>
        <w:t>其他支出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0.66</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决算减少0.07</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下降9.59%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本年较上年访惠聚相关经费有所减少</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.城乡社区支出（类）其他城乡社区支出（款）</w:t>
      </w:r>
      <w:r>
        <w:rPr>
          <w:rFonts w:hint="eastAsia" w:ascii="仿宋_GB2312" w:hAnsi="仿宋_GB2312" w:eastAsia="仿宋_GB2312" w:cs="仿宋_GB2312"/>
          <w:kern w:val="0"/>
          <w:sz w:val="32"/>
          <w:szCs w:val="32"/>
          <w:highlight w:val="none"/>
          <w:lang w:val="en-US" w:eastAsia="zh-CN"/>
        </w:rPr>
        <w:t>其他城乡社区支出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eastAsia="仿宋_GB2312"/>
          <w:spacing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决算减少4.96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本年无此科目支出</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1" w:name="_Toc11146"/>
      <w:bookmarkStart w:id="22" w:name="_Toc21991"/>
      <w:r>
        <w:rPr>
          <w:rFonts w:hint="eastAsia" w:ascii="黑体" w:hAnsi="黑体" w:eastAsia="黑体" w:cs="宋体"/>
          <w:bCs/>
          <w:kern w:val="0"/>
          <w:sz w:val="32"/>
          <w:szCs w:val="32"/>
          <w:highlight w:val="none"/>
          <w:lang w:eastAsia="zh-CN"/>
        </w:rPr>
        <w:t>六、一般公共预算财政拨款基本支出决算情况说明</w:t>
      </w:r>
      <w:bookmarkEnd w:id="21"/>
      <w:bookmarkEnd w:id="2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一般公共预算财政拨款基本支出109.46万元，其中：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人员经费108.9</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、退休费。</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公用经费0.48万元，包括：办公费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手续费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3" w:name="_Toc31616"/>
      <w:bookmarkStart w:id="24"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3"/>
      <w:bookmarkEnd w:id="24"/>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“三公”经费支出决算0.00万元，比上年增加0.00万元，增长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本年度未发生</w:t>
      </w:r>
      <w:r>
        <w:rPr>
          <w:rFonts w:hint="eastAsia" w:ascii="仿宋_GB2312" w:eastAsia="仿宋_GB2312"/>
          <w:sz w:val="32"/>
          <w:szCs w:val="32"/>
          <w:highlight w:val="none"/>
        </w:rPr>
        <w:t>因公出国（境）费</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未安排购置新车及名下无公务用车，无公务接待需求</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因公出国（境）费支出0.00万元，占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本年度未发生</w:t>
      </w:r>
      <w:r>
        <w:rPr>
          <w:rFonts w:hint="eastAsia" w:ascii="仿宋_GB2312" w:eastAsia="仿宋_GB2312"/>
          <w:sz w:val="32"/>
          <w:szCs w:val="32"/>
          <w:highlight w:val="none"/>
        </w:rPr>
        <w:t>因公出国（境）费；公务用车购置及运行维护费支出0.00万元，占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，比上年增加0.00万元，增长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本单位本年未安排购置新车，同时名下无公务用车</w:t>
      </w:r>
      <w:r>
        <w:rPr>
          <w:rFonts w:hint="eastAsia" w:ascii="仿宋_GB2312" w:eastAsia="仿宋_GB2312"/>
          <w:sz w:val="32"/>
          <w:szCs w:val="32"/>
          <w:highlight w:val="none"/>
        </w:rPr>
        <w:t>；公务接待费支出0.00万元，占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，比上年增加0.00万元，增长</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本年无公务接待需求</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val="en-US" w:eastAsia="zh-CN"/>
        </w:rPr>
        <w:t>本年度未发生因公出国（境）费</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公务用车购置及运行维护费0.00万元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公务用车购置费0.00万元，公务用车运行维护费0.00万元。公务用车运行维护费开支内容包括</w:t>
      </w:r>
      <w:r>
        <w:rPr>
          <w:rFonts w:hint="eastAsia" w:ascii="仿宋_GB2312" w:eastAsia="仿宋_GB2312"/>
          <w:sz w:val="32"/>
          <w:szCs w:val="32"/>
          <w:highlight w:val="none"/>
          <w:lang w:val="en-US" w:eastAsia="zh-CN"/>
        </w:rPr>
        <w:t>本单位本年未安排购置新车，同时名下无公务用车</w:t>
      </w:r>
      <w:r>
        <w:rPr>
          <w:rFonts w:hint="eastAsia" w:ascii="仿宋_GB2312" w:eastAsia="仿宋_GB2312"/>
          <w:sz w:val="32"/>
          <w:szCs w:val="32"/>
          <w:highlight w:val="none"/>
        </w:rPr>
        <w:t>。公务用车购置数0辆，公务用车保有量0辆。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公务接待费0.00万元，开支内容包括</w:t>
      </w:r>
      <w:r>
        <w:rPr>
          <w:rFonts w:hint="eastAsia" w:ascii="仿宋_GB2312" w:eastAsia="仿宋_GB2312"/>
          <w:sz w:val="32"/>
          <w:szCs w:val="32"/>
          <w:highlight w:val="none"/>
          <w:lang w:val="en-US" w:eastAsia="zh-CN"/>
        </w:rPr>
        <w:t>本年无公务接待需求</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2.23万元，决算数0.00万元，预决算差异率-100.00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本年未安排购置新车及名下无公务用车，无公务接待需求</w:t>
      </w:r>
      <w:r>
        <w:rPr>
          <w:rFonts w:hint="eastAsia" w:ascii="仿宋_GB2312" w:eastAsia="仿宋_GB2312"/>
          <w:sz w:val="32"/>
          <w:szCs w:val="32"/>
          <w:highlight w:val="none"/>
        </w:rPr>
        <w:t>。其中：因公出国（境）费</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rPr>
        <w:t>0.00万元，决算数0.00万元，预决算差异率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本年未安排</w:t>
      </w:r>
      <w:r>
        <w:rPr>
          <w:rFonts w:hint="eastAsia" w:ascii="仿宋_GB2312" w:eastAsia="仿宋_GB2312"/>
          <w:sz w:val="32"/>
          <w:szCs w:val="32"/>
          <w:highlight w:val="none"/>
        </w:rPr>
        <w:t>公出国（境）费；公务用车购置费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预算数0.00万元，决算数0.00万元，预决算差异率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本年未安排购置新车</w:t>
      </w:r>
      <w:r>
        <w:rPr>
          <w:rFonts w:hint="eastAsia" w:ascii="仿宋_GB2312" w:eastAsia="仿宋_GB2312"/>
          <w:sz w:val="32"/>
          <w:szCs w:val="32"/>
          <w:highlight w:val="none"/>
        </w:rPr>
        <w:t>；公务用车运行费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预算数2.23万元，决算数0.00万元，预决算差异率-100.00</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本单位名下无公务用车</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预算数0.00万元，决算数0.00万元，预决算差异率</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本年无公务接待需求</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5" w:name="_Toc23927"/>
      <w:bookmarkStart w:id="26"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7" w:name="_Toc18239"/>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8" w:name="_Toc7314"/>
      <w:bookmarkStart w:id="29" w:name="_Toc78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30" w:name="_Toc13105"/>
      <w:bookmarkStart w:id="31" w:name="_Toc11148"/>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30"/>
      <w:bookmarkEnd w:id="31"/>
    </w:p>
    <w:p>
      <w:pPr>
        <w:ind w:firstLine="640" w:firstLineChars="200"/>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中共乌鲁木齐市水磨沟区委员会机构编制委员会办公室（行政单位和参照公务员法管理事业单位）机关运行经费支出0.48万元，比上年减少1.86万元，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rPr>
        <w:t>79.</w:t>
      </w:r>
      <w:r>
        <w:rPr>
          <w:rFonts w:hint="eastAsia" w:ascii="仿宋_GB2312" w:eastAsia="仿宋_GB2312"/>
          <w:sz w:val="32"/>
          <w:szCs w:val="32"/>
          <w:highlight w:val="none"/>
          <w:lang w:val="en-US" w:eastAsia="zh-CN"/>
        </w:rPr>
        <w:t>49%</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本年较上年</w:t>
      </w:r>
      <w:r>
        <w:rPr>
          <w:rFonts w:hint="eastAsia" w:ascii="仿宋_GB2312" w:eastAsia="仿宋_GB2312"/>
          <w:sz w:val="32"/>
          <w:szCs w:val="32"/>
          <w:highlight w:val="none"/>
        </w:rPr>
        <w:t>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邮电费有所减少。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2" w:name="_Toc2045"/>
      <w:bookmarkStart w:id="33" w:name="_Toc26704"/>
      <w:r>
        <w:rPr>
          <w:rFonts w:hint="eastAsia" w:ascii="黑体" w:hAnsi="黑体" w:eastAsia="黑体"/>
          <w:sz w:val="32"/>
          <w:szCs w:val="32"/>
          <w:highlight w:val="none"/>
          <w:lang w:eastAsia="zh-CN"/>
        </w:rPr>
        <w:t>（二）政府采购情况</w:t>
      </w:r>
      <w:bookmarkEnd w:id="32"/>
      <w:bookmarkEnd w:id="33"/>
    </w:p>
    <w:p>
      <w:pPr>
        <w:ind w:firstLine="640" w:firstLineChars="200"/>
        <w:rPr>
          <w:rFonts w:hint="eastAsia" w:ascii="仿宋_GB2312" w:eastAsia="仿宋_GB2312"/>
          <w:sz w:val="32"/>
          <w:szCs w:val="32"/>
          <w:highlight w:val="none"/>
        </w:rPr>
      </w:pP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w:t>
      </w:r>
      <w:r>
        <w:rPr>
          <w:rFonts w:hint="eastAsia" w:ascii="仿宋_GB2312" w:eastAsia="仿宋_GB2312"/>
          <w:sz w:val="32"/>
          <w:szCs w:val="32"/>
          <w:highlight w:val="none"/>
        </w:rPr>
        <w:t>政府采购支出总额0.00万元，其中：政府采购货物支出0.00万元、政府采购工程支出0.00万元、政府采购服务支出0.00万元。</w:t>
      </w:r>
    </w:p>
    <w:p>
      <w:pPr>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授予中小企业合同金额0.00万元，占政府采购支出总额的</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，其中：授予小微企业合同金额0.00万元，占政府采购支出总额的</w:t>
      </w:r>
      <w:r>
        <w:rPr>
          <w:rFonts w:hint="eastAsia" w:ascii="仿宋_GB2312" w:eastAsia="仿宋_GB2312"/>
          <w:sz w:val="32"/>
          <w:szCs w:val="32"/>
          <w:highlight w:val="none"/>
          <w:lang w:val="en-US" w:eastAsia="zh-CN"/>
        </w:rPr>
        <w:t>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4" w:name="_Toc4591"/>
      <w:bookmarkStart w:id="35" w:name="_Toc29679"/>
      <w:r>
        <w:rPr>
          <w:rFonts w:hint="eastAsia" w:ascii="黑体" w:hAnsi="黑体" w:eastAsia="黑体"/>
          <w:sz w:val="32"/>
          <w:szCs w:val="32"/>
          <w:highlight w:val="none"/>
          <w:lang w:eastAsia="zh-CN"/>
        </w:rPr>
        <w:t>（三）国有资产占用情况说明</w:t>
      </w:r>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pacing w:val="0"/>
          <w:sz w:val="32"/>
          <w:szCs w:val="32"/>
          <w:highlight w:val="none"/>
          <w:lang w:val="en-US"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43.12万元，房屋0平方米，价值0.00万元。车辆0辆，价值0.00万元，其中：副部（省）级及以上领导用车0辆、主要领导干部用车0辆、机要通信用车0辆、应急保障用车0辆、执法执勤用车0辆、特种专业技术用车0辆、离退休干部用车0辆、其他用车0辆，其他用车主要是：本单位无其他用车；单价100万元（含）以上设备（不含车辆）0台（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6" w:name="_Toc435"/>
      <w:bookmarkStart w:id="37" w:name="_Toc25468"/>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6"/>
      <w:bookmarkEnd w:id="3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预算绩效管理取得的成效：我单位2022年度无绩效自评项目。发现的问题及原因：我单位2022年度无绩效自评项目。下一步改进措施：我单位 2022 年度无绩效自评项目。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8" w:name="_Toc24143"/>
      <w:r>
        <w:rPr>
          <w:rFonts w:hint="eastAsia" w:ascii="黑体" w:hAnsi="黑体" w:eastAsia="黑体"/>
          <w:sz w:val="32"/>
          <w:szCs w:val="32"/>
          <w:highlight w:val="none"/>
        </w:rPr>
        <w:br w:type="page"/>
      </w:r>
      <w:bookmarkStart w:id="39" w:name="_Toc5402"/>
      <w:r>
        <w:rPr>
          <w:rFonts w:hint="eastAsia" w:ascii="黑体" w:hAnsi="黑体" w:eastAsia="黑体"/>
          <w:sz w:val="32"/>
          <w:szCs w:val="32"/>
          <w:highlight w:val="none"/>
        </w:rPr>
        <w:t>第三部分 专业名词解释</w:t>
      </w:r>
      <w:bookmarkEnd w:id="38"/>
      <w:bookmarkEnd w:id="39"/>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40" w:name="_Toc28903"/>
      <w:r>
        <w:rPr>
          <w:rFonts w:hint="eastAsia" w:ascii="黑体" w:hAnsi="黑体" w:eastAsia="黑体"/>
          <w:sz w:val="32"/>
          <w:szCs w:val="32"/>
          <w:highlight w:val="none"/>
        </w:rPr>
        <w:br w:type="page"/>
      </w:r>
      <w:bookmarkStart w:id="41" w:name="_Toc28705"/>
      <w:r>
        <w:rPr>
          <w:rFonts w:hint="eastAsia" w:ascii="黑体" w:hAnsi="黑体" w:eastAsia="黑体"/>
          <w:sz w:val="32"/>
          <w:szCs w:val="32"/>
          <w:highlight w:val="none"/>
        </w:rPr>
        <w:t>第四部分 部门决算报表（见附表）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085"/>
      <w:bookmarkStart w:id="43" w:name="_Toc6062"/>
      <w:r>
        <w:rPr>
          <w:rFonts w:hint="eastAsia" w:ascii="黑体" w:hAnsi="黑体" w:eastAsia="黑体" w:cs="宋体"/>
          <w:bCs/>
          <w:kern w:val="0"/>
          <w:sz w:val="32"/>
          <w:szCs w:val="32"/>
          <w:highlight w:val="none"/>
        </w:rPr>
        <w:t>一、《收入支出决算总表》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28945"/>
      <w:bookmarkStart w:id="45" w:name="_Toc30364"/>
      <w:r>
        <w:rPr>
          <w:rFonts w:hint="eastAsia" w:ascii="黑体" w:hAnsi="黑体" w:eastAsia="黑体" w:cs="宋体"/>
          <w:bCs/>
          <w:kern w:val="0"/>
          <w:sz w:val="32"/>
          <w:szCs w:val="32"/>
          <w:highlight w:val="none"/>
        </w:rPr>
        <w:t>二、《收入决算表》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21304"/>
      <w:bookmarkStart w:id="47" w:name="_Toc8517"/>
      <w:r>
        <w:rPr>
          <w:rFonts w:hint="eastAsia" w:ascii="黑体" w:hAnsi="黑体" w:eastAsia="黑体" w:cs="宋体"/>
          <w:bCs/>
          <w:kern w:val="0"/>
          <w:sz w:val="32"/>
          <w:szCs w:val="32"/>
          <w:highlight w:val="none"/>
        </w:rPr>
        <w:t>三、《支出决算表》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70"/>
      <w:bookmarkStart w:id="49" w:name="_Toc14238"/>
      <w:r>
        <w:rPr>
          <w:rFonts w:hint="eastAsia" w:ascii="黑体" w:hAnsi="黑体" w:eastAsia="黑体" w:cs="宋体"/>
          <w:bCs/>
          <w:kern w:val="0"/>
          <w:sz w:val="32"/>
          <w:szCs w:val="32"/>
          <w:highlight w:val="none"/>
        </w:rPr>
        <w:t>四、《财政拨款收入支出决算总表》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0" w:name="_Toc10347"/>
      <w:bookmarkStart w:id="51" w:name="_Toc28665"/>
      <w:r>
        <w:rPr>
          <w:rFonts w:hint="eastAsia" w:ascii="黑体" w:hAnsi="黑体" w:eastAsia="黑体" w:cs="宋体"/>
          <w:bCs/>
          <w:kern w:val="0"/>
          <w:sz w:val="32"/>
          <w:szCs w:val="32"/>
          <w:highlight w:val="none"/>
        </w:rPr>
        <w:t>五、《一般公共预算财政拨款支出决算表》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626"/>
      <w:bookmarkStart w:id="53" w:name="_Toc7755"/>
      <w:r>
        <w:rPr>
          <w:rFonts w:hint="eastAsia" w:ascii="黑体" w:hAnsi="黑体" w:eastAsia="黑体" w:cs="宋体"/>
          <w:bCs/>
          <w:kern w:val="0"/>
          <w:sz w:val="32"/>
          <w:szCs w:val="32"/>
          <w:highlight w:val="none"/>
        </w:rPr>
        <w:t>六、《一般公共预算财政拨款基本支出决算表》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4" w:name="_Toc28776"/>
      <w:r>
        <w:rPr>
          <w:rFonts w:hint="eastAsia" w:ascii="黑体" w:hAnsi="黑体" w:eastAsia="黑体" w:cs="宋体"/>
          <w:bCs/>
          <w:kern w:val="0"/>
          <w:sz w:val="32"/>
          <w:szCs w:val="32"/>
          <w:highlight w:val="none"/>
        </w:rPr>
        <w:t>七、</w:t>
      </w:r>
      <w:bookmarkStart w:id="55" w:name="_Toc32663"/>
      <w:r>
        <w:rPr>
          <w:rFonts w:hint="eastAsia" w:ascii="黑体" w:hAnsi="黑体" w:eastAsia="黑体" w:cs="宋体"/>
          <w:bCs/>
          <w:kern w:val="0"/>
          <w:sz w:val="32"/>
          <w:szCs w:val="32"/>
          <w:highlight w:val="none"/>
        </w:rPr>
        <w:t>《财政拨款“三公”经费支出决算表》</w:t>
      </w:r>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6" w:name="_Toc5453"/>
      <w:bookmarkStart w:id="57" w:name="_Toc29062"/>
      <w:r>
        <w:rPr>
          <w:rFonts w:hint="eastAsia" w:ascii="黑体" w:hAnsi="黑体" w:eastAsia="黑体" w:cs="宋体"/>
          <w:bCs/>
          <w:kern w:val="0"/>
          <w:sz w:val="32"/>
          <w:szCs w:val="32"/>
          <w:highlight w:val="none"/>
        </w:rPr>
        <w:t>八、《政府性基金预算财政拨款收入支出决算表》</w:t>
      </w:r>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8" w:name="_Toc7101"/>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5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xNjNjNTIzNzg1M2YxYjRkZjYxZTRkZTg2OTFlZGMifQ=="/>
  </w:docVars>
  <w:rsids>
    <w:rsidRoot w:val="00000000"/>
    <w:rsid w:val="00187411"/>
    <w:rsid w:val="00E65F3E"/>
    <w:rsid w:val="01205ED0"/>
    <w:rsid w:val="024632B0"/>
    <w:rsid w:val="02F70946"/>
    <w:rsid w:val="02F73D26"/>
    <w:rsid w:val="034D4FEF"/>
    <w:rsid w:val="0408420B"/>
    <w:rsid w:val="043E5B56"/>
    <w:rsid w:val="04BE5E9C"/>
    <w:rsid w:val="059E02E2"/>
    <w:rsid w:val="06792773"/>
    <w:rsid w:val="06DB1E8B"/>
    <w:rsid w:val="07833BF6"/>
    <w:rsid w:val="086F792B"/>
    <w:rsid w:val="093D2F70"/>
    <w:rsid w:val="094364DB"/>
    <w:rsid w:val="09C34CDA"/>
    <w:rsid w:val="0A7B4867"/>
    <w:rsid w:val="0B8C3ECC"/>
    <w:rsid w:val="0C7227A7"/>
    <w:rsid w:val="0D95707B"/>
    <w:rsid w:val="0F4C440A"/>
    <w:rsid w:val="0FD8358B"/>
    <w:rsid w:val="102E443C"/>
    <w:rsid w:val="10535B83"/>
    <w:rsid w:val="10C416CD"/>
    <w:rsid w:val="11641055"/>
    <w:rsid w:val="13065313"/>
    <w:rsid w:val="141B153C"/>
    <w:rsid w:val="142B5C8A"/>
    <w:rsid w:val="14840D50"/>
    <w:rsid w:val="1896768E"/>
    <w:rsid w:val="19B54F1C"/>
    <w:rsid w:val="19DB6010"/>
    <w:rsid w:val="19FB4C32"/>
    <w:rsid w:val="1A45188B"/>
    <w:rsid w:val="1A9504D2"/>
    <w:rsid w:val="1C451F3D"/>
    <w:rsid w:val="1CA148EC"/>
    <w:rsid w:val="1D1C0892"/>
    <w:rsid w:val="1DAF458D"/>
    <w:rsid w:val="1DFA6FC7"/>
    <w:rsid w:val="1E2F0013"/>
    <w:rsid w:val="1E614A32"/>
    <w:rsid w:val="1EA8342C"/>
    <w:rsid w:val="1F516E45"/>
    <w:rsid w:val="20DD6197"/>
    <w:rsid w:val="20F908BC"/>
    <w:rsid w:val="22FB27AF"/>
    <w:rsid w:val="23BC04D2"/>
    <w:rsid w:val="23E20424"/>
    <w:rsid w:val="23FF6174"/>
    <w:rsid w:val="24862298"/>
    <w:rsid w:val="26605D33"/>
    <w:rsid w:val="27CF2642"/>
    <w:rsid w:val="28125EB5"/>
    <w:rsid w:val="28923161"/>
    <w:rsid w:val="295F55B3"/>
    <w:rsid w:val="29B10A15"/>
    <w:rsid w:val="29D43C4C"/>
    <w:rsid w:val="2A053397"/>
    <w:rsid w:val="2AF411F0"/>
    <w:rsid w:val="2B390E63"/>
    <w:rsid w:val="2C926112"/>
    <w:rsid w:val="2CAD427C"/>
    <w:rsid w:val="2CB371D5"/>
    <w:rsid w:val="2D1136DF"/>
    <w:rsid w:val="2E585406"/>
    <w:rsid w:val="2E8B6DBF"/>
    <w:rsid w:val="2EF02335"/>
    <w:rsid w:val="2F041DB2"/>
    <w:rsid w:val="2F1A7CE7"/>
    <w:rsid w:val="2FD27414"/>
    <w:rsid w:val="319501D5"/>
    <w:rsid w:val="31C63837"/>
    <w:rsid w:val="31D7657D"/>
    <w:rsid w:val="3311756E"/>
    <w:rsid w:val="33B777EE"/>
    <w:rsid w:val="370552AF"/>
    <w:rsid w:val="3914510A"/>
    <w:rsid w:val="39206B05"/>
    <w:rsid w:val="39662DA7"/>
    <w:rsid w:val="3AAD3C01"/>
    <w:rsid w:val="3C2C2433"/>
    <w:rsid w:val="3D5275AC"/>
    <w:rsid w:val="3D5C6FC3"/>
    <w:rsid w:val="3D676408"/>
    <w:rsid w:val="3E2B6937"/>
    <w:rsid w:val="3E895E02"/>
    <w:rsid w:val="40834692"/>
    <w:rsid w:val="41921E07"/>
    <w:rsid w:val="4214534E"/>
    <w:rsid w:val="428D08BE"/>
    <w:rsid w:val="42980027"/>
    <w:rsid w:val="42AF1B54"/>
    <w:rsid w:val="42D92779"/>
    <w:rsid w:val="451708E7"/>
    <w:rsid w:val="46901EEE"/>
    <w:rsid w:val="469C74D2"/>
    <w:rsid w:val="46F870EF"/>
    <w:rsid w:val="4A101F39"/>
    <w:rsid w:val="4A9250D2"/>
    <w:rsid w:val="4B276E6C"/>
    <w:rsid w:val="4B4046AA"/>
    <w:rsid w:val="4B4C0111"/>
    <w:rsid w:val="4BF5277C"/>
    <w:rsid w:val="4D4D4BAD"/>
    <w:rsid w:val="4EE0708A"/>
    <w:rsid w:val="4F921B37"/>
    <w:rsid w:val="50A729E0"/>
    <w:rsid w:val="50DB5F45"/>
    <w:rsid w:val="50F91F8F"/>
    <w:rsid w:val="510E20D4"/>
    <w:rsid w:val="5217704A"/>
    <w:rsid w:val="52695917"/>
    <w:rsid w:val="52EA4B19"/>
    <w:rsid w:val="52F90B5F"/>
    <w:rsid w:val="52F92565"/>
    <w:rsid w:val="54882E73"/>
    <w:rsid w:val="55CF1C7C"/>
    <w:rsid w:val="55E916B2"/>
    <w:rsid w:val="56DF422C"/>
    <w:rsid w:val="571A2F2D"/>
    <w:rsid w:val="571C510A"/>
    <w:rsid w:val="579734D6"/>
    <w:rsid w:val="57E71C6C"/>
    <w:rsid w:val="583059FA"/>
    <w:rsid w:val="58F43D57"/>
    <w:rsid w:val="59AE4483"/>
    <w:rsid w:val="5A9D66AD"/>
    <w:rsid w:val="5B343965"/>
    <w:rsid w:val="5C747E73"/>
    <w:rsid w:val="5CE449C2"/>
    <w:rsid w:val="5D223904"/>
    <w:rsid w:val="5FA17648"/>
    <w:rsid w:val="5FD92A42"/>
    <w:rsid w:val="603242E4"/>
    <w:rsid w:val="60B06829"/>
    <w:rsid w:val="60F073F9"/>
    <w:rsid w:val="614E6014"/>
    <w:rsid w:val="61A46A97"/>
    <w:rsid w:val="62233CE2"/>
    <w:rsid w:val="62DD7D21"/>
    <w:rsid w:val="63AA08DB"/>
    <w:rsid w:val="65D97752"/>
    <w:rsid w:val="66941F28"/>
    <w:rsid w:val="66E36A4E"/>
    <w:rsid w:val="680A00B2"/>
    <w:rsid w:val="68847975"/>
    <w:rsid w:val="68DB0208"/>
    <w:rsid w:val="692C17C2"/>
    <w:rsid w:val="69847A48"/>
    <w:rsid w:val="69AD798C"/>
    <w:rsid w:val="6AC624F6"/>
    <w:rsid w:val="6B68175F"/>
    <w:rsid w:val="6BF74904"/>
    <w:rsid w:val="6D1D043C"/>
    <w:rsid w:val="6DE16DD4"/>
    <w:rsid w:val="6E0F7A08"/>
    <w:rsid w:val="6E9353DF"/>
    <w:rsid w:val="6F6A18FA"/>
    <w:rsid w:val="70F3754D"/>
    <w:rsid w:val="71473612"/>
    <w:rsid w:val="71601251"/>
    <w:rsid w:val="71736231"/>
    <w:rsid w:val="718F7F65"/>
    <w:rsid w:val="71FC679B"/>
    <w:rsid w:val="72604580"/>
    <w:rsid w:val="72AD5779"/>
    <w:rsid w:val="73A5380D"/>
    <w:rsid w:val="73E26AA9"/>
    <w:rsid w:val="73FB6630"/>
    <w:rsid w:val="741D5A21"/>
    <w:rsid w:val="7447570D"/>
    <w:rsid w:val="745578A0"/>
    <w:rsid w:val="74DE75EA"/>
    <w:rsid w:val="74E76DCD"/>
    <w:rsid w:val="74F758A8"/>
    <w:rsid w:val="753D6767"/>
    <w:rsid w:val="77CD4CA6"/>
    <w:rsid w:val="77ED6F44"/>
    <w:rsid w:val="7A7D0745"/>
    <w:rsid w:val="7B957477"/>
    <w:rsid w:val="7C883F0C"/>
    <w:rsid w:val="7D697356"/>
    <w:rsid w:val="7E065D39"/>
    <w:rsid w:val="7EA74BE5"/>
    <w:rsid w:val="7F9B13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toc 2"/>
    <w:basedOn w:val="1"/>
    <w:next w:val="1"/>
    <w:qFormat/>
    <w:uiPriority w:val="0"/>
    <w:pPr>
      <w:ind w:left="420" w:leftChars="200"/>
    </w:pPr>
  </w:style>
  <w:style w:type="paragraph" w:customStyle="1" w:styleId="10">
    <w:name w:val="WPSOffice手动目录 2"/>
    <w:uiPriority w:val="0"/>
    <w:pPr>
      <w:ind w:leftChars="200"/>
    </w:pPr>
    <w:rPr>
      <w:rFonts w:ascii="Times New Roman" w:hAnsi="Times New Roman" w:eastAsia="宋体" w:cs="Times New Roman"/>
      <w:sz w:val="20"/>
      <w:szCs w:val="20"/>
    </w:rPr>
  </w:style>
  <w:style w:type="paragraph" w:customStyle="1" w:styleId="11">
    <w:name w:val="WPSOffice手动目录 3"/>
    <w:qFormat/>
    <w:uiPriority w:val="0"/>
    <w:pPr>
      <w:ind w:leftChars="400"/>
    </w:pPr>
    <w:rPr>
      <w:rFonts w:ascii="Times New Roman" w:hAnsi="Times New Roman" w:eastAsia="宋体" w:cs="Times New Roman"/>
      <w:sz w:val="20"/>
      <w:szCs w:val="20"/>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5307</Words>
  <Characters>5815</Characters>
  <Lines>0</Lines>
  <Paragraphs>0</Paragraphs>
  <TotalTime>38</TotalTime>
  <ScaleCrop>false</ScaleCrop>
  <LinksUpToDate>false</LinksUpToDate>
  <CharactersWithSpaces>5827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2024-02-19T04:30:02Z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CD0517BCBF5744A4BDF6F7F184B86685</vt:lpwstr>
  </property>
</Properties>
</file>