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olor w:val="auto"/>
          <w:sz w:val="32"/>
          <w:szCs w:val="32"/>
          <w:highlight w:val="none"/>
          <w:lang w:eastAsia="zh-CN"/>
        </w:rPr>
      </w:pPr>
    </w:p>
    <w:p>
      <w:pPr>
        <w:jc w:val="center"/>
        <w:rPr>
          <w:rFonts w:hint="eastAsia" w:ascii="方正小标宋_GBK" w:hAnsi="宋体" w:eastAsia="方正小标宋_GBK"/>
          <w:color w:val="auto"/>
          <w:sz w:val="44"/>
          <w:szCs w:val="44"/>
          <w:highlight w:val="none"/>
        </w:rPr>
      </w:pPr>
    </w:p>
    <w:p>
      <w:pPr>
        <w:jc w:val="center"/>
        <w:rPr>
          <w:rFonts w:hint="eastAsia" w:ascii="方正小标宋_GBK" w:hAnsi="宋体" w:eastAsia="方正小标宋_GBK"/>
          <w:color w:val="auto"/>
          <w:sz w:val="44"/>
          <w:szCs w:val="44"/>
          <w:highlight w:val="none"/>
        </w:rPr>
      </w:pPr>
    </w:p>
    <w:p>
      <w:pPr>
        <w:jc w:val="center"/>
        <w:rPr>
          <w:rFonts w:hint="eastAsia" w:ascii="方正小标宋_GBK" w:hAnsi="宋体" w:eastAsia="方正小标宋_GBK"/>
          <w:color w:val="auto"/>
          <w:sz w:val="44"/>
          <w:szCs w:val="44"/>
          <w:highlight w:val="none"/>
        </w:rPr>
      </w:pPr>
    </w:p>
    <w:p>
      <w:pPr>
        <w:jc w:val="center"/>
        <w:rPr>
          <w:rFonts w:hint="eastAsia" w:ascii="方正小标宋_GBK" w:hAnsi="宋体" w:eastAsia="方正小标宋_GBK"/>
          <w:color w:val="auto"/>
          <w:sz w:val="44"/>
          <w:szCs w:val="44"/>
          <w:highlight w:val="none"/>
        </w:rPr>
      </w:pPr>
      <w:r>
        <w:rPr>
          <w:rFonts w:hint="eastAsia" w:ascii="方正小标宋_GBK" w:hAnsi="宋体" w:eastAsia="方正小标宋_GBK"/>
          <w:color w:val="auto"/>
          <w:sz w:val="44"/>
          <w:szCs w:val="44"/>
          <w:highlight w:val="none"/>
        </w:rPr>
        <w:t>乌鲁木齐市第七十七小学2022年度</w:t>
      </w:r>
    </w:p>
    <w:p>
      <w:pPr>
        <w:jc w:val="center"/>
        <w:rPr>
          <w:rFonts w:hint="eastAsia" w:ascii="仿宋_GB2312" w:hAnsi="仿宋_GB2312" w:eastAsia="仿宋_GB2312" w:cs="仿宋_GB2312"/>
          <w:bCs/>
          <w:color w:val="auto"/>
          <w:kern w:val="0"/>
          <w:sz w:val="32"/>
          <w:szCs w:val="32"/>
          <w:highlight w:val="none"/>
        </w:rPr>
      </w:pPr>
      <w:r>
        <w:rPr>
          <w:rFonts w:hint="eastAsia" w:ascii="方正小标宋_GBK" w:hAnsi="宋体" w:eastAsia="方正小标宋_GBK"/>
          <w:color w:val="auto"/>
          <w:sz w:val="44"/>
          <w:szCs w:val="44"/>
          <w:highlight w:val="none"/>
        </w:rPr>
        <w:t>部门决算公开说明</w:t>
      </w:r>
      <w:r>
        <w:rPr>
          <w:rFonts w:hint="eastAsia" w:ascii="方正小标宋_GBK" w:hAnsi="宋体" w:eastAsia="方正小标宋_GBK"/>
          <w:color w:val="auto"/>
          <w:sz w:val="44"/>
          <w:szCs w:val="44"/>
          <w:highlight w:val="none"/>
        </w:rPr>
        <w:br w:type="page"/>
      </w:r>
      <w:r>
        <w:rPr>
          <w:rFonts w:hint="eastAsia" w:ascii="仿宋_GB2312" w:hAnsi="仿宋_GB2312" w:eastAsia="仿宋_GB2312" w:cs="仿宋_GB2312"/>
          <w:b/>
          <w:color w:val="auto"/>
          <w:kern w:val="0"/>
          <w:sz w:val="36"/>
          <w:szCs w:val="36"/>
          <w:highlight w:val="none"/>
        </w:rPr>
        <w:t>目  录</w:t>
      </w:r>
    </w:p>
    <w:p>
      <w:pPr>
        <w:pStyle w:val="8"/>
        <w:tabs>
          <w:tab w:val="right" w:pos="8306"/>
        </w:tabs>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TOC \o "1-3" \n  \h \u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
          <w:bCs/>
          <w:color w:val="auto"/>
          <w:sz w:val="32"/>
          <w:szCs w:val="32"/>
          <w:highlight w:val="none"/>
        </w:rPr>
        <w:fldChar w:fldCharType="begin"/>
      </w:r>
      <w:r>
        <w:rPr>
          <w:rFonts w:hint="eastAsia" w:ascii="仿宋_GB2312" w:hAnsi="仿宋_GB2312" w:eastAsia="仿宋_GB2312" w:cs="仿宋_GB2312"/>
          <w:b/>
          <w:bCs/>
          <w:color w:val="auto"/>
          <w:sz w:val="32"/>
          <w:szCs w:val="32"/>
          <w:highlight w:val="none"/>
        </w:rPr>
        <w:instrText xml:space="preserve"> HYPERLINK \l _Toc32314 </w:instrText>
      </w:r>
      <w:r>
        <w:rPr>
          <w:rFonts w:hint="eastAsia" w:ascii="仿宋_GB2312" w:hAnsi="仿宋_GB2312" w:eastAsia="仿宋_GB2312" w:cs="仿宋_GB2312"/>
          <w:b/>
          <w:bCs/>
          <w:color w:val="auto"/>
          <w:sz w:val="32"/>
          <w:szCs w:val="32"/>
          <w:highlight w:val="none"/>
        </w:rPr>
        <w:fldChar w:fldCharType="separate"/>
      </w:r>
      <w:r>
        <w:rPr>
          <w:rFonts w:hint="eastAsia" w:ascii="仿宋_GB2312" w:hAnsi="仿宋_GB2312" w:eastAsia="仿宋_GB2312" w:cs="仿宋_GB2312"/>
          <w:b/>
          <w:bCs/>
          <w:color w:val="auto"/>
          <w:sz w:val="32"/>
          <w:szCs w:val="32"/>
          <w:highlight w:val="none"/>
        </w:rPr>
        <w:t>第一部分 单位概况</w:t>
      </w:r>
      <w:r>
        <w:rPr>
          <w:rFonts w:hint="eastAsia" w:ascii="仿宋_GB2312" w:hAnsi="仿宋_GB2312" w:eastAsia="仿宋_GB2312" w:cs="仿宋_GB2312"/>
          <w:b/>
          <w:bCs/>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_Toc30567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一、主要职能</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_Toc2151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二、机构设置及人员情况</w:t>
      </w:r>
      <w:r>
        <w:rPr>
          <w:rFonts w:hint="eastAsia" w:ascii="仿宋_GB2312" w:hAnsi="仿宋_GB2312" w:eastAsia="仿宋_GB2312" w:cs="仿宋_GB2312"/>
          <w:color w:val="auto"/>
          <w:sz w:val="32"/>
          <w:szCs w:val="32"/>
          <w:highlight w:val="none"/>
        </w:rPr>
        <w:fldChar w:fldCharType="end"/>
      </w:r>
    </w:p>
    <w:p>
      <w:pPr>
        <w:pStyle w:val="8"/>
        <w:tabs>
          <w:tab w:val="right" w:pos="8306"/>
        </w:tabs>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fldChar w:fldCharType="begin"/>
      </w:r>
      <w:r>
        <w:rPr>
          <w:rFonts w:hint="eastAsia" w:ascii="仿宋_GB2312" w:hAnsi="仿宋_GB2312" w:eastAsia="仿宋_GB2312" w:cs="仿宋_GB2312"/>
          <w:b/>
          <w:bCs/>
          <w:color w:val="auto"/>
          <w:sz w:val="32"/>
          <w:szCs w:val="32"/>
          <w:highlight w:val="none"/>
        </w:rPr>
        <w:instrText xml:space="preserve"> HYPERLINK \l _Toc29374 </w:instrText>
      </w:r>
      <w:r>
        <w:rPr>
          <w:rFonts w:hint="eastAsia" w:ascii="仿宋_GB2312" w:hAnsi="仿宋_GB2312" w:eastAsia="仿宋_GB2312" w:cs="仿宋_GB2312"/>
          <w:b/>
          <w:bCs/>
          <w:color w:val="auto"/>
          <w:sz w:val="32"/>
          <w:szCs w:val="32"/>
          <w:highlight w:val="none"/>
        </w:rPr>
        <w:fldChar w:fldCharType="separate"/>
      </w:r>
      <w:r>
        <w:rPr>
          <w:rFonts w:hint="eastAsia" w:ascii="仿宋_GB2312" w:hAnsi="仿宋_GB2312" w:eastAsia="仿宋_GB2312" w:cs="仿宋_GB2312"/>
          <w:b/>
          <w:bCs/>
          <w:color w:val="auto"/>
          <w:sz w:val="32"/>
          <w:szCs w:val="32"/>
          <w:highlight w:val="none"/>
        </w:rPr>
        <w:t>第二部分 部门决算情况说明</w:t>
      </w:r>
      <w:r>
        <w:rPr>
          <w:rFonts w:hint="eastAsia" w:ascii="仿宋_GB2312" w:hAnsi="仿宋_GB2312" w:eastAsia="仿宋_GB2312" w:cs="仿宋_GB2312"/>
          <w:b/>
          <w:bCs/>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_Toc25314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一、收入支出决算总体情况说明</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_Toc12142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二、收入决算情况说明</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_Toc13201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三、支出决算情况说明</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_Toc26564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四、财政拨款收入支出决算总体情况说明</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_Toc20360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五、一般公共预算财政拨款支出决算情况说明</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_Toc30870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六、一般公共预算财政拨款基本支出决算情况说明</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_Toc21518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七、财政拨款“三公”经费支出决算情况说明</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_Toc5810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八、政府性基金预算财政拨款收入支出决算情况说明</w:t>
      </w:r>
      <w:r>
        <w:rPr>
          <w:rFonts w:hint="eastAsia" w:ascii="仿宋_GB2312" w:hAnsi="仿宋_GB2312" w:eastAsia="仿宋_GB2312" w:cs="仿宋_GB2312"/>
          <w:color w:val="auto"/>
          <w:sz w:val="32"/>
          <w:szCs w:val="32"/>
          <w:highlight w:val="none"/>
        </w:rPr>
        <w:fldChar w:fldCharType="end"/>
      </w:r>
    </w:p>
    <w:p>
      <w:pPr>
        <w:rPr>
          <w:rFonts w:hint="eastAsia"/>
          <w:color w:val="auto"/>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_Toc5810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九、国有资本经营预算财政拨款收入支出决算情况说明</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_Toc1235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十</w:t>
      </w:r>
      <w:r>
        <w:rPr>
          <w:rFonts w:hint="eastAsia" w:ascii="仿宋_GB2312" w:hAnsi="仿宋_GB2312" w:eastAsia="仿宋_GB2312" w:cs="仿宋_GB2312"/>
          <w:bCs/>
          <w:color w:val="auto"/>
          <w:kern w:val="0"/>
          <w:sz w:val="32"/>
          <w:szCs w:val="32"/>
          <w:highlight w:val="none"/>
        </w:rPr>
        <w:t>、其他重要事项的情况说明</w:t>
      </w:r>
      <w:r>
        <w:rPr>
          <w:rFonts w:hint="eastAsia" w:ascii="仿宋_GB2312" w:hAnsi="仿宋_GB2312" w:eastAsia="仿宋_GB2312" w:cs="仿宋_GB2312"/>
          <w:color w:val="auto"/>
          <w:sz w:val="32"/>
          <w:szCs w:val="32"/>
          <w:highlight w:val="none"/>
        </w:rPr>
        <w:fldChar w:fldCharType="end"/>
      </w:r>
    </w:p>
    <w:p>
      <w:pPr>
        <w:pStyle w:val="5"/>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_Toc14519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（一）机关运行经费支出情况</w:t>
      </w:r>
      <w:r>
        <w:rPr>
          <w:rFonts w:hint="eastAsia" w:ascii="仿宋_GB2312" w:hAnsi="仿宋_GB2312" w:eastAsia="仿宋_GB2312" w:cs="仿宋_GB2312"/>
          <w:color w:val="auto"/>
          <w:sz w:val="32"/>
          <w:szCs w:val="32"/>
          <w:highlight w:val="none"/>
        </w:rPr>
        <w:fldChar w:fldCharType="end"/>
      </w:r>
    </w:p>
    <w:p>
      <w:pPr>
        <w:pStyle w:val="5"/>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_Toc227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（二）政府采购情况</w:t>
      </w:r>
      <w:r>
        <w:rPr>
          <w:rFonts w:hint="eastAsia" w:ascii="仿宋_GB2312" w:hAnsi="仿宋_GB2312" w:eastAsia="仿宋_GB2312" w:cs="仿宋_GB2312"/>
          <w:color w:val="auto"/>
          <w:sz w:val="32"/>
          <w:szCs w:val="32"/>
          <w:highlight w:val="none"/>
        </w:rPr>
        <w:fldChar w:fldCharType="end"/>
      </w:r>
    </w:p>
    <w:p>
      <w:pPr>
        <w:pStyle w:val="5"/>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_Toc8391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（三）国有资产占用情况说明</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_Toc11283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十一、预算绩效的情况说明</w:t>
      </w:r>
      <w:r>
        <w:rPr>
          <w:rFonts w:hint="eastAsia" w:ascii="仿宋_GB2312" w:hAnsi="仿宋_GB2312" w:eastAsia="仿宋_GB2312" w:cs="仿宋_GB2312"/>
          <w:color w:val="auto"/>
          <w:sz w:val="32"/>
          <w:szCs w:val="32"/>
          <w:highlight w:val="none"/>
        </w:rPr>
        <w:fldChar w:fldCharType="end"/>
      </w:r>
    </w:p>
    <w:p>
      <w:pPr>
        <w:pStyle w:val="8"/>
        <w:tabs>
          <w:tab w:val="right" w:pos="8306"/>
        </w:tabs>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fldChar w:fldCharType="begin"/>
      </w:r>
      <w:r>
        <w:rPr>
          <w:rFonts w:hint="eastAsia" w:ascii="仿宋_GB2312" w:hAnsi="仿宋_GB2312" w:eastAsia="仿宋_GB2312" w:cs="仿宋_GB2312"/>
          <w:b/>
          <w:bCs/>
          <w:color w:val="auto"/>
          <w:sz w:val="32"/>
          <w:szCs w:val="32"/>
          <w:highlight w:val="none"/>
        </w:rPr>
        <w:instrText xml:space="preserve"> HYPERLINK \l _Toc3250 </w:instrText>
      </w:r>
      <w:r>
        <w:rPr>
          <w:rFonts w:hint="eastAsia" w:ascii="仿宋_GB2312" w:hAnsi="仿宋_GB2312" w:eastAsia="仿宋_GB2312" w:cs="仿宋_GB2312"/>
          <w:b/>
          <w:bCs/>
          <w:color w:val="auto"/>
          <w:sz w:val="32"/>
          <w:szCs w:val="32"/>
          <w:highlight w:val="none"/>
        </w:rPr>
        <w:fldChar w:fldCharType="separate"/>
      </w:r>
      <w:r>
        <w:rPr>
          <w:rFonts w:hint="eastAsia" w:ascii="仿宋_GB2312" w:hAnsi="仿宋_GB2312" w:eastAsia="仿宋_GB2312" w:cs="仿宋_GB2312"/>
          <w:b/>
          <w:bCs/>
          <w:color w:val="auto"/>
          <w:sz w:val="32"/>
          <w:szCs w:val="32"/>
          <w:highlight w:val="none"/>
        </w:rPr>
        <w:t>第三部分 专业名词解释</w:t>
      </w:r>
      <w:r>
        <w:rPr>
          <w:rFonts w:hint="eastAsia" w:ascii="仿宋_GB2312" w:hAnsi="仿宋_GB2312" w:eastAsia="仿宋_GB2312" w:cs="仿宋_GB2312"/>
          <w:b/>
          <w:bCs/>
          <w:color w:val="auto"/>
          <w:sz w:val="32"/>
          <w:szCs w:val="32"/>
          <w:highlight w:val="none"/>
        </w:rPr>
        <w:fldChar w:fldCharType="end"/>
      </w:r>
    </w:p>
    <w:p>
      <w:pPr>
        <w:pStyle w:val="8"/>
        <w:tabs>
          <w:tab w:val="right" w:pos="8306"/>
        </w:tabs>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fldChar w:fldCharType="begin"/>
      </w:r>
      <w:r>
        <w:rPr>
          <w:rFonts w:hint="eastAsia" w:ascii="仿宋_GB2312" w:hAnsi="仿宋_GB2312" w:eastAsia="仿宋_GB2312" w:cs="仿宋_GB2312"/>
          <w:b/>
          <w:bCs/>
          <w:color w:val="auto"/>
          <w:sz w:val="32"/>
          <w:szCs w:val="32"/>
          <w:highlight w:val="none"/>
        </w:rPr>
        <w:instrText xml:space="preserve"> HYPERLINK \l _Toc22784 </w:instrText>
      </w:r>
      <w:r>
        <w:rPr>
          <w:rFonts w:hint="eastAsia" w:ascii="仿宋_GB2312" w:hAnsi="仿宋_GB2312" w:eastAsia="仿宋_GB2312" w:cs="仿宋_GB2312"/>
          <w:b/>
          <w:bCs/>
          <w:color w:val="auto"/>
          <w:sz w:val="32"/>
          <w:szCs w:val="32"/>
          <w:highlight w:val="none"/>
        </w:rPr>
        <w:fldChar w:fldCharType="separate"/>
      </w:r>
      <w:r>
        <w:rPr>
          <w:rFonts w:hint="eastAsia" w:ascii="仿宋_GB2312" w:hAnsi="仿宋_GB2312" w:eastAsia="仿宋_GB2312" w:cs="仿宋_GB2312"/>
          <w:b/>
          <w:bCs/>
          <w:color w:val="auto"/>
          <w:sz w:val="32"/>
          <w:szCs w:val="32"/>
          <w:highlight w:val="none"/>
        </w:rPr>
        <w:t>第四部分 部门决算报表（见附表）</w:t>
      </w:r>
      <w:r>
        <w:rPr>
          <w:rFonts w:hint="eastAsia" w:ascii="仿宋_GB2312" w:hAnsi="仿宋_GB2312" w:eastAsia="仿宋_GB2312" w:cs="仿宋_GB2312"/>
          <w:b/>
          <w:bCs/>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_Toc2183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一、《收入支出决算总表》</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_Toc24532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二、《收入决算表》</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_Toc32434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三、《支出决算表》</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_Toc28786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四、《财政拨款收入支出决算总表》</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_Toc14869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五、《一般公共预算财政拨款支出决算表》</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_Toc8884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六、《一般公共预算财政拨款基本支出决算表》</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_Toc29106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bCs/>
          <w:color w:val="auto"/>
          <w:kern w:val="0"/>
          <w:sz w:val="32"/>
          <w:szCs w:val="32"/>
          <w:highlight w:val="none"/>
        </w:rPr>
        <w:t>七、《财政拨款“三公”经费支出决算表》</w:t>
      </w:r>
      <w:r>
        <w:rPr>
          <w:rFonts w:hint="eastAsia" w:ascii="仿宋_GB2312" w:hAnsi="仿宋_GB2312" w:eastAsia="仿宋_GB2312" w:cs="仿宋_GB2312"/>
          <w:color w:val="auto"/>
          <w:sz w:val="32"/>
          <w:szCs w:val="32"/>
          <w:highlight w:val="none"/>
        </w:rPr>
        <w:fldChar w:fldCharType="end"/>
      </w:r>
    </w:p>
    <w:p>
      <w:pPr>
        <w:pStyle w:val="9"/>
        <w:tabs>
          <w:tab w:val="right" w:pos="8306"/>
        </w:tabs>
        <w:ind w:left="0" w:leftChars="0"/>
        <w:rPr>
          <w:rFonts w:hint="eastAsia" w:ascii="仿宋_GB2312" w:hAnsi="仿宋_GB2312" w:eastAsia="仿宋_GB2312" w:cs="仿宋_GB2312"/>
          <w:bCs/>
          <w:color w:val="auto"/>
          <w:kern w:val="0"/>
          <w:sz w:val="32"/>
          <w:szCs w:val="32"/>
          <w:highlight w:val="none"/>
        </w:rPr>
      </w:pPr>
      <w:r>
        <w:rPr>
          <w:rFonts w:hint="eastAsia" w:ascii="仿宋_GB2312" w:hAnsi="仿宋_GB2312" w:eastAsia="仿宋_GB2312" w:cs="仿宋_GB2312"/>
          <w:bCs/>
          <w:color w:val="auto"/>
          <w:kern w:val="0"/>
          <w:sz w:val="32"/>
          <w:szCs w:val="32"/>
          <w:highlight w:val="none"/>
        </w:rPr>
        <w:fldChar w:fldCharType="begin"/>
      </w:r>
      <w:r>
        <w:rPr>
          <w:rFonts w:hint="eastAsia" w:ascii="仿宋_GB2312" w:hAnsi="仿宋_GB2312" w:eastAsia="仿宋_GB2312" w:cs="仿宋_GB2312"/>
          <w:bCs/>
          <w:color w:val="auto"/>
          <w:kern w:val="0"/>
          <w:sz w:val="32"/>
          <w:szCs w:val="32"/>
          <w:highlight w:val="none"/>
        </w:rPr>
        <w:instrText xml:space="preserve"> HYPERLINK \l _Toc7643 </w:instrText>
      </w:r>
      <w:r>
        <w:rPr>
          <w:rFonts w:hint="eastAsia" w:ascii="仿宋_GB2312" w:hAnsi="仿宋_GB2312" w:eastAsia="仿宋_GB2312" w:cs="仿宋_GB2312"/>
          <w:bCs/>
          <w:color w:val="auto"/>
          <w:kern w:val="0"/>
          <w:sz w:val="32"/>
          <w:szCs w:val="32"/>
          <w:highlight w:val="none"/>
        </w:rPr>
        <w:fldChar w:fldCharType="separate"/>
      </w:r>
      <w:r>
        <w:rPr>
          <w:rFonts w:hint="eastAsia" w:ascii="仿宋_GB2312" w:hAnsi="仿宋_GB2312" w:eastAsia="仿宋_GB2312" w:cs="仿宋_GB2312"/>
          <w:bCs/>
          <w:color w:val="auto"/>
          <w:kern w:val="0"/>
          <w:sz w:val="32"/>
          <w:szCs w:val="32"/>
          <w:highlight w:val="none"/>
        </w:rPr>
        <w:t>八、《政府性基金预算财政拨款收入支出决算表》</w:t>
      </w:r>
      <w:r>
        <w:rPr>
          <w:rFonts w:hint="eastAsia" w:ascii="仿宋_GB2312" w:hAnsi="仿宋_GB2312" w:eastAsia="仿宋_GB2312" w:cs="仿宋_GB2312"/>
          <w:bCs/>
          <w:color w:val="auto"/>
          <w:kern w:val="0"/>
          <w:sz w:val="32"/>
          <w:szCs w:val="32"/>
          <w:highlight w:val="none"/>
        </w:rPr>
        <w:fldChar w:fldCharType="end"/>
      </w:r>
    </w:p>
    <w:p>
      <w:pPr>
        <w:pStyle w:val="9"/>
        <w:tabs>
          <w:tab w:val="right" w:pos="8306"/>
        </w:tabs>
        <w:ind w:left="0" w:leftChars="0"/>
        <w:rPr>
          <w:rFonts w:hint="eastAsia" w:ascii="仿宋_GB2312" w:hAnsi="仿宋_GB2312" w:eastAsia="仿宋_GB2312" w:cs="仿宋_GB2312"/>
          <w:bCs/>
          <w:color w:val="auto"/>
          <w:kern w:val="0"/>
          <w:sz w:val="32"/>
          <w:szCs w:val="32"/>
          <w:highlight w:val="none"/>
        </w:rPr>
      </w:pPr>
      <w:r>
        <w:rPr>
          <w:rFonts w:hint="eastAsia" w:ascii="仿宋_GB2312" w:hAnsi="仿宋_GB2312" w:eastAsia="仿宋_GB2312" w:cs="仿宋_GB2312"/>
          <w:bCs/>
          <w:color w:val="auto"/>
          <w:kern w:val="0"/>
          <w:sz w:val="32"/>
          <w:szCs w:val="32"/>
          <w:highlight w:val="none"/>
        </w:rPr>
        <w:t>九、《国有资本经营预算财政拨款收入支出决算表》</w:t>
      </w:r>
    </w:p>
    <w:p>
      <w:pPr>
        <w:rPr>
          <w:color w:val="auto"/>
          <w:highlight w:val="none"/>
        </w:rPr>
      </w:pPr>
      <w:r>
        <w:rPr>
          <w:rFonts w:hint="eastAsia" w:ascii="仿宋_GB2312" w:hAnsi="仿宋_GB2312" w:eastAsia="仿宋_GB2312" w:cs="仿宋_GB2312"/>
          <w:color w:val="auto"/>
          <w:sz w:val="32"/>
          <w:szCs w:val="32"/>
          <w:highlight w:val="none"/>
        </w:rPr>
        <w:fldChar w:fldCharType="end"/>
      </w:r>
    </w:p>
    <w:p>
      <w:pPr>
        <w:ind w:firstLine="640" w:firstLineChars="200"/>
        <w:jc w:val="center"/>
        <w:outlineLvl w:val="0"/>
        <w:rPr>
          <w:rFonts w:hint="eastAsia" w:ascii="黑体" w:hAnsi="黑体" w:eastAsia="黑体"/>
          <w:color w:val="auto"/>
          <w:sz w:val="32"/>
          <w:szCs w:val="32"/>
          <w:highlight w:val="none"/>
        </w:rPr>
      </w:pPr>
      <w:r>
        <w:rPr>
          <w:rFonts w:hint="eastAsia" w:ascii="仿宋_GB2312" w:eastAsia="仿宋_GB2312"/>
          <w:color w:val="auto"/>
          <w:sz w:val="32"/>
          <w:szCs w:val="32"/>
          <w:highlight w:val="none"/>
        </w:rPr>
        <w:br w:type="page"/>
      </w:r>
      <w:bookmarkStart w:id="0" w:name="_Toc32314"/>
      <w:bookmarkStart w:id="1" w:name="_Toc24028"/>
      <w:r>
        <w:rPr>
          <w:rFonts w:hint="eastAsia" w:ascii="黑体" w:hAnsi="黑体" w:eastAsia="黑体"/>
          <w:color w:val="auto"/>
          <w:sz w:val="32"/>
          <w:szCs w:val="32"/>
          <w:highlight w:val="none"/>
        </w:rPr>
        <w:t>第一部分 单位概况</w:t>
      </w:r>
      <w:bookmarkEnd w:id="0"/>
      <w:bookmarkEnd w:id="1"/>
    </w:p>
    <w:p>
      <w:pPr>
        <w:ind w:firstLine="640" w:firstLineChars="200"/>
        <w:outlineLvl w:val="1"/>
        <w:rPr>
          <w:rFonts w:ascii="黑体" w:hAnsi="黑体" w:eastAsia="黑体" w:cs="宋体"/>
          <w:bCs/>
          <w:color w:val="auto"/>
          <w:kern w:val="0"/>
          <w:sz w:val="32"/>
          <w:szCs w:val="32"/>
          <w:highlight w:val="none"/>
        </w:rPr>
      </w:pPr>
      <w:bookmarkStart w:id="2" w:name="_Toc30738"/>
      <w:bookmarkStart w:id="3" w:name="_Toc30567"/>
      <w:r>
        <w:rPr>
          <w:rFonts w:hint="eastAsia" w:ascii="黑体" w:hAnsi="黑体" w:eastAsia="黑体" w:cs="宋体"/>
          <w:bCs/>
          <w:color w:val="auto"/>
          <w:kern w:val="0"/>
          <w:sz w:val="32"/>
          <w:szCs w:val="32"/>
          <w:highlight w:val="none"/>
        </w:rPr>
        <w:t>一、主要职能</w:t>
      </w:r>
      <w:bookmarkEnd w:id="2"/>
      <w:bookmarkEnd w:id="3"/>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bookmarkStart w:id="4" w:name="_Toc31238"/>
      <w:bookmarkStart w:id="5" w:name="_Toc2151"/>
      <w:r>
        <w:rPr>
          <w:rFonts w:hint="eastAsia" w:ascii="仿宋_GB2312" w:hAnsi="Times New Roman" w:eastAsia="仿宋_GB2312" w:cs="Times New Roman"/>
          <w:color w:val="auto"/>
          <w:sz w:val="32"/>
          <w:szCs w:val="32"/>
          <w:highlight w:val="none"/>
        </w:rPr>
        <w:t>实施小学教育，促进基础教育发展，贯彻执行国家、自治区和乌鲁木齐市有关教育工作的方针、政策和法律、法规</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坚持依法治教、依法治学。</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推进义务教育均衡发展，促进教育公平。</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及时准确发放各类补助工资，确保投入的各项工作经费，保质保量完成单位的各项教育教学工作任务。</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保障学校各项工作的顺利开展，为社会主义建设培养全面发展的接班人。</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组织开展本校的教育教学科研和教育教学改革，科研兴校。</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负责指导德育工作；负责指导体育、卫生、艺术教育工作以及思想政治、纪律法制、劳动技术、社会实践等专项教育；协助有关部门做好学校国防教育和军训工作。</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组织、指导、协调“双语”教学工作。</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开展安全教育，落实安全、保卫、消防和校车安全管理工作。</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组织实施教育信息化工作；统计、分析和发布教育基本信息。</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规范办学行为，依法治校和内部管理工作。</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党建和教职工队伍建设工作；负责教师继续教育工作。</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负责对本校教育教学业务的具体管理，负责教育教学管理及教研教改工作，全力推进素质教育实施。</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执行学籍管理办法、教育招生和考试工作。</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协调家庭经济困难学生的资助管理工作。</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负责对本校教育教学业务的具体管理，负责教育教学管理及教研教改工作，全力推进素质教育实施。</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协同有关部门建立和认定学生劳动基地、青少年科普活动基地。</w:t>
      </w:r>
    </w:p>
    <w:p>
      <w:pPr>
        <w:numPr>
          <w:ilvl w:val="0"/>
          <w:numId w:val="1"/>
        </w:numPr>
        <w:ind w:left="0" w:leftChars="0" w:firstLine="420" w:firstLineChars="0"/>
        <w:rPr>
          <w:rFonts w:hint="eastAsia" w:ascii="仿宋_GB2312" w:hAnsi="Times New Roman" w:eastAsia="仿宋_GB2312" w:cs="Times New Roman"/>
          <w:color w:val="auto"/>
          <w:sz w:val="32"/>
          <w:szCs w:val="32"/>
          <w:highlight w:val="none"/>
        </w:rPr>
      </w:pPr>
      <w:r>
        <w:rPr>
          <w:rFonts w:hint="eastAsia" w:ascii="仿宋_GB2312" w:hAnsi="Times New Roman" w:eastAsia="仿宋_GB2312" w:cs="Times New Roman"/>
          <w:color w:val="auto"/>
          <w:sz w:val="32"/>
          <w:szCs w:val="32"/>
          <w:highlight w:val="none"/>
        </w:rPr>
        <w:t>承办区委、区人民政府、区教育局交办的其他事项。</w:t>
      </w:r>
    </w:p>
    <w:p>
      <w:pPr>
        <w:ind w:firstLine="640" w:firstLineChars="200"/>
        <w:outlineLvl w:val="1"/>
        <w:rPr>
          <w:rFonts w:hint="eastAsia" w:ascii="黑体" w:hAnsi="黑体" w:eastAsia="黑体" w:cs="宋体"/>
          <w:bCs/>
          <w:color w:val="auto"/>
          <w:kern w:val="0"/>
          <w:sz w:val="32"/>
          <w:szCs w:val="32"/>
          <w:highlight w:val="none"/>
        </w:rPr>
      </w:pPr>
      <w:r>
        <w:rPr>
          <w:rFonts w:hint="eastAsia" w:ascii="黑体" w:hAnsi="黑体" w:eastAsia="黑体" w:cs="宋体"/>
          <w:bCs/>
          <w:color w:val="auto"/>
          <w:kern w:val="0"/>
          <w:sz w:val="32"/>
          <w:szCs w:val="32"/>
          <w:highlight w:val="none"/>
        </w:rPr>
        <w:t>二、机构设置及</w:t>
      </w:r>
      <w:bookmarkEnd w:id="4"/>
      <w:r>
        <w:rPr>
          <w:rFonts w:hint="eastAsia" w:ascii="黑体" w:hAnsi="黑体" w:eastAsia="黑体" w:cs="宋体"/>
          <w:bCs/>
          <w:color w:val="auto"/>
          <w:kern w:val="0"/>
          <w:sz w:val="32"/>
          <w:szCs w:val="32"/>
          <w:highlight w:val="none"/>
        </w:rPr>
        <w:t>人员情况</w:t>
      </w:r>
      <w:bookmarkEnd w:id="5"/>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乌鲁木齐市第七十七小学2022年度，实有人数100人，其中：在职人员74人，离休人员0人，退休人员26人。</w:t>
      </w:r>
    </w:p>
    <w:p>
      <w:pPr>
        <w:ind w:firstLine="640" w:firstLineChars="200"/>
        <w:rPr>
          <w:rFonts w:hint="eastAsia" w:ascii="仿宋_GB2312" w:eastAsia="仿宋_GB2312"/>
          <w:color w:val="auto"/>
          <w:sz w:val="32"/>
          <w:szCs w:val="32"/>
          <w:highlight w:val="none"/>
        </w:rPr>
      </w:pPr>
      <w:bookmarkStart w:id="6" w:name="_Toc29374"/>
      <w:bookmarkStart w:id="7" w:name="_Toc3092"/>
      <w:r>
        <w:rPr>
          <w:rFonts w:hint="eastAsia" w:ascii="仿宋_GB2312" w:eastAsia="仿宋_GB2312"/>
          <w:color w:val="auto"/>
          <w:sz w:val="32"/>
          <w:szCs w:val="32"/>
          <w:highlight w:val="none"/>
        </w:rPr>
        <w:t>从部门决算单位构成看，乌鲁木齐市第七十七小学部门决算包括：乌鲁木齐市第七十七小学决算。</w:t>
      </w:r>
      <w:r>
        <w:rPr>
          <w:rFonts w:hint="eastAsia" w:ascii="仿宋_GB2312" w:hAnsi="黑体" w:eastAsia="仿宋_GB2312" w:cs="宋体"/>
          <w:bCs/>
          <w:color w:val="auto"/>
          <w:kern w:val="0"/>
          <w:sz w:val="32"/>
          <w:szCs w:val="32"/>
          <w:highlight w:val="none"/>
        </w:rPr>
        <w:t>单位无下属预算单位，下设</w:t>
      </w:r>
      <w:r>
        <w:rPr>
          <w:rFonts w:hint="eastAsia" w:ascii="仿宋_GB2312" w:eastAsia="仿宋_GB2312"/>
          <w:color w:val="auto"/>
          <w:sz w:val="32"/>
          <w:szCs w:val="32"/>
          <w:highlight w:val="none"/>
        </w:rPr>
        <w:t>5个科室，分别是党政办公室、德育处、教务处、教科研室、保卫科。</w:t>
      </w:r>
    </w:p>
    <w:p>
      <w:pPr>
        <w:ind w:firstLine="640" w:firstLineChars="200"/>
        <w:jc w:val="center"/>
        <w:outlineLvl w:val="0"/>
        <w:rPr>
          <w:rFonts w:hint="eastAsia" w:ascii="黑体" w:hAnsi="黑体" w:eastAsia="黑体"/>
          <w:color w:val="auto"/>
          <w:sz w:val="32"/>
          <w:szCs w:val="32"/>
          <w:highlight w:val="none"/>
        </w:rPr>
      </w:pPr>
      <w:r>
        <w:rPr>
          <w:rFonts w:hint="eastAsia" w:ascii="黑体" w:hAnsi="黑体" w:eastAsia="黑体"/>
          <w:color w:val="auto"/>
          <w:sz w:val="32"/>
          <w:szCs w:val="32"/>
          <w:highlight w:val="none"/>
        </w:rPr>
        <w:br w:type="page"/>
      </w:r>
      <w:r>
        <w:rPr>
          <w:rFonts w:hint="eastAsia" w:ascii="黑体" w:hAnsi="黑体" w:eastAsia="黑体"/>
          <w:color w:val="auto"/>
          <w:sz w:val="32"/>
          <w:szCs w:val="32"/>
          <w:highlight w:val="none"/>
        </w:rPr>
        <w:t>第二部分 部门决算情况说明</w:t>
      </w:r>
      <w:bookmarkEnd w:id="6"/>
      <w:bookmarkEnd w:id="7"/>
    </w:p>
    <w:p>
      <w:pPr>
        <w:ind w:firstLine="640" w:firstLineChars="200"/>
        <w:outlineLvl w:val="1"/>
        <w:rPr>
          <w:rFonts w:hint="eastAsia" w:ascii="黑体" w:hAnsi="黑体" w:eastAsia="黑体" w:cs="宋体"/>
          <w:bCs/>
          <w:color w:val="auto"/>
          <w:kern w:val="0"/>
          <w:sz w:val="32"/>
          <w:szCs w:val="32"/>
          <w:highlight w:val="none"/>
        </w:rPr>
      </w:pPr>
      <w:bookmarkStart w:id="8" w:name="_Toc12566"/>
      <w:bookmarkStart w:id="9" w:name="_Toc25314"/>
      <w:r>
        <w:rPr>
          <w:rFonts w:hint="eastAsia" w:ascii="黑体" w:hAnsi="黑体" w:eastAsia="黑体" w:cs="宋体"/>
          <w:bCs/>
          <w:color w:val="auto"/>
          <w:kern w:val="0"/>
          <w:sz w:val="32"/>
          <w:szCs w:val="32"/>
          <w:highlight w:val="none"/>
        </w:rPr>
        <w:t>一、收入支出决算总体情况说明</w:t>
      </w:r>
      <w:bookmarkEnd w:id="8"/>
      <w:bookmarkEnd w:id="9"/>
    </w:p>
    <w:p>
      <w:pPr>
        <w:shd w:val="clear"/>
        <w:ind w:firstLine="640" w:firstLineChars="200"/>
        <w:rPr>
          <w:rFonts w:hint="default" w:ascii="仿宋_GB2312" w:eastAsia="仿宋_GB2312"/>
          <w:color w:val="000000"/>
          <w:sz w:val="32"/>
          <w:szCs w:val="32"/>
          <w:highlight w:val="none"/>
          <w:shd w:val="clear" w:color="auto" w:fill="auto"/>
        </w:rPr>
      </w:pPr>
      <w:r>
        <w:rPr>
          <w:rFonts w:hint="eastAsia" w:ascii="仿宋_GB2312" w:eastAsia="仿宋_GB2312"/>
          <w:color w:val="auto"/>
          <w:sz w:val="32"/>
          <w:szCs w:val="32"/>
          <w:highlight w:val="none"/>
        </w:rPr>
        <w:t>2022年度收入总计1455.27万元，其中：本年收入合计1375.71万元，使用非财政拨款结余</w:t>
      </w:r>
      <w:r>
        <w:rPr>
          <w:rFonts w:ascii="仿宋_GB2312" w:eastAsia="仿宋_GB2312"/>
          <w:color w:val="auto"/>
          <w:sz w:val="32"/>
          <w:szCs w:val="32"/>
          <w:highlight w:val="none"/>
        </w:rPr>
        <w:t>0</w:t>
      </w:r>
      <w:r>
        <w:rPr>
          <w:rFonts w:hint="eastAsia" w:ascii="仿宋_GB2312" w:eastAsia="仿宋_GB2312"/>
          <w:color w:val="auto"/>
          <w:sz w:val="32"/>
          <w:szCs w:val="32"/>
          <w:highlight w:val="none"/>
          <w:lang w:val="en-US" w:eastAsia="zh-CN"/>
        </w:rPr>
        <w:t>.00</w:t>
      </w:r>
      <w:r>
        <w:rPr>
          <w:rFonts w:hint="eastAsia" w:ascii="仿宋_GB2312" w:eastAsia="仿宋_GB2312"/>
          <w:color w:val="auto"/>
          <w:sz w:val="32"/>
          <w:szCs w:val="32"/>
          <w:highlight w:val="none"/>
        </w:rPr>
        <w:t>万元，年初结转和结余79.56万元。收入</w:t>
      </w:r>
      <w:r>
        <w:rPr>
          <w:rFonts w:hint="eastAsia" w:ascii="仿宋_GB2312" w:eastAsia="仿宋_GB2312"/>
          <w:color w:val="000000"/>
          <w:sz w:val="32"/>
          <w:szCs w:val="32"/>
          <w:highlight w:val="none"/>
        </w:rPr>
        <w:t>总计与上年相比，减少178.43万元，下降10.92%，主要原因是：</w:t>
      </w:r>
      <w:r>
        <w:rPr>
          <w:rFonts w:hint="eastAsia" w:ascii="仿宋_GB2312" w:eastAsia="仿宋_GB2312"/>
          <w:color w:val="000000"/>
          <w:sz w:val="32"/>
          <w:szCs w:val="32"/>
          <w:highlight w:val="none"/>
          <w:shd w:val="clear" w:color="auto" w:fill="auto"/>
        </w:rPr>
        <w:t>2022年度</w:t>
      </w:r>
      <w:r>
        <w:rPr>
          <w:rFonts w:hint="eastAsia" w:ascii="仿宋_GB2312" w:eastAsia="仿宋_GB2312"/>
          <w:color w:val="000000"/>
          <w:sz w:val="32"/>
          <w:szCs w:val="32"/>
          <w:highlight w:val="none"/>
          <w:shd w:val="clear" w:color="auto" w:fill="auto"/>
          <w:lang w:val="en-US" w:eastAsia="zh-CN"/>
        </w:rPr>
        <w:t xml:space="preserve">项目减少，2022年项目预算收入减少了184.83万元 </w:t>
      </w:r>
      <w:r>
        <w:rPr>
          <w:rFonts w:hint="default" w:ascii="仿宋_GB2312" w:eastAsia="仿宋_GB2312"/>
          <w:color w:val="000000"/>
          <w:sz w:val="32"/>
          <w:szCs w:val="32"/>
          <w:highlight w:val="none"/>
          <w:shd w:val="clear" w:color="auto" w:fill="auto"/>
        </w:rPr>
        <w:t>。</w:t>
      </w:r>
    </w:p>
    <w:p>
      <w:pPr>
        <w:shd w:val="clear"/>
        <w:ind w:firstLine="640" w:firstLineChars="200"/>
        <w:rPr>
          <w:rFonts w:ascii="仿宋_GB2312" w:eastAsia="仿宋_GB2312"/>
          <w:color w:val="auto"/>
          <w:sz w:val="32"/>
          <w:szCs w:val="32"/>
          <w:highlight w:val="none"/>
          <w:shd w:val="clear" w:color="auto" w:fill="auto"/>
        </w:rPr>
      </w:pPr>
      <w:r>
        <w:rPr>
          <w:rFonts w:hint="eastAsia" w:ascii="仿宋_GB2312" w:eastAsia="仿宋_GB2312"/>
          <w:color w:val="000000"/>
          <w:sz w:val="32"/>
          <w:szCs w:val="32"/>
          <w:highlight w:val="none"/>
        </w:rPr>
        <w:t>本年支出总计1455.27万元，其中：本年支出合计1399.14万元，结余分配</w:t>
      </w:r>
      <w:r>
        <w:rPr>
          <w:rFonts w:hint="eastAsia" w:ascii="仿宋_GB2312" w:hAnsi="Times New Roman" w:eastAsia="仿宋_GB2312" w:cs="Times New Roman"/>
          <w:color w:val="000000"/>
          <w:kern w:val="2"/>
          <w:sz w:val="32"/>
          <w:szCs w:val="32"/>
          <w:highlight w:val="none"/>
          <w:lang w:val="en-US" w:eastAsia="zh-CN" w:bidi="ar"/>
        </w:rPr>
        <w:t>0.00</w:t>
      </w:r>
      <w:r>
        <w:rPr>
          <w:rFonts w:hint="eastAsia" w:ascii="仿宋_GB2312" w:eastAsia="仿宋_GB2312"/>
          <w:color w:val="000000"/>
          <w:sz w:val="32"/>
          <w:szCs w:val="32"/>
          <w:highlight w:val="none"/>
        </w:rPr>
        <w:t>万元，年末结转和结余56.13万元。支出总计与上年相比，减少178.43万元，下降10.92%，主要原因是：</w:t>
      </w:r>
      <w:r>
        <w:rPr>
          <w:rFonts w:hint="eastAsia" w:ascii="仿宋_GB2312" w:eastAsia="仿宋_GB2312"/>
          <w:color w:val="000000"/>
          <w:sz w:val="32"/>
          <w:szCs w:val="32"/>
          <w:highlight w:val="none"/>
          <w:shd w:val="clear" w:color="auto" w:fill="auto"/>
        </w:rPr>
        <w:t>2022年度</w:t>
      </w:r>
      <w:r>
        <w:rPr>
          <w:rFonts w:hint="default" w:ascii="仿宋_GB2312" w:eastAsia="仿宋_GB2312"/>
          <w:color w:val="000000"/>
          <w:sz w:val="32"/>
          <w:szCs w:val="32"/>
          <w:highlight w:val="none"/>
          <w:shd w:val="clear" w:color="auto" w:fill="auto"/>
        </w:rPr>
        <w:t>项目支出减少</w:t>
      </w:r>
      <w:r>
        <w:rPr>
          <w:rFonts w:hint="eastAsia" w:ascii="仿宋_GB2312" w:eastAsia="仿宋_GB2312"/>
          <w:color w:val="000000"/>
          <w:sz w:val="32"/>
          <w:szCs w:val="32"/>
          <w:highlight w:val="none"/>
          <w:shd w:val="clear" w:color="auto" w:fill="auto"/>
        </w:rPr>
        <w:t>，</w:t>
      </w:r>
      <w:r>
        <w:rPr>
          <w:rFonts w:hint="eastAsia" w:ascii="仿宋_GB2312" w:eastAsia="仿宋_GB2312"/>
          <w:color w:val="000000"/>
          <w:sz w:val="32"/>
          <w:szCs w:val="32"/>
          <w:highlight w:val="none"/>
          <w:shd w:val="clear" w:color="auto" w:fill="auto"/>
          <w:lang w:val="en-US" w:eastAsia="zh-CN"/>
        </w:rPr>
        <w:t>2022年本年较2021年项目支出减少150万元</w:t>
      </w:r>
      <w:r>
        <w:rPr>
          <w:rFonts w:hint="eastAsia" w:ascii="仿宋_GB2312" w:eastAsia="仿宋_GB2312"/>
          <w:color w:val="auto"/>
          <w:sz w:val="32"/>
          <w:szCs w:val="32"/>
          <w:highlight w:val="none"/>
          <w:shd w:val="clear" w:color="auto" w:fill="auto"/>
        </w:rPr>
        <w:t>。</w:t>
      </w:r>
    </w:p>
    <w:p>
      <w:pPr>
        <w:ind w:firstLine="640" w:firstLineChars="200"/>
        <w:outlineLvl w:val="1"/>
        <w:rPr>
          <w:rFonts w:hint="eastAsia" w:ascii="黑体" w:hAnsi="黑体" w:eastAsia="黑体" w:cs="宋体"/>
          <w:bCs/>
          <w:color w:val="auto"/>
          <w:kern w:val="0"/>
          <w:sz w:val="32"/>
          <w:szCs w:val="32"/>
          <w:highlight w:val="none"/>
        </w:rPr>
      </w:pPr>
      <w:bookmarkStart w:id="10" w:name="_Toc12142"/>
      <w:bookmarkStart w:id="11" w:name="_Toc1979"/>
      <w:r>
        <w:rPr>
          <w:rFonts w:hint="eastAsia" w:ascii="黑体" w:hAnsi="黑体" w:eastAsia="黑体" w:cs="宋体"/>
          <w:bCs/>
          <w:color w:val="auto"/>
          <w:kern w:val="0"/>
          <w:sz w:val="32"/>
          <w:szCs w:val="32"/>
          <w:highlight w:val="none"/>
        </w:rPr>
        <w:t>二、收入决算情况说明</w:t>
      </w:r>
      <w:bookmarkEnd w:id="10"/>
      <w:bookmarkEnd w:id="11"/>
    </w:p>
    <w:p>
      <w:pPr>
        <w:ind w:firstLine="640" w:firstLineChars="200"/>
        <w:rPr>
          <w:rFonts w:hint="eastAsia" w:ascii="仿宋_GB2312" w:eastAsia="仿宋_GB2312"/>
          <w:color w:val="auto"/>
          <w:sz w:val="32"/>
          <w:szCs w:val="32"/>
          <w:highlight w:val="none"/>
        </w:rPr>
      </w:pPr>
      <w:bookmarkStart w:id="12" w:name="_Toc27961"/>
      <w:bookmarkStart w:id="13" w:name="_Toc13201"/>
      <w:r>
        <w:rPr>
          <w:rFonts w:hint="eastAsia" w:ascii="仿宋_GB2312" w:eastAsia="仿宋_GB2312"/>
          <w:color w:val="auto"/>
          <w:sz w:val="32"/>
          <w:szCs w:val="32"/>
          <w:highlight w:val="none"/>
        </w:rPr>
        <w:t>2022年度本年收入1375.71万元，其中：财政拨款收入1261.62万元，占91.71%；上级补助收入</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万元，占</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%；事业收入</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万元，占</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%；经营收入</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万元，占</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%；附属单位上缴收入</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万元，占</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%；其他收入114.09万元，占8.29%。</w:t>
      </w:r>
    </w:p>
    <w:p>
      <w:pPr>
        <w:ind w:firstLine="640" w:firstLineChars="200"/>
        <w:outlineLvl w:val="1"/>
        <w:rPr>
          <w:rFonts w:hint="eastAsia" w:ascii="黑体" w:hAnsi="黑体" w:eastAsia="黑体" w:cs="宋体"/>
          <w:bCs/>
          <w:color w:val="auto"/>
          <w:kern w:val="0"/>
          <w:sz w:val="32"/>
          <w:szCs w:val="32"/>
          <w:highlight w:val="none"/>
        </w:rPr>
      </w:pPr>
      <w:r>
        <w:rPr>
          <w:rFonts w:hint="eastAsia" w:ascii="黑体" w:hAnsi="黑体" w:eastAsia="黑体" w:cs="宋体"/>
          <w:bCs/>
          <w:color w:val="auto"/>
          <w:kern w:val="0"/>
          <w:sz w:val="32"/>
          <w:szCs w:val="32"/>
          <w:highlight w:val="none"/>
        </w:rPr>
        <w:t>三、支出决算情况说明</w:t>
      </w:r>
      <w:bookmarkEnd w:id="12"/>
      <w:bookmarkEnd w:id="13"/>
    </w:p>
    <w:p>
      <w:pPr>
        <w:ind w:firstLine="640" w:firstLineChars="200"/>
        <w:outlineLvl w:val="1"/>
        <w:rPr>
          <w:rFonts w:hint="eastAsia" w:ascii="仿宋_GB2312" w:eastAsia="仿宋_GB2312"/>
          <w:color w:val="auto"/>
          <w:sz w:val="32"/>
          <w:szCs w:val="32"/>
          <w:highlight w:val="none"/>
        </w:rPr>
      </w:pPr>
      <w:bookmarkStart w:id="14" w:name="_Toc4393"/>
      <w:bookmarkStart w:id="15" w:name="_Toc26564"/>
      <w:r>
        <w:rPr>
          <w:rFonts w:hint="eastAsia" w:ascii="仿宋_GB2312" w:eastAsia="仿宋_GB2312"/>
          <w:color w:val="auto"/>
          <w:sz w:val="32"/>
          <w:szCs w:val="32"/>
          <w:highlight w:val="none"/>
        </w:rPr>
        <w:t>2022年度本年支出1399.14万元，其中：基本支出1180.57万元，占84.38%；项目支出218.57万元，占15.62%；上缴上级支出</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万元，占</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；经营支出</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万元，占</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%；对附属单位补助支出</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万元，占</w:t>
      </w:r>
      <w:r>
        <w:rPr>
          <w:rFonts w:hint="eastAsia" w:ascii="仿宋_GB2312" w:hAnsi="Times New Roman" w:eastAsia="仿宋_GB2312" w:cs="Times New Roman"/>
          <w:color w:val="auto"/>
          <w:kern w:val="2"/>
          <w:sz w:val="32"/>
          <w:szCs w:val="32"/>
          <w:highlight w:val="none"/>
          <w:lang w:val="en-US" w:eastAsia="zh-CN" w:bidi="ar"/>
        </w:rPr>
        <w:t>0.00</w:t>
      </w:r>
      <w:r>
        <w:rPr>
          <w:rFonts w:hint="eastAsia" w:ascii="仿宋_GB2312" w:eastAsia="仿宋_GB2312"/>
          <w:color w:val="auto"/>
          <w:sz w:val="32"/>
          <w:szCs w:val="32"/>
          <w:highlight w:val="none"/>
        </w:rPr>
        <w:t>%。</w:t>
      </w:r>
    </w:p>
    <w:p>
      <w:pPr>
        <w:ind w:firstLine="640" w:firstLineChars="200"/>
        <w:outlineLvl w:val="1"/>
        <w:rPr>
          <w:rFonts w:hint="eastAsia" w:ascii="黑体" w:hAnsi="黑体" w:eastAsia="黑体" w:cs="宋体"/>
          <w:bCs/>
          <w:color w:val="auto"/>
          <w:kern w:val="0"/>
          <w:sz w:val="32"/>
          <w:szCs w:val="32"/>
          <w:highlight w:val="none"/>
        </w:rPr>
      </w:pPr>
      <w:r>
        <w:rPr>
          <w:rFonts w:hint="eastAsia" w:ascii="黑体" w:hAnsi="黑体" w:eastAsia="黑体" w:cs="宋体"/>
          <w:bCs/>
          <w:color w:val="auto"/>
          <w:kern w:val="0"/>
          <w:sz w:val="32"/>
          <w:szCs w:val="32"/>
          <w:highlight w:val="none"/>
        </w:rPr>
        <w:t>四、财政拨款收入支出决算总体情况说明</w:t>
      </w:r>
      <w:bookmarkEnd w:id="14"/>
      <w:bookmarkEnd w:id="15"/>
    </w:p>
    <w:p>
      <w:pPr>
        <w:ind w:firstLine="640" w:firstLineChars="200"/>
        <w:rPr>
          <w:rFonts w:hint="default" w:ascii="仿宋_GB2312" w:eastAsia="仿宋_GB2312"/>
          <w:color w:val="000000"/>
          <w:sz w:val="32"/>
          <w:szCs w:val="32"/>
          <w:highlight w:val="none"/>
          <w:shd w:val="clear"/>
        </w:rPr>
      </w:pPr>
      <w:bookmarkStart w:id="16" w:name="_Toc20360"/>
      <w:bookmarkStart w:id="17" w:name="_Toc13833"/>
      <w:r>
        <w:rPr>
          <w:rFonts w:hint="eastAsia" w:ascii="仿宋_GB2312" w:eastAsia="仿宋_GB2312"/>
          <w:color w:val="auto"/>
          <w:sz w:val="32"/>
          <w:szCs w:val="32"/>
          <w:highlight w:val="none"/>
        </w:rPr>
        <w:t>2022年度财政拨款收入总计1299.18万元，其中：年初财政拨款结转和结余37.56万元，财政拨款本年收入1261.62万元。财政拨款收入总计与上年相比，减少115.84万元，下降8.19%，主要原因是：</w:t>
      </w:r>
      <w:r>
        <w:rPr>
          <w:rFonts w:hint="eastAsia" w:ascii="仿宋_GB2312" w:eastAsia="仿宋_GB2312"/>
          <w:color w:val="000000"/>
          <w:sz w:val="32"/>
          <w:szCs w:val="32"/>
          <w:highlight w:val="none"/>
          <w:shd w:val="clear"/>
        </w:rPr>
        <w:t>2022年度</w:t>
      </w:r>
      <w:r>
        <w:rPr>
          <w:rFonts w:hint="default" w:ascii="仿宋_GB2312" w:eastAsia="仿宋_GB2312"/>
          <w:color w:val="000000"/>
          <w:sz w:val="32"/>
          <w:szCs w:val="32"/>
          <w:highlight w:val="none"/>
          <w:shd w:val="clear"/>
        </w:rPr>
        <w:t>减少项目</w:t>
      </w:r>
      <w:r>
        <w:rPr>
          <w:rFonts w:hint="eastAsia" w:ascii="仿宋_GB2312" w:eastAsia="仿宋_GB2312"/>
          <w:color w:val="000000"/>
          <w:sz w:val="32"/>
          <w:szCs w:val="32"/>
          <w:highlight w:val="none"/>
          <w:shd w:val="clear"/>
          <w:lang w:val="en-US" w:eastAsia="zh-CN"/>
        </w:rPr>
        <w:t>安排</w:t>
      </w:r>
      <w:r>
        <w:rPr>
          <w:rFonts w:hint="default" w:ascii="仿宋_GB2312" w:eastAsia="仿宋_GB2312"/>
          <w:color w:val="000000"/>
          <w:sz w:val="32"/>
          <w:szCs w:val="32"/>
          <w:highlight w:val="none"/>
          <w:shd w:val="clear"/>
        </w:rPr>
        <w:t>，对应财政拨款收入减少。</w:t>
      </w:r>
    </w:p>
    <w:p>
      <w:pPr>
        <w:ind w:firstLine="640" w:firstLineChars="200"/>
        <w:rPr>
          <w:rFonts w:hint="eastAsia" w:ascii="仿宋_GB2312" w:eastAsia="仿宋_GB2312"/>
          <w:color w:val="000000"/>
          <w:sz w:val="32"/>
          <w:szCs w:val="32"/>
          <w:highlight w:val="none"/>
          <w:shd w:val="clear"/>
          <w:lang w:val="en-US" w:eastAsia="zh-CN"/>
        </w:rPr>
      </w:pPr>
      <w:r>
        <w:rPr>
          <w:rFonts w:hint="eastAsia" w:ascii="仿宋_GB2312" w:eastAsia="仿宋_GB2312"/>
          <w:color w:val="auto"/>
          <w:sz w:val="32"/>
          <w:szCs w:val="32"/>
          <w:highlight w:val="none"/>
        </w:rPr>
        <w:t>财政拨款支出总计1299.18万元，其中：年末财政拨款结转和结余18.03万元，财政拨款本年支出1281.15万元。财政拨款支出总计与上年相比，减少115.84万元，下降8.19%，主要原因是：</w:t>
      </w:r>
      <w:r>
        <w:rPr>
          <w:rFonts w:hint="eastAsia" w:ascii="仿宋_GB2312" w:eastAsia="仿宋_GB2312"/>
          <w:color w:val="auto"/>
          <w:sz w:val="32"/>
          <w:szCs w:val="32"/>
          <w:highlight w:val="none"/>
          <w:lang w:val="en-US" w:eastAsia="zh-CN"/>
        </w:rPr>
        <w:t>一是</w:t>
      </w:r>
      <w:r>
        <w:rPr>
          <w:rFonts w:hint="eastAsia" w:ascii="仿宋_GB2312" w:eastAsia="仿宋_GB2312"/>
          <w:color w:val="000000"/>
          <w:sz w:val="32"/>
          <w:szCs w:val="32"/>
          <w:highlight w:val="none"/>
          <w:shd w:val="clear"/>
        </w:rPr>
        <w:t>2022年度</w:t>
      </w:r>
      <w:r>
        <w:rPr>
          <w:rFonts w:hint="default" w:ascii="仿宋_GB2312" w:eastAsia="仿宋_GB2312"/>
          <w:color w:val="000000"/>
          <w:sz w:val="32"/>
          <w:szCs w:val="32"/>
          <w:highlight w:val="none"/>
          <w:shd w:val="clear"/>
        </w:rPr>
        <w:t>支出</w:t>
      </w:r>
      <w:r>
        <w:rPr>
          <w:rFonts w:hint="eastAsia" w:ascii="仿宋_GB2312" w:eastAsia="仿宋_GB2312"/>
          <w:color w:val="000000"/>
          <w:sz w:val="32"/>
          <w:szCs w:val="32"/>
          <w:highlight w:val="none"/>
          <w:shd w:val="clear"/>
          <w:lang w:val="en-US" w:eastAsia="zh-CN"/>
        </w:rPr>
        <w:t>项目减少</w:t>
      </w:r>
      <w:r>
        <w:rPr>
          <w:rFonts w:hint="default" w:ascii="仿宋_GB2312" w:eastAsia="仿宋_GB2312"/>
          <w:color w:val="000000"/>
          <w:sz w:val="32"/>
          <w:szCs w:val="32"/>
          <w:highlight w:val="none"/>
          <w:shd w:val="clear"/>
        </w:rPr>
        <w:t>，</w:t>
      </w:r>
      <w:r>
        <w:rPr>
          <w:rFonts w:hint="eastAsia" w:ascii="仿宋_GB2312" w:eastAsia="仿宋_GB2312"/>
          <w:color w:val="000000"/>
          <w:sz w:val="32"/>
          <w:szCs w:val="32"/>
          <w:highlight w:val="none"/>
          <w:shd w:val="clear"/>
          <w:lang w:val="en-US" w:eastAsia="zh-CN"/>
        </w:rPr>
        <w:t>项目支出减少126.40万元。</w:t>
      </w:r>
      <w:r>
        <w:rPr>
          <w:rFonts w:hint="eastAsia" w:ascii="仿宋_GB2312" w:eastAsia="仿宋_GB2312"/>
          <w:color w:val="000000"/>
          <w:sz w:val="32"/>
          <w:szCs w:val="32"/>
          <w:highlight w:val="none"/>
          <w:shd w:val="clear"/>
          <w:lang w:val="en-US" w:eastAsia="zh-CN"/>
        </w:rPr>
        <w:t xml:space="preserve">二是严格控制事业单位机关运行费等一般性支出，基本支出公用经费支出减少57.3万元。 </w:t>
      </w:r>
    </w:p>
    <w:p>
      <w:pPr>
        <w:ind w:firstLine="640" w:firstLineChars="200"/>
        <w:rPr>
          <w:rFonts w:hint="eastAsia" w:ascii="仿宋_GB2312" w:eastAsia="仿宋_GB2312"/>
          <w:color w:val="auto"/>
          <w:sz w:val="32"/>
          <w:szCs w:val="32"/>
          <w:highlight w:val="none"/>
          <w:shd w:val="clear"/>
        </w:rPr>
      </w:pPr>
      <w:r>
        <w:rPr>
          <w:rFonts w:hint="eastAsia" w:ascii="仿宋_GB2312" w:eastAsia="仿宋_GB2312"/>
          <w:color w:val="auto"/>
          <w:sz w:val="32"/>
          <w:szCs w:val="32"/>
          <w:highlight w:val="none"/>
        </w:rPr>
        <w:t>与年初预算数相比情况：财政拨款收入总计年初预算数1473.12万元，决算数1299.18万元，预决算差异率</w:t>
      </w:r>
      <w:r>
        <w:rPr>
          <w:rFonts w:hint="eastAsia" w:ascii="仿宋_GB2312" w:eastAsia="仿宋_GB2312"/>
          <w:color w:val="auto"/>
          <w:sz w:val="32"/>
          <w:szCs w:val="32"/>
          <w:highlight w:val="none"/>
          <w:lang w:val="en-US" w:eastAsia="zh-CN"/>
        </w:rPr>
        <w:t>-</w:t>
      </w:r>
      <w:r>
        <w:rPr>
          <w:rFonts w:hint="eastAsia" w:ascii="仿宋_GB2312" w:eastAsia="仿宋_GB2312"/>
          <w:color w:val="auto"/>
          <w:sz w:val="32"/>
          <w:szCs w:val="32"/>
          <w:highlight w:val="none"/>
        </w:rPr>
        <w:t>11.81%，主要原因是：2022年度</w:t>
      </w:r>
      <w:r>
        <w:rPr>
          <w:rFonts w:hint="eastAsia" w:ascii="仿宋_GB2312" w:eastAsia="仿宋_GB2312"/>
          <w:color w:val="auto"/>
          <w:sz w:val="32"/>
          <w:szCs w:val="32"/>
          <w:highlight w:val="none"/>
          <w:lang w:val="en-US" w:eastAsia="zh-CN"/>
        </w:rPr>
        <w:t>受不可抗力因素</w:t>
      </w:r>
      <w:r>
        <w:rPr>
          <w:rFonts w:hint="eastAsia" w:ascii="仿宋_GB2312" w:eastAsia="仿宋_GB2312"/>
          <w:color w:val="auto"/>
          <w:sz w:val="32"/>
          <w:szCs w:val="32"/>
          <w:highlight w:val="none"/>
        </w:rPr>
        <w:t>影响，</w:t>
      </w:r>
      <w:r>
        <w:rPr>
          <w:rFonts w:hint="eastAsia" w:ascii="仿宋_GB2312" w:eastAsia="仿宋_GB2312"/>
          <w:color w:val="auto"/>
          <w:sz w:val="32"/>
          <w:szCs w:val="32"/>
          <w:highlight w:val="none"/>
          <w:lang w:val="en-US" w:eastAsia="zh-CN"/>
        </w:rPr>
        <w:t>收入减少</w:t>
      </w:r>
      <w:r>
        <w:rPr>
          <w:rFonts w:hint="eastAsia" w:ascii="仿宋_GB2312" w:eastAsia="仿宋_GB2312"/>
          <w:color w:val="auto"/>
          <w:sz w:val="32"/>
          <w:szCs w:val="32"/>
          <w:highlight w:val="none"/>
        </w:rPr>
        <w:t>。财政拨款支出总计年初预算数1473.12万元，决算数1299.1</w:t>
      </w:r>
      <w:r>
        <w:rPr>
          <w:rFonts w:hint="eastAsia" w:ascii="仿宋_GB2312" w:eastAsia="仿宋_GB2312"/>
          <w:color w:val="auto"/>
          <w:sz w:val="32"/>
          <w:szCs w:val="32"/>
          <w:highlight w:val="none"/>
          <w:lang w:val="en-US" w:eastAsia="zh-CN"/>
        </w:rPr>
        <w:t>8</w:t>
      </w:r>
      <w:r>
        <w:rPr>
          <w:rFonts w:hint="eastAsia" w:ascii="仿宋_GB2312" w:eastAsia="仿宋_GB2312"/>
          <w:color w:val="auto"/>
          <w:sz w:val="32"/>
          <w:szCs w:val="32"/>
          <w:highlight w:val="none"/>
        </w:rPr>
        <w:t>万元，预决算差异率</w:t>
      </w:r>
      <w:r>
        <w:rPr>
          <w:rFonts w:hint="eastAsia" w:ascii="仿宋_GB2312" w:eastAsia="仿宋_GB2312"/>
          <w:color w:val="auto"/>
          <w:sz w:val="32"/>
          <w:szCs w:val="32"/>
          <w:highlight w:val="none"/>
          <w:lang w:val="en-US" w:eastAsia="zh-CN"/>
        </w:rPr>
        <w:t>-</w:t>
      </w:r>
      <w:r>
        <w:rPr>
          <w:rFonts w:hint="eastAsia" w:ascii="仿宋_GB2312" w:eastAsia="仿宋_GB2312"/>
          <w:color w:val="auto"/>
          <w:sz w:val="32"/>
          <w:szCs w:val="32"/>
          <w:highlight w:val="none"/>
        </w:rPr>
        <w:t>11.81%，主要原因是：</w:t>
      </w:r>
      <w:r>
        <w:rPr>
          <w:rFonts w:hint="eastAsia" w:ascii="仿宋_GB2312" w:eastAsia="仿宋_GB2312"/>
          <w:color w:val="000000"/>
          <w:sz w:val="32"/>
          <w:szCs w:val="32"/>
          <w:highlight w:val="none"/>
          <w:shd w:val="clear"/>
        </w:rPr>
        <w:t>2022年度</w:t>
      </w:r>
      <w:r>
        <w:rPr>
          <w:rFonts w:hint="default" w:ascii="仿宋_GB2312" w:eastAsia="仿宋_GB2312"/>
          <w:color w:val="000000"/>
          <w:sz w:val="32"/>
          <w:szCs w:val="32"/>
          <w:highlight w:val="none"/>
          <w:shd w:val="clear"/>
        </w:rPr>
        <w:t>减少项目收入，对应财政拨款收入减少。</w:t>
      </w:r>
      <w:r>
        <w:rPr>
          <w:rFonts w:hint="eastAsia" w:ascii="仿宋_GB2312" w:eastAsia="仿宋_GB2312"/>
          <w:color w:val="000000"/>
          <w:sz w:val="32"/>
          <w:szCs w:val="32"/>
          <w:highlight w:val="none"/>
          <w:shd w:val="clear"/>
        </w:rPr>
        <w:t>2022年度</w:t>
      </w:r>
      <w:r>
        <w:rPr>
          <w:rFonts w:hint="default" w:ascii="仿宋_GB2312" w:eastAsia="仿宋_GB2312"/>
          <w:color w:val="000000"/>
          <w:sz w:val="32"/>
          <w:szCs w:val="32"/>
          <w:highlight w:val="none"/>
          <w:shd w:val="clear"/>
        </w:rPr>
        <w:t>减少项目支出，对应财政拨款支出减少。</w:t>
      </w:r>
    </w:p>
    <w:p>
      <w:pPr>
        <w:ind w:firstLine="640" w:firstLineChars="200"/>
        <w:outlineLvl w:val="1"/>
        <w:rPr>
          <w:rFonts w:hint="eastAsia" w:ascii="黑体" w:hAnsi="黑体" w:eastAsia="黑体" w:cs="宋体"/>
          <w:bCs/>
          <w:color w:val="auto"/>
          <w:kern w:val="0"/>
          <w:sz w:val="32"/>
          <w:szCs w:val="32"/>
          <w:highlight w:val="none"/>
        </w:rPr>
      </w:pPr>
      <w:r>
        <w:rPr>
          <w:rFonts w:hint="eastAsia" w:ascii="黑体" w:hAnsi="黑体" w:eastAsia="黑体" w:cs="宋体"/>
          <w:bCs/>
          <w:color w:val="auto"/>
          <w:kern w:val="0"/>
          <w:sz w:val="32"/>
          <w:szCs w:val="32"/>
          <w:highlight w:val="none"/>
        </w:rPr>
        <w:t>五、一般公共预算财政拨款支出决算情况说明</w:t>
      </w:r>
      <w:bookmarkEnd w:id="16"/>
      <w:bookmarkEnd w:id="17"/>
    </w:p>
    <w:p>
      <w:pPr>
        <w:ind w:firstLine="640" w:firstLineChars="200"/>
        <w:outlineLvl w:val="2"/>
        <w:rPr>
          <w:rFonts w:hint="eastAsia" w:ascii="黑体" w:hAnsi="黑体" w:eastAsia="黑体"/>
          <w:color w:val="auto"/>
          <w:sz w:val="32"/>
          <w:szCs w:val="32"/>
          <w:highlight w:val="none"/>
        </w:rPr>
      </w:pPr>
      <w:r>
        <w:rPr>
          <w:rFonts w:hint="eastAsia" w:ascii="黑体" w:hAnsi="黑体" w:eastAsia="黑体"/>
          <w:color w:val="auto"/>
          <w:sz w:val="32"/>
          <w:szCs w:val="32"/>
          <w:highlight w:val="none"/>
        </w:rPr>
        <w:t>（一）一般公共预算财政拨款支出决算总体情况</w:t>
      </w:r>
    </w:p>
    <w:p>
      <w:pPr>
        <w:ind w:firstLine="640" w:firstLineChars="200"/>
        <w:rPr>
          <w:rFonts w:hint="eastAsia" w:ascii="仿宋_GB2312" w:eastAsia="仿宋_GB2312"/>
          <w:color w:val="auto"/>
          <w:sz w:val="32"/>
          <w:szCs w:val="32"/>
          <w:highlight w:val="none"/>
          <w:shd w:val="clear" w:fill="FFC000"/>
        </w:rPr>
      </w:pPr>
      <w:r>
        <w:rPr>
          <w:rFonts w:hint="eastAsia" w:ascii="仿宋_GB2312" w:eastAsia="仿宋_GB2312"/>
          <w:color w:val="auto"/>
          <w:sz w:val="32"/>
          <w:szCs w:val="32"/>
          <w:highlight w:val="none"/>
        </w:rPr>
        <w:t>2022年度一般公共预算财政拨款支出</w:t>
      </w:r>
      <w:r>
        <w:rPr>
          <w:rFonts w:ascii="仿宋_GB2312" w:eastAsia="仿宋_GB2312"/>
          <w:color w:val="auto"/>
          <w:sz w:val="32"/>
          <w:szCs w:val="32"/>
          <w:highlight w:val="none"/>
        </w:rPr>
        <w:t>1281.15</w:t>
      </w:r>
      <w:r>
        <w:rPr>
          <w:rFonts w:hint="eastAsia" w:ascii="仿宋_GB2312" w:eastAsia="仿宋_GB2312"/>
          <w:color w:val="auto"/>
          <w:sz w:val="32"/>
          <w:szCs w:val="32"/>
          <w:highlight w:val="none"/>
        </w:rPr>
        <w:t>万元，占本年支出合计的</w:t>
      </w:r>
      <w:r>
        <w:rPr>
          <w:rFonts w:ascii="仿宋_GB2312" w:eastAsia="仿宋_GB2312"/>
          <w:color w:val="auto"/>
          <w:sz w:val="32"/>
          <w:szCs w:val="32"/>
          <w:highlight w:val="none"/>
        </w:rPr>
        <w:t>91.57</w:t>
      </w:r>
      <w:r>
        <w:rPr>
          <w:rFonts w:hint="eastAsia" w:ascii="仿宋_GB2312" w:eastAsia="仿宋_GB2312"/>
          <w:color w:val="auto"/>
          <w:sz w:val="32"/>
          <w:szCs w:val="32"/>
          <w:highlight w:val="none"/>
        </w:rPr>
        <w:t>%，与上年相比，减少</w:t>
      </w:r>
      <w:r>
        <w:rPr>
          <w:rFonts w:ascii="仿宋_GB2312" w:eastAsia="仿宋_GB2312"/>
          <w:color w:val="auto"/>
          <w:sz w:val="32"/>
          <w:szCs w:val="32"/>
          <w:highlight w:val="none"/>
        </w:rPr>
        <w:t>96.31</w:t>
      </w:r>
      <w:r>
        <w:rPr>
          <w:rFonts w:hint="eastAsia" w:ascii="仿宋_GB2312" w:eastAsia="仿宋_GB2312"/>
          <w:color w:val="auto"/>
          <w:sz w:val="32"/>
          <w:szCs w:val="32"/>
          <w:highlight w:val="none"/>
        </w:rPr>
        <w:t>万元，下降</w:t>
      </w:r>
      <w:r>
        <w:rPr>
          <w:rFonts w:ascii="仿宋_GB2312" w:eastAsia="仿宋_GB2312"/>
          <w:color w:val="auto"/>
          <w:sz w:val="32"/>
          <w:szCs w:val="32"/>
          <w:highlight w:val="none"/>
        </w:rPr>
        <w:t>6.99</w:t>
      </w:r>
      <w:r>
        <w:rPr>
          <w:rFonts w:hint="eastAsia" w:ascii="仿宋_GB2312" w:eastAsia="仿宋_GB2312"/>
          <w:color w:val="auto"/>
          <w:sz w:val="32"/>
          <w:szCs w:val="32"/>
          <w:highlight w:val="none"/>
        </w:rPr>
        <w:t>%，主要原因是：</w:t>
      </w:r>
      <w:r>
        <w:rPr>
          <w:rFonts w:hint="eastAsia" w:ascii="仿宋_GB2312" w:eastAsia="仿宋_GB2312"/>
          <w:color w:val="auto"/>
          <w:sz w:val="32"/>
          <w:szCs w:val="32"/>
          <w:highlight w:val="none"/>
          <w:lang w:val="en-US" w:eastAsia="zh-CN"/>
        </w:rPr>
        <w:t>一是</w:t>
      </w:r>
      <w:r>
        <w:rPr>
          <w:rFonts w:hint="eastAsia" w:ascii="仿宋_GB2312" w:eastAsia="仿宋_GB2312"/>
          <w:color w:val="000000"/>
          <w:sz w:val="32"/>
          <w:szCs w:val="32"/>
          <w:highlight w:val="none"/>
          <w:shd w:val="clear"/>
        </w:rPr>
        <w:t>2022年度</w:t>
      </w:r>
      <w:r>
        <w:rPr>
          <w:rFonts w:hint="default" w:ascii="仿宋_GB2312" w:eastAsia="仿宋_GB2312"/>
          <w:color w:val="000000"/>
          <w:sz w:val="32"/>
          <w:szCs w:val="32"/>
          <w:highlight w:val="none"/>
          <w:shd w:val="clear"/>
        </w:rPr>
        <w:t>支出</w:t>
      </w:r>
      <w:r>
        <w:rPr>
          <w:rFonts w:hint="eastAsia" w:ascii="仿宋_GB2312" w:eastAsia="仿宋_GB2312"/>
          <w:color w:val="000000"/>
          <w:sz w:val="32"/>
          <w:szCs w:val="32"/>
          <w:highlight w:val="none"/>
          <w:shd w:val="clear"/>
          <w:lang w:val="en-US" w:eastAsia="zh-CN"/>
        </w:rPr>
        <w:t>项目减少</w:t>
      </w:r>
      <w:r>
        <w:rPr>
          <w:rFonts w:hint="default" w:ascii="仿宋_GB2312" w:eastAsia="仿宋_GB2312"/>
          <w:color w:val="000000"/>
          <w:sz w:val="32"/>
          <w:szCs w:val="32"/>
          <w:highlight w:val="none"/>
          <w:shd w:val="clear"/>
        </w:rPr>
        <w:t>，</w:t>
      </w:r>
      <w:r>
        <w:rPr>
          <w:rFonts w:hint="eastAsia" w:ascii="仿宋_GB2312" w:eastAsia="仿宋_GB2312"/>
          <w:color w:val="000000"/>
          <w:sz w:val="32"/>
          <w:szCs w:val="32"/>
          <w:highlight w:val="none"/>
          <w:shd w:val="clear"/>
          <w:lang w:val="en-US" w:eastAsia="zh-CN"/>
        </w:rPr>
        <w:t>项目支出减少126.40万元。二是严格控制事业单位机关运行费等一般性支出，</w:t>
      </w:r>
      <w:r>
        <w:rPr>
          <w:rFonts w:hint="eastAsia" w:ascii="仿宋_GB2312" w:eastAsia="仿宋_GB2312"/>
          <w:color w:val="auto"/>
          <w:sz w:val="32"/>
          <w:szCs w:val="32"/>
          <w:highlight w:val="none"/>
        </w:rPr>
        <w:t>一般公共预算财政拨款</w:t>
      </w:r>
      <w:r>
        <w:rPr>
          <w:rFonts w:hint="eastAsia" w:ascii="仿宋_GB2312" w:eastAsia="仿宋_GB2312"/>
          <w:color w:val="000000"/>
          <w:sz w:val="32"/>
          <w:szCs w:val="32"/>
          <w:highlight w:val="none"/>
          <w:shd w:val="clear"/>
          <w:lang w:val="en-US" w:eastAsia="zh-CN"/>
        </w:rPr>
        <w:t xml:space="preserve">基本支出减少30.08万元。 </w:t>
      </w:r>
    </w:p>
    <w:p>
      <w:pPr>
        <w:ind w:firstLine="640" w:firstLineChars="200"/>
        <w:outlineLvl w:val="2"/>
        <w:rPr>
          <w:rFonts w:hint="eastAsia" w:ascii="黑体" w:hAnsi="黑体" w:eastAsia="黑体"/>
          <w:color w:val="auto"/>
          <w:sz w:val="32"/>
          <w:szCs w:val="32"/>
          <w:highlight w:val="none"/>
        </w:rPr>
      </w:pPr>
      <w:r>
        <w:rPr>
          <w:rFonts w:hint="eastAsia" w:ascii="黑体" w:hAnsi="黑体" w:eastAsia="黑体"/>
          <w:color w:val="auto"/>
          <w:sz w:val="32"/>
          <w:szCs w:val="32"/>
          <w:highlight w:val="none"/>
        </w:rPr>
        <w:t>（二）一般公共预算财政拨款支出决算结构情况</w:t>
      </w:r>
    </w:p>
    <w:p>
      <w:pPr>
        <w:spacing w:line="600" w:lineRule="exact"/>
        <w:ind w:firstLine="640" w:firstLineChars="200"/>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sz w:val="32"/>
          <w:szCs w:val="32"/>
          <w:highlight w:val="none"/>
        </w:rPr>
        <w:t>1.教育支出（类）</w:t>
      </w:r>
      <w:r>
        <w:rPr>
          <w:rFonts w:hint="eastAsia" w:ascii="仿宋_GB2312" w:hAnsi="仿宋_GB2312" w:eastAsia="仿宋_GB2312" w:cs="仿宋_GB2312"/>
          <w:color w:val="auto"/>
          <w:kern w:val="0"/>
          <w:sz w:val="32"/>
          <w:szCs w:val="32"/>
          <w:highlight w:val="none"/>
        </w:rPr>
        <w:t>1277.17万元，占</w:t>
      </w:r>
      <w:r>
        <w:rPr>
          <w:rFonts w:hint="eastAsia" w:ascii="仿宋_GB2312" w:eastAsia="仿宋_GB2312"/>
          <w:color w:val="auto"/>
          <w:sz w:val="32"/>
          <w:szCs w:val="32"/>
          <w:highlight w:val="none"/>
        </w:rPr>
        <w:t>99.69</w:t>
      </w:r>
      <w:r>
        <w:rPr>
          <w:rFonts w:hint="eastAsia" w:ascii="仿宋_GB2312" w:hAnsi="仿宋_GB2312" w:eastAsia="仿宋_GB2312" w:cs="仿宋_GB2312"/>
          <w:color w:val="auto"/>
          <w:kern w:val="0"/>
          <w:sz w:val="32"/>
          <w:szCs w:val="32"/>
          <w:highlight w:val="none"/>
        </w:rPr>
        <w:t>%。</w:t>
      </w:r>
    </w:p>
    <w:p>
      <w:pPr>
        <w:spacing w:line="600" w:lineRule="exact"/>
        <w:ind w:firstLine="640" w:firstLineChars="200"/>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2.社会保障和就业支出</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lang w:val="en-US" w:eastAsia="zh-CN"/>
        </w:rPr>
        <w:t>类</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rPr>
        <w:t>3.98万元，占</w:t>
      </w:r>
      <w:r>
        <w:rPr>
          <w:rFonts w:hint="eastAsia" w:ascii="仿宋_GB2312" w:eastAsia="仿宋_GB2312"/>
          <w:color w:val="auto"/>
          <w:sz w:val="32"/>
          <w:szCs w:val="32"/>
          <w:highlight w:val="none"/>
        </w:rPr>
        <w:t>0.31</w:t>
      </w:r>
      <w:r>
        <w:rPr>
          <w:rFonts w:hint="eastAsia" w:ascii="仿宋_GB2312" w:hAnsi="仿宋_GB2312" w:eastAsia="仿宋_GB2312" w:cs="仿宋_GB2312"/>
          <w:color w:val="auto"/>
          <w:kern w:val="0"/>
          <w:sz w:val="32"/>
          <w:szCs w:val="32"/>
          <w:highlight w:val="none"/>
        </w:rPr>
        <w:t>%。</w:t>
      </w:r>
    </w:p>
    <w:p>
      <w:pPr>
        <w:ind w:firstLine="640" w:firstLineChars="200"/>
        <w:outlineLvl w:val="2"/>
        <w:rPr>
          <w:rFonts w:hint="eastAsia" w:ascii="黑体" w:hAnsi="黑体" w:eastAsia="黑体"/>
          <w:color w:val="auto"/>
          <w:sz w:val="32"/>
          <w:szCs w:val="32"/>
          <w:highlight w:val="none"/>
        </w:rPr>
      </w:pPr>
      <w:r>
        <w:rPr>
          <w:rFonts w:hint="eastAsia" w:ascii="黑体" w:hAnsi="黑体" w:eastAsia="黑体"/>
          <w:color w:val="auto"/>
          <w:sz w:val="32"/>
          <w:szCs w:val="32"/>
          <w:highlight w:val="none"/>
        </w:rPr>
        <w:t>（三）一般公共预算财政拨款支出决算具体情况</w:t>
      </w:r>
    </w:p>
    <w:p>
      <w:pPr>
        <w:ind w:firstLine="640" w:firstLineChars="200"/>
        <w:rPr>
          <w:rFonts w:hint="eastAsia" w:ascii="仿宋_GB2312" w:eastAsia="仿宋_GB2312"/>
          <w:color w:val="auto"/>
          <w:sz w:val="32"/>
          <w:szCs w:val="32"/>
          <w:highlight w:val="none"/>
          <w:shd w:val="clear"/>
        </w:rPr>
      </w:pPr>
      <w:r>
        <w:rPr>
          <w:rFonts w:hint="eastAsia" w:ascii="仿宋_GB2312" w:hAnsi="仿宋_GB2312" w:eastAsia="仿宋_GB2312" w:cs="仿宋_GB2312"/>
          <w:color w:val="auto"/>
          <w:kern w:val="0"/>
          <w:sz w:val="32"/>
          <w:szCs w:val="32"/>
          <w:highlight w:val="none"/>
        </w:rPr>
        <w:t>1.</w:t>
      </w:r>
      <w:r>
        <w:rPr>
          <w:rFonts w:hint="eastAsia" w:ascii="仿宋_GB2312" w:hAnsi="仿宋_GB2312" w:eastAsia="仿宋_GB2312" w:cs="仿宋_GB2312"/>
          <w:color w:val="auto"/>
          <w:sz w:val="32"/>
          <w:szCs w:val="32"/>
          <w:highlight w:val="none"/>
        </w:rPr>
        <w:t>教育支出（类）普通教育（款）小学教育（项）</w:t>
      </w:r>
      <w:r>
        <w:rPr>
          <w:rFonts w:hint="eastAsia" w:ascii="仿宋_GB2312" w:hAnsi="仿宋_GB2312" w:eastAsia="仿宋_GB2312" w:cs="仿宋_GB2312"/>
          <w:color w:val="auto"/>
          <w:kern w:val="0"/>
          <w:sz w:val="32"/>
          <w:szCs w:val="32"/>
          <w:highlight w:val="none"/>
        </w:rPr>
        <w:t>:支出决算数为1277.17万元，比上年决算减少18.</w:t>
      </w:r>
      <w:r>
        <w:rPr>
          <w:rFonts w:hint="eastAsia" w:ascii="仿宋_GB2312" w:hAnsi="仿宋_GB2312" w:eastAsia="仿宋_GB2312" w:cs="仿宋_GB2312"/>
          <w:color w:val="auto"/>
          <w:kern w:val="0"/>
          <w:sz w:val="32"/>
          <w:szCs w:val="32"/>
          <w:highlight w:val="none"/>
          <w:lang w:val="en-US" w:eastAsia="zh-CN"/>
        </w:rPr>
        <w:t>91</w:t>
      </w:r>
      <w:r>
        <w:rPr>
          <w:rFonts w:hint="eastAsia" w:ascii="仿宋_GB2312" w:hAnsi="仿宋_GB2312" w:eastAsia="仿宋_GB2312" w:cs="仿宋_GB2312"/>
          <w:color w:val="auto"/>
          <w:kern w:val="0"/>
          <w:sz w:val="32"/>
          <w:szCs w:val="32"/>
          <w:highlight w:val="none"/>
        </w:rPr>
        <w:t>万元，下降1.40%，主要原因是：</w:t>
      </w:r>
      <w:r>
        <w:rPr>
          <w:rFonts w:hint="eastAsia" w:ascii="仿宋_GB2312" w:eastAsia="仿宋_GB2312"/>
          <w:color w:val="auto"/>
          <w:sz w:val="32"/>
          <w:szCs w:val="32"/>
          <w:highlight w:val="none"/>
          <w:lang w:val="en-US" w:eastAsia="zh-CN"/>
        </w:rPr>
        <w:t>一是</w:t>
      </w:r>
      <w:r>
        <w:rPr>
          <w:rFonts w:hint="eastAsia" w:ascii="仿宋_GB2312" w:eastAsia="仿宋_GB2312"/>
          <w:color w:val="000000"/>
          <w:sz w:val="32"/>
          <w:szCs w:val="32"/>
          <w:highlight w:val="none"/>
          <w:shd w:val="clear"/>
        </w:rPr>
        <w:t>2022年度</w:t>
      </w:r>
      <w:r>
        <w:rPr>
          <w:rFonts w:hint="default" w:ascii="仿宋_GB2312" w:eastAsia="仿宋_GB2312"/>
          <w:color w:val="000000"/>
          <w:sz w:val="32"/>
          <w:szCs w:val="32"/>
          <w:highlight w:val="none"/>
          <w:shd w:val="clear"/>
        </w:rPr>
        <w:t>支出</w:t>
      </w:r>
      <w:r>
        <w:rPr>
          <w:rFonts w:hint="eastAsia" w:ascii="仿宋_GB2312" w:eastAsia="仿宋_GB2312"/>
          <w:color w:val="000000"/>
          <w:sz w:val="32"/>
          <w:szCs w:val="32"/>
          <w:highlight w:val="none"/>
          <w:shd w:val="clear"/>
          <w:lang w:val="en-US" w:eastAsia="zh-CN"/>
        </w:rPr>
        <w:t>项目减少</w:t>
      </w:r>
      <w:r>
        <w:rPr>
          <w:rFonts w:hint="default" w:ascii="仿宋_GB2312" w:eastAsia="仿宋_GB2312"/>
          <w:color w:val="000000"/>
          <w:sz w:val="32"/>
          <w:szCs w:val="32"/>
          <w:highlight w:val="none"/>
          <w:shd w:val="clear"/>
        </w:rPr>
        <w:t>，</w:t>
      </w:r>
      <w:r>
        <w:rPr>
          <w:rFonts w:hint="eastAsia" w:ascii="仿宋_GB2312" w:eastAsia="仿宋_GB2312"/>
          <w:color w:val="000000"/>
          <w:sz w:val="32"/>
          <w:szCs w:val="32"/>
          <w:highlight w:val="none"/>
          <w:shd w:val="clear"/>
          <w:lang w:val="en-US" w:eastAsia="zh-CN"/>
        </w:rPr>
        <w:t>项目支出减少126.40万元。二是严格控制事业单位机关运行费等一般性支出，</w:t>
      </w:r>
      <w:r>
        <w:rPr>
          <w:rFonts w:hint="eastAsia" w:ascii="仿宋_GB2312" w:eastAsia="仿宋_GB2312"/>
          <w:color w:val="auto"/>
          <w:sz w:val="32"/>
          <w:szCs w:val="32"/>
          <w:highlight w:val="none"/>
        </w:rPr>
        <w:t>一般公共预算财政拨款</w:t>
      </w:r>
      <w:r>
        <w:rPr>
          <w:rFonts w:hint="eastAsia" w:ascii="仿宋_GB2312" w:hAnsi="仿宋_GB2312" w:eastAsia="仿宋_GB2312" w:cs="仿宋_GB2312"/>
          <w:color w:val="auto"/>
          <w:sz w:val="32"/>
          <w:szCs w:val="32"/>
          <w:highlight w:val="none"/>
        </w:rPr>
        <w:t>小学教育（项）</w:t>
      </w:r>
      <w:bookmarkStart w:id="54" w:name="_GoBack"/>
      <w:bookmarkEnd w:id="54"/>
      <w:r>
        <w:rPr>
          <w:rFonts w:hint="eastAsia" w:ascii="仿宋_GB2312" w:eastAsia="仿宋_GB2312"/>
          <w:color w:val="000000"/>
          <w:sz w:val="32"/>
          <w:szCs w:val="32"/>
          <w:highlight w:val="none"/>
          <w:shd w:val="clear"/>
          <w:lang w:val="en-US" w:eastAsia="zh-CN"/>
        </w:rPr>
        <w:t xml:space="preserve">基本支出减少107.48万元。 </w:t>
      </w:r>
    </w:p>
    <w:p>
      <w:pPr>
        <w:spacing w:line="600" w:lineRule="exact"/>
        <w:ind w:firstLine="640" w:firstLineChars="200"/>
        <w:rPr>
          <w:rFonts w:hint="eastAsia" w:ascii="仿宋_GB2312" w:eastAsia="仿宋_GB2312"/>
          <w:color w:val="auto"/>
          <w:sz w:val="32"/>
          <w:szCs w:val="32"/>
          <w:highlight w:val="none"/>
        </w:rPr>
      </w:pPr>
      <w:r>
        <w:rPr>
          <w:rFonts w:hint="eastAsia" w:ascii="仿宋_GB2312" w:hAnsi="仿宋_GB2312" w:eastAsia="仿宋_GB2312" w:cs="仿宋_GB2312"/>
          <w:color w:val="auto"/>
          <w:kern w:val="0"/>
          <w:sz w:val="32"/>
          <w:szCs w:val="32"/>
          <w:highlight w:val="none"/>
        </w:rPr>
        <w:t>2.社会保障和就业支出</w:t>
      </w:r>
      <w:r>
        <w:rPr>
          <w:rFonts w:hint="eastAsia" w:ascii="仿宋_GB2312" w:hAnsi="仿宋_GB2312" w:eastAsia="仿宋_GB2312" w:cs="仿宋_GB2312"/>
          <w:color w:val="auto"/>
          <w:sz w:val="32"/>
          <w:szCs w:val="32"/>
          <w:highlight w:val="none"/>
        </w:rPr>
        <w:t>（类）行政事业单位养老支出（款）机关事业单位基本养老保险缴费支出（项）</w:t>
      </w:r>
      <w:r>
        <w:rPr>
          <w:rFonts w:hint="eastAsia" w:ascii="仿宋_GB2312" w:hAnsi="仿宋_GB2312" w:eastAsia="仿宋_GB2312" w:cs="仿宋_GB2312"/>
          <w:color w:val="auto"/>
          <w:kern w:val="0"/>
          <w:sz w:val="32"/>
          <w:szCs w:val="32"/>
          <w:highlight w:val="none"/>
        </w:rPr>
        <w:t>:支出决算数为3.98万元，比上年决算减少77.4</w:t>
      </w:r>
      <w:r>
        <w:rPr>
          <w:rFonts w:hint="eastAsia" w:ascii="仿宋_GB2312" w:hAnsi="仿宋_GB2312" w:eastAsia="仿宋_GB2312" w:cs="仿宋_GB2312"/>
          <w:color w:val="auto"/>
          <w:kern w:val="0"/>
          <w:sz w:val="32"/>
          <w:szCs w:val="32"/>
          <w:highlight w:val="none"/>
          <w:lang w:val="en-US" w:eastAsia="zh-CN"/>
        </w:rPr>
        <w:t>0</w:t>
      </w:r>
      <w:r>
        <w:rPr>
          <w:rFonts w:hint="eastAsia" w:ascii="仿宋_GB2312" w:hAnsi="仿宋_GB2312" w:eastAsia="仿宋_GB2312" w:cs="仿宋_GB2312"/>
          <w:color w:val="auto"/>
          <w:kern w:val="0"/>
          <w:sz w:val="32"/>
          <w:szCs w:val="32"/>
          <w:highlight w:val="none"/>
        </w:rPr>
        <w:t>万元，下降95.11%，主要原因是：</w:t>
      </w:r>
      <w:r>
        <w:rPr>
          <w:rFonts w:hint="eastAsia" w:ascii="仿宋_GB2312" w:eastAsia="仿宋_GB2312"/>
          <w:color w:val="auto"/>
          <w:sz w:val="32"/>
          <w:szCs w:val="32"/>
          <w:highlight w:val="none"/>
        </w:rPr>
        <w:t>2022年度社会保险费、住房公积金等支出在小学教育类核算。</w:t>
      </w:r>
    </w:p>
    <w:p>
      <w:pPr>
        <w:ind w:firstLine="640" w:firstLineChars="200"/>
        <w:outlineLvl w:val="1"/>
        <w:rPr>
          <w:rFonts w:hint="eastAsia" w:ascii="黑体" w:hAnsi="黑体" w:eastAsia="黑体" w:cs="宋体"/>
          <w:bCs/>
          <w:color w:val="auto"/>
          <w:kern w:val="0"/>
          <w:sz w:val="32"/>
          <w:szCs w:val="32"/>
          <w:highlight w:val="none"/>
        </w:rPr>
      </w:pPr>
      <w:bookmarkStart w:id="18" w:name="_Toc30870"/>
      <w:bookmarkStart w:id="19" w:name="_Toc11146"/>
      <w:r>
        <w:rPr>
          <w:rFonts w:hint="eastAsia" w:ascii="黑体" w:hAnsi="黑体" w:eastAsia="黑体" w:cs="宋体"/>
          <w:bCs/>
          <w:color w:val="auto"/>
          <w:kern w:val="0"/>
          <w:sz w:val="32"/>
          <w:szCs w:val="32"/>
          <w:highlight w:val="none"/>
        </w:rPr>
        <w:t>六、一般公共预算财政拨款基本支出决算情况说明</w:t>
      </w:r>
      <w:bookmarkEnd w:id="18"/>
      <w:bookmarkEnd w:id="19"/>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2022年度一般公共预算财政拨款基本支出1180.32万元，其中：</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人员经费1149.02万元，包括：基本工资、津贴补贴、奖金、绩效工资、机关事业单位基本养老保险缴费、职工基本医疗保险缴费、公务员医疗补助缴费、其他社会保障缴费、住房公积金、退休费、生活补助、奖励金、其他对个人和家庭的补助。</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公用经费31.3</w:t>
      </w:r>
      <w:r>
        <w:rPr>
          <w:rFonts w:ascii="仿宋_GB2312" w:eastAsia="仿宋_GB2312"/>
          <w:color w:val="auto"/>
          <w:sz w:val="32"/>
          <w:szCs w:val="32"/>
          <w:highlight w:val="none"/>
        </w:rPr>
        <w:t>0</w:t>
      </w:r>
      <w:r>
        <w:rPr>
          <w:rFonts w:hint="eastAsia" w:ascii="仿宋_GB2312" w:eastAsia="仿宋_GB2312"/>
          <w:color w:val="auto"/>
          <w:sz w:val="32"/>
          <w:szCs w:val="32"/>
          <w:highlight w:val="none"/>
        </w:rPr>
        <w:t>万元，包括：水费、电费、邮电费、取暖费、培训费、专用材料费、福利费、其他交通费用、税金及附加费用、其他商品和服其他支出。</w:t>
      </w:r>
    </w:p>
    <w:p>
      <w:pPr>
        <w:ind w:firstLine="640" w:firstLineChars="200"/>
        <w:outlineLvl w:val="1"/>
        <w:rPr>
          <w:rFonts w:hint="eastAsia" w:ascii="黑体" w:hAnsi="黑体" w:eastAsia="黑体" w:cs="宋体"/>
          <w:bCs/>
          <w:color w:val="auto"/>
          <w:kern w:val="0"/>
          <w:sz w:val="32"/>
          <w:szCs w:val="32"/>
          <w:highlight w:val="none"/>
        </w:rPr>
      </w:pPr>
      <w:bookmarkStart w:id="20" w:name="_Toc7190"/>
      <w:bookmarkStart w:id="21" w:name="_Toc21518"/>
      <w:r>
        <w:rPr>
          <w:rFonts w:hint="eastAsia" w:ascii="黑体" w:hAnsi="黑体" w:eastAsia="黑体" w:cs="宋体"/>
          <w:bCs/>
          <w:color w:val="auto"/>
          <w:kern w:val="0"/>
          <w:sz w:val="32"/>
          <w:szCs w:val="32"/>
          <w:highlight w:val="none"/>
        </w:rPr>
        <w:t>七、财政拨款“三公”经费支出决算情况说明</w:t>
      </w:r>
      <w:bookmarkEnd w:id="20"/>
      <w:bookmarkEnd w:id="21"/>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2022年度财政拨款“三公”经费支出决算0.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万元，比上年增加0.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万元，增长0.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%，主要原因是：本单位本年度没有</w:t>
      </w:r>
      <w:r>
        <w:rPr>
          <w:rFonts w:hint="eastAsia" w:ascii="仿宋_GB2312" w:eastAsia="仿宋_GB2312"/>
          <w:color w:val="auto"/>
          <w:sz w:val="32"/>
          <w:szCs w:val="32"/>
          <w:highlight w:val="none"/>
          <w:lang w:val="en-US" w:eastAsia="zh-CN"/>
        </w:rPr>
        <w:t>三公经费相关支出</w:t>
      </w:r>
      <w:r>
        <w:rPr>
          <w:rFonts w:hint="eastAsia" w:ascii="仿宋_GB2312" w:eastAsia="仿宋_GB2312"/>
          <w:color w:val="auto"/>
          <w:sz w:val="32"/>
          <w:szCs w:val="32"/>
          <w:highlight w:val="none"/>
        </w:rPr>
        <w:t>。其中：因公出国（境）费支出0.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万元，占0.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%，比上年增加0.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万元，增长0.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%，主要原因是：本单位本年度没有因公出国（境）预算；公务用车购置及运行维护费支出0.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万元，占0.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%，比上年增加0.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万元，增长0.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%，主要原因是：本单位本年度没有公务用车购置及运行维护费预算；公务接待费支出0.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万元，占0.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%，比上年增加0.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万元，增长0.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%，主要原因是：本单位本年度没有</w:t>
      </w:r>
      <w:r>
        <w:rPr>
          <w:rFonts w:hint="eastAsia" w:ascii="仿宋_GB2312" w:eastAsia="仿宋_GB2312"/>
          <w:color w:val="auto"/>
          <w:sz w:val="32"/>
          <w:szCs w:val="32"/>
          <w:highlight w:val="none"/>
          <w:lang w:val="en-US" w:eastAsia="zh-CN"/>
        </w:rPr>
        <w:t>公务接待费相关支出</w:t>
      </w:r>
      <w:r>
        <w:rPr>
          <w:rFonts w:hint="eastAsia" w:ascii="仿宋_GB2312" w:eastAsia="仿宋_GB2312"/>
          <w:color w:val="auto"/>
          <w:sz w:val="32"/>
          <w:szCs w:val="32"/>
          <w:highlight w:val="none"/>
        </w:rPr>
        <w:t>。具体情况如下：</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因公出国（境）费支出0.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万元，开支内容包括单位无此支出。单位全年安排的因公出国（境）团组0个，因公出国（境）0人次。</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公务用车购置及运行维护费0.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万元，其中：公务用车购置费0.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万元，公务用车运行维护费0.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万元。公务用车运行维护费开支内容包括单位无公务用车运行维护费支出。公务用车购置数0辆，公务用车保有量0辆。</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公务接待费0.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万元，开支内容包括单位无</w:t>
      </w:r>
      <w:r>
        <w:rPr>
          <w:rFonts w:hint="eastAsia" w:ascii="仿宋_GB2312" w:eastAsia="仿宋_GB2312"/>
          <w:color w:val="auto"/>
          <w:sz w:val="32"/>
          <w:szCs w:val="32"/>
          <w:highlight w:val="none"/>
          <w:lang w:val="en-US" w:eastAsia="zh-CN"/>
        </w:rPr>
        <w:t>公务接待费</w:t>
      </w:r>
      <w:r>
        <w:rPr>
          <w:rFonts w:hint="eastAsia" w:ascii="仿宋_GB2312" w:eastAsia="仿宋_GB2312"/>
          <w:color w:val="auto"/>
          <w:sz w:val="32"/>
          <w:szCs w:val="32"/>
          <w:highlight w:val="none"/>
        </w:rPr>
        <w:t>支出。单位全年安排的国内公务接待0批次，0人次。</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与全年预算数相比情况：“三公”经费支出全年预算数0.49万元，决算数0.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万元，预决算差异率-100.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%，主要原因是：我单位无</w:t>
      </w:r>
      <w:r>
        <w:rPr>
          <w:rFonts w:hint="eastAsia" w:ascii="仿宋_GB2312" w:eastAsia="仿宋_GB2312"/>
          <w:color w:val="auto"/>
          <w:sz w:val="32"/>
          <w:szCs w:val="32"/>
          <w:highlight w:val="none"/>
          <w:lang w:val="en-US" w:eastAsia="zh-CN"/>
        </w:rPr>
        <w:t>三公经费</w:t>
      </w:r>
      <w:r>
        <w:rPr>
          <w:rFonts w:hint="eastAsia" w:ascii="仿宋_GB2312" w:eastAsia="仿宋_GB2312"/>
          <w:color w:val="auto"/>
          <w:sz w:val="32"/>
          <w:szCs w:val="32"/>
          <w:highlight w:val="none"/>
        </w:rPr>
        <w:t>支出。</w:t>
      </w:r>
      <w:r>
        <w:rPr>
          <w:rFonts w:hint="eastAsia" w:ascii="仿宋_GB2312" w:hAnsi="宋体" w:eastAsia="仿宋_GB2312" w:cs="宋体"/>
          <w:color w:val="auto"/>
          <w:kern w:val="0"/>
          <w:sz w:val="32"/>
          <w:szCs w:val="32"/>
          <w:highlight w:val="none"/>
        </w:rPr>
        <w:t>其中：因公出国（境）费全年预算数</w:t>
      </w:r>
      <w:r>
        <w:rPr>
          <w:rFonts w:hint="eastAsia" w:ascii="仿宋_GB2312" w:eastAsia="仿宋_GB2312"/>
          <w:color w:val="auto"/>
          <w:sz w:val="32"/>
          <w:szCs w:val="32"/>
          <w:highlight w:val="none"/>
        </w:rPr>
        <w:t>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万元，决算数0.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万元，预决算差异率0.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%，主要原因是：本单位本年度没有</w:t>
      </w:r>
      <w:r>
        <w:rPr>
          <w:rFonts w:hint="eastAsia" w:ascii="仿宋_GB2312" w:hAnsi="宋体" w:eastAsia="仿宋_GB2312" w:cs="宋体"/>
          <w:color w:val="auto"/>
          <w:kern w:val="0"/>
          <w:sz w:val="32"/>
          <w:szCs w:val="32"/>
          <w:highlight w:val="none"/>
        </w:rPr>
        <w:t>因公出国（境）费</w:t>
      </w:r>
      <w:r>
        <w:rPr>
          <w:rFonts w:hint="eastAsia" w:ascii="仿宋_GB2312" w:eastAsia="仿宋_GB2312"/>
          <w:color w:val="auto"/>
          <w:sz w:val="32"/>
          <w:szCs w:val="32"/>
          <w:highlight w:val="none"/>
        </w:rPr>
        <w:t>预算；</w:t>
      </w:r>
      <w:r>
        <w:rPr>
          <w:rFonts w:hint="eastAsia" w:ascii="仿宋_GB2312" w:hAnsi="宋体" w:eastAsia="仿宋_GB2312" w:cs="宋体"/>
          <w:color w:val="auto"/>
          <w:kern w:val="0"/>
          <w:sz w:val="32"/>
          <w:szCs w:val="32"/>
          <w:highlight w:val="none"/>
        </w:rPr>
        <w:t>公务用车购置</w:t>
      </w:r>
      <w:r>
        <w:rPr>
          <w:rFonts w:hint="eastAsia" w:ascii="仿宋_GB2312" w:eastAsia="仿宋_GB2312"/>
          <w:color w:val="auto"/>
          <w:sz w:val="32"/>
          <w:szCs w:val="32"/>
          <w:highlight w:val="none"/>
        </w:rPr>
        <w:t>费全年预算数0.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万元，决算数0.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万元，预决算差异率0.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%，主要原因是：本单位本年度没有</w:t>
      </w:r>
      <w:r>
        <w:rPr>
          <w:rFonts w:hint="eastAsia" w:ascii="仿宋_GB2312" w:hAnsi="宋体" w:eastAsia="仿宋_GB2312" w:cs="宋体"/>
          <w:color w:val="auto"/>
          <w:kern w:val="0"/>
          <w:sz w:val="32"/>
          <w:szCs w:val="32"/>
          <w:highlight w:val="none"/>
        </w:rPr>
        <w:t>公务用车购置</w:t>
      </w:r>
      <w:r>
        <w:rPr>
          <w:rFonts w:hint="eastAsia" w:ascii="仿宋_GB2312" w:eastAsia="仿宋_GB2312"/>
          <w:color w:val="auto"/>
          <w:sz w:val="32"/>
          <w:szCs w:val="32"/>
          <w:highlight w:val="none"/>
        </w:rPr>
        <w:t>费预算；</w:t>
      </w:r>
      <w:r>
        <w:rPr>
          <w:rFonts w:hint="eastAsia" w:ascii="仿宋_GB2312" w:hAnsi="宋体" w:eastAsia="仿宋_GB2312" w:cs="宋体"/>
          <w:color w:val="auto"/>
          <w:kern w:val="0"/>
          <w:sz w:val="32"/>
          <w:szCs w:val="32"/>
          <w:highlight w:val="none"/>
        </w:rPr>
        <w:t>公务用车运行费全年</w:t>
      </w:r>
      <w:r>
        <w:rPr>
          <w:rFonts w:hint="eastAsia" w:ascii="仿宋_GB2312" w:eastAsia="仿宋_GB2312"/>
          <w:color w:val="auto"/>
          <w:sz w:val="32"/>
          <w:szCs w:val="32"/>
          <w:highlight w:val="none"/>
        </w:rPr>
        <w:t>预算数0.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万元，决算数0.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万元，预决算差异率0.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%，主要原因是：本单位本年度没有</w:t>
      </w:r>
      <w:r>
        <w:rPr>
          <w:rFonts w:hint="eastAsia" w:ascii="仿宋_GB2312" w:hAnsi="宋体" w:eastAsia="仿宋_GB2312" w:cs="宋体"/>
          <w:color w:val="auto"/>
          <w:kern w:val="0"/>
          <w:sz w:val="32"/>
          <w:szCs w:val="32"/>
          <w:highlight w:val="none"/>
        </w:rPr>
        <w:t>公务用车运行费</w:t>
      </w:r>
      <w:r>
        <w:rPr>
          <w:rFonts w:hint="eastAsia" w:ascii="仿宋_GB2312" w:eastAsia="仿宋_GB2312"/>
          <w:color w:val="auto"/>
          <w:sz w:val="32"/>
          <w:szCs w:val="32"/>
          <w:highlight w:val="none"/>
        </w:rPr>
        <w:t>预算；</w:t>
      </w:r>
      <w:r>
        <w:rPr>
          <w:rFonts w:hint="eastAsia" w:ascii="仿宋_GB2312" w:hAnsi="宋体" w:eastAsia="仿宋_GB2312" w:cs="宋体"/>
          <w:color w:val="auto"/>
          <w:kern w:val="0"/>
          <w:sz w:val="32"/>
          <w:szCs w:val="32"/>
          <w:highlight w:val="none"/>
        </w:rPr>
        <w:t>公务接待费全年</w:t>
      </w:r>
      <w:r>
        <w:rPr>
          <w:rFonts w:hint="eastAsia" w:ascii="仿宋_GB2312" w:eastAsia="仿宋_GB2312"/>
          <w:color w:val="auto"/>
          <w:sz w:val="32"/>
          <w:szCs w:val="32"/>
          <w:highlight w:val="none"/>
        </w:rPr>
        <w:t>预算</w:t>
      </w:r>
      <w:r>
        <w:rPr>
          <w:rFonts w:hint="eastAsia" w:ascii="仿宋_GB2312" w:eastAsia="仿宋_GB2312"/>
          <w:color w:val="auto"/>
          <w:sz w:val="32"/>
          <w:szCs w:val="32"/>
          <w:highlight w:val="none"/>
          <w:lang w:val="en-US" w:eastAsia="zh-CN"/>
        </w:rPr>
        <w:t>0.49</w:t>
      </w:r>
      <w:r>
        <w:rPr>
          <w:rFonts w:hint="eastAsia" w:ascii="仿宋_GB2312" w:eastAsia="仿宋_GB2312"/>
          <w:color w:val="auto"/>
          <w:sz w:val="32"/>
          <w:szCs w:val="32"/>
          <w:highlight w:val="none"/>
        </w:rPr>
        <w:t>万元，决算数0.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万元，预决算差异</w:t>
      </w:r>
      <w:r>
        <w:rPr>
          <w:rFonts w:hint="eastAsia" w:ascii="仿宋_GB2312" w:eastAsia="仿宋_GB2312"/>
          <w:color w:val="auto"/>
          <w:sz w:val="32"/>
          <w:szCs w:val="32"/>
          <w:highlight w:val="none"/>
          <w:lang w:val="en-US" w:eastAsia="zh-CN"/>
        </w:rPr>
        <w:t>-100</w:t>
      </w:r>
      <w:r>
        <w:rPr>
          <w:rFonts w:hint="eastAsia" w:ascii="仿宋_GB2312" w:eastAsia="仿宋_GB2312"/>
          <w:color w:val="auto"/>
          <w:sz w:val="32"/>
          <w:szCs w:val="32"/>
          <w:highlight w:val="none"/>
        </w:rPr>
        <w:t>%，主要原因是：本单位本年度没有</w:t>
      </w:r>
      <w:r>
        <w:rPr>
          <w:rFonts w:hint="eastAsia" w:ascii="仿宋_GB2312" w:eastAsia="仿宋_GB2312"/>
          <w:color w:val="auto"/>
          <w:sz w:val="32"/>
          <w:szCs w:val="32"/>
          <w:highlight w:val="none"/>
          <w:lang w:val="en-US" w:eastAsia="zh-CN"/>
        </w:rPr>
        <w:t>公务接待费支出</w:t>
      </w:r>
      <w:r>
        <w:rPr>
          <w:rFonts w:hint="eastAsia" w:ascii="仿宋_GB2312" w:eastAsia="仿宋_GB2312"/>
          <w:color w:val="auto"/>
          <w:sz w:val="32"/>
          <w:szCs w:val="32"/>
          <w:highlight w:val="none"/>
        </w:rPr>
        <w:t>。</w:t>
      </w:r>
    </w:p>
    <w:p>
      <w:pPr>
        <w:ind w:firstLine="640" w:firstLineChars="200"/>
        <w:outlineLvl w:val="1"/>
        <w:rPr>
          <w:rFonts w:hint="eastAsia" w:ascii="黑体" w:hAnsi="黑体" w:eastAsia="黑体" w:cs="宋体"/>
          <w:bCs/>
          <w:color w:val="auto"/>
          <w:kern w:val="0"/>
          <w:sz w:val="32"/>
          <w:szCs w:val="32"/>
          <w:highlight w:val="none"/>
        </w:rPr>
      </w:pPr>
      <w:bookmarkStart w:id="22" w:name="_Toc7927"/>
      <w:bookmarkStart w:id="23" w:name="_Toc5810"/>
      <w:r>
        <w:rPr>
          <w:rFonts w:hint="eastAsia" w:ascii="黑体" w:hAnsi="黑体" w:eastAsia="黑体" w:cs="宋体"/>
          <w:bCs/>
          <w:color w:val="auto"/>
          <w:kern w:val="0"/>
          <w:sz w:val="32"/>
          <w:szCs w:val="32"/>
          <w:highlight w:val="none"/>
        </w:rPr>
        <w:t>八、政府性基金预算财政拨款收入支出决算情况说明</w:t>
      </w:r>
      <w:bookmarkEnd w:id="22"/>
      <w:bookmarkEnd w:id="23"/>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我单位本年度无政府性基金预算财政拨款收入、支出及结转和结余，政府性基金预算财政拨款收入支出决算表为空表。</w:t>
      </w:r>
    </w:p>
    <w:p>
      <w:pPr>
        <w:ind w:firstLine="640" w:firstLineChars="200"/>
        <w:outlineLvl w:val="1"/>
        <w:rPr>
          <w:rFonts w:hint="eastAsia" w:ascii="黑体" w:hAnsi="黑体" w:eastAsia="黑体" w:cs="宋体"/>
          <w:bCs/>
          <w:color w:val="auto"/>
          <w:kern w:val="0"/>
          <w:sz w:val="32"/>
          <w:szCs w:val="32"/>
          <w:highlight w:val="none"/>
        </w:rPr>
      </w:pPr>
      <w:r>
        <w:rPr>
          <w:rFonts w:hint="eastAsia" w:ascii="黑体" w:hAnsi="黑体" w:eastAsia="黑体" w:cs="宋体"/>
          <w:bCs/>
          <w:color w:val="auto"/>
          <w:kern w:val="0"/>
          <w:sz w:val="32"/>
          <w:szCs w:val="32"/>
          <w:highlight w:val="none"/>
        </w:rPr>
        <w:t>九、国有资本经营预算财政拨款收入支出决算情况说明</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我单位本年度无国有资本经营预算财政拨款收入、支出及结转和结余，国有资本经营预算财政拨款收入支出决算表为空表。</w:t>
      </w:r>
    </w:p>
    <w:p>
      <w:pPr>
        <w:ind w:firstLine="640" w:firstLineChars="200"/>
        <w:outlineLvl w:val="1"/>
        <w:rPr>
          <w:rFonts w:hint="eastAsia" w:ascii="黑体" w:hAnsi="黑体" w:eastAsia="黑体" w:cs="宋体"/>
          <w:bCs/>
          <w:color w:val="auto"/>
          <w:kern w:val="0"/>
          <w:sz w:val="32"/>
          <w:szCs w:val="32"/>
          <w:highlight w:val="none"/>
        </w:rPr>
      </w:pPr>
      <w:bookmarkStart w:id="24" w:name="_Toc7314"/>
      <w:bookmarkStart w:id="25" w:name="_Toc1235"/>
      <w:r>
        <w:rPr>
          <w:rFonts w:hint="eastAsia" w:ascii="黑体" w:hAnsi="黑体" w:eastAsia="黑体" w:cs="宋体"/>
          <w:bCs/>
          <w:color w:val="auto"/>
          <w:kern w:val="0"/>
          <w:sz w:val="32"/>
          <w:szCs w:val="32"/>
          <w:highlight w:val="none"/>
        </w:rPr>
        <w:t>十、其他重要事项的情况说明</w:t>
      </w:r>
      <w:bookmarkEnd w:id="24"/>
      <w:bookmarkEnd w:id="25"/>
    </w:p>
    <w:p>
      <w:pPr>
        <w:ind w:firstLine="640" w:firstLineChars="200"/>
        <w:outlineLvl w:val="2"/>
        <w:rPr>
          <w:rFonts w:hint="eastAsia" w:ascii="黑体" w:hAnsi="黑体" w:eastAsia="黑体"/>
          <w:color w:val="auto"/>
          <w:sz w:val="32"/>
          <w:szCs w:val="32"/>
          <w:highlight w:val="none"/>
        </w:rPr>
      </w:pPr>
      <w:bookmarkStart w:id="26" w:name="_Toc13105"/>
      <w:bookmarkStart w:id="27" w:name="_Toc14519"/>
      <w:r>
        <w:rPr>
          <w:rFonts w:hint="eastAsia" w:ascii="黑体" w:hAnsi="黑体" w:eastAsia="黑体"/>
          <w:color w:val="auto"/>
          <w:sz w:val="32"/>
          <w:szCs w:val="32"/>
          <w:highlight w:val="none"/>
        </w:rPr>
        <w:t>（一）机关运行经费支出情况</w:t>
      </w:r>
      <w:bookmarkEnd w:id="26"/>
      <w:bookmarkEnd w:id="27"/>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2022年度乌鲁木齐市第七十七小学</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lang w:val="en-US" w:eastAsia="zh-CN"/>
        </w:rPr>
        <w:t>事业单位</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rPr>
        <w:t>公用经费支出31.3</w:t>
      </w:r>
      <w:r>
        <w:rPr>
          <w:rFonts w:ascii="仿宋_GB2312" w:eastAsia="仿宋_GB2312"/>
          <w:color w:val="auto"/>
          <w:sz w:val="32"/>
          <w:szCs w:val="32"/>
          <w:highlight w:val="none"/>
        </w:rPr>
        <w:t>0</w:t>
      </w:r>
      <w:r>
        <w:rPr>
          <w:rFonts w:hint="eastAsia" w:ascii="仿宋_GB2312" w:eastAsia="仿宋_GB2312"/>
          <w:color w:val="auto"/>
          <w:sz w:val="32"/>
          <w:szCs w:val="32"/>
          <w:highlight w:val="none"/>
        </w:rPr>
        <w:t>万元，比上年减少57.3</w:t>
      </w:r>
      <w:r>
        <w:rPr>
          <w:rFonts w:ascii="仿宋_GB2312" w:eastAsia="仿宋_GB2312"/>
          <w:color w:val="auto"/>
          <w:sz w:val="32"/>
          <w:szCs w:val="32"/>
          <w:highlight w:val="none"/>
        </w:rPr>
        <w:t>0</w:t>
      </w:r>
      <w:r>
        <w:rPr>
          <w:rFonts w:hint="eastAsia" w:ascii="仿宋_GB2312" w:eastAsia="仿宋_GB2312"/>
          <w:color w:val="auto"/>
          <w:sz w:val="32"/>
          <w:szCs w:val="32"/>
          <w:highlight w:val="none"/>
        </w:rPr>
        <w:t>万元，下降64.67%，主要原因是：本年度</w:t>
      </w:r>
      <w:r>
        <w:rPr>
          <w:rFonts w:hint="eastAsia" w:ascii="仿宋_GB2312" w:eastAsia="仿宋_GB2312"/>
          <w:color w:val="auto"/>
          <w:sz w:val="32"/>
          <w:szCs w:val="32"/>
          <w:highlight w:val="none"/>
          <w:lang w:val="en-US" w:eastAsia="zh-CN"/>
        </w:rPr>
        <w:t>受不可抗力因素，公用经费支出减少</w:t>
      </w:r>
      <w:r>
        <w:rPr>
          <w:rFonts w:hint="eastAsia" w:ascii="仿宋_GB2312" w:eastAsia="仿宋_GB2312"/>
          <w:color w:val="auto"/>
          <w:sz w:val="32"/>
          <w:szCs w:val="32"/>
          <w:highlight w:val="none"/>
        </w:rPr>
        <w:t>。</w:t>
      </w:r>
    </w:p>
    <w:p>
      <w:pPr>
        <w:ind w:firstLine="640" w:firstLineChars="200"/>
        <w:outlineLvl w:val="2"/>
        <w:rPr>
          <w:rFonts w:hint="eastAsia" w:ascii="黑体" w:hAnsi="黑体" w:eastAsia="黑体"/>
          <w:color w:val="auto"/>
          <w:sz w:val="32"/>
          <w:szCs w:val="32"/>
          <w:highlight w:val="none"/>
        </w:rPr>
      </w:pPr>
      <w:bookmarkStart w:id="28" w:name="_Toc227"/>
      <w:bookmarkStart w:id="29" w:name="_Toc26704"/>
      <w:r>
        <w:rPr>
          <w:rFonts w:hint="eastAsia" w:ascii="黑体" w:hAnsi="黑体" w:eastAsia="黑体"/>
          <w:color w:val="auto"/>
          <w:sz w:val="32"/>
          <w:szCs w:val="32"/>
          <w:highlight w:val="none"/>
        </w:rPr>
        <w:t>（二）政府采购情况</w:t>
      </w:r>
      <w:bookmarkEnd w:id="28"/>
      <w:bookmarkEnd w:id="29"/>
    </w:p>
    <w:p>
      <w:pPr>
        <w:ind w:firstLine="640" w:firstLineChars="200"/>
        <w:rPr>
          <w:rFonts w:hint="eastAsia" w:ascii="仿宋_GB2312" w:eastAsia="仿宋_GB2312"/>
          <w:color w:val="auto"/>
          <w:sz w:val="32"/>
          <w:szCs w:val="32"/>
          <w:highlight w:val="none"/>
        </w:rPr>
      </w:pPr>
      <w:bookmarkStart w:id="30" w:name="_Toc8391"/>
      <w:bookmarkStart w:id="31" w:name="_Toc4591"/>
      <w:r>
        <w:rPr>
          <w:rFonts w:hint="eastAsia" w:ascii="仿宋_GB2312" w:eastAsia="仿宋_GB2312"/>
          <w:color w:val="auto"/>
          <w:sz w:val="32"/>
          <w:szCs w:val="32"/>
          <w:highlight w:val="none"/>
        </w:rPr>
        <w:t>2022年度政府采购支出总额0.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万元，其中：政府采购货物支出0.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万元、政府采购工程支出0.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万元、政府采购服务支出0.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授予中小企业合同金额0.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万元，占政府采购支出总额的0.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%，其中：授予小微企业合同金额0.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万元，占政府采购支出总额的0.</w:t>
      </w:r>
      <w:r>
        <w:rPr>
          <w:rFonts w:ascii="仿宋_GB2312" w:eastAsia="仿宋_GB2312"/>
          <w:color w:val="auto"/>
          <w:sz w:val="32"/>
          <w:szCs w:val="32"/>
          <w:highlight w:val="none"/>
        </w:rPr>
        <w:t>00</w:t>
      </w:r>
      <w:r>
        <w:rPr>
          <w:rFonts w:hint="eastAsia" w:ascii="仿宋_GB2312" w:eastAsia="仿宋_GB2312"/>
          <w:color w:val="auto"/>
          <w:sz w:val="32"/>
          <w:szCs w:val="32"/>
          <w:highlight w:val="none"/>
        </w:rPr>
        <w:t>%。</w:t>
      </w:r>
    </w:p>
    <w:p>
      <w:pPr>
        <w:ind w:firstLine="640" w:firstLineChars="200"/>
        <w:outlineLvl w:val="2"/>
        <w:rPr>
          <w:rFonts w:hint="eastAsia" w:ascii="黑体" w:hAnsi="黑体" w:eastAsia="黑体"/>
          <w:color w:val="auto"/>
          <w:sz w:val="32"/>
          <w:szCs w:val="32"/>
          <w:highlight w:val="none"/>
        </w:rPr>
      </w:pPr>
      <w:r>
        <w:rPr>
          <w:rFonts w:hint="eastAsia" w:ascii="黑体" w:hAnsi="黑体" w:eastAsia="黑体"/>
          <w:color w:val="auto"/>
          <w:sz w:val="32"/>
          <w:szCs w:val="32"/>
          <w:highlight w:val="none"/>
        </w:rPr>
        <w:t>（三）国有资产占用情况说明</w:t>
      </w:r>
      <w:bookmarkEnd w:id="30"/>
      <w:bookmarkEnd w:id="31"/>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截止2022年12月31日，固定资产原值2402.27万元，房屋6388平方米，价值1531.51万元。车辆1辆，价值17.0</w:t>
      </w:r>
      <w:r>
        <w:rPr>
          <w:rFonts w:hint="eastAsia" w:ascii="仿宋_GB2312" w:eastAsia="仿宋_GB2312"/>
          <w:color w:val="auto"/>
          <w:sz w:val="32"/>
          <w:szCs w:val="32"/>
          <w:highlight w:val="none"/>
          <w:lang w:val="en-US" w:eastAsia="zh-CN"/>
        </w:rPr>
        <w:t>5</w:t>
      </w:r>
      <w:r>
        <w:rPr>
          <w:rFonts w:hint="eastAsia" w:ascii="仿宋_GB2312" w:eastAsia="仿宋_GB2312"/>
          <w:color w:val="auto"/>
          <w:sz w:val="32"/>
          <w:szCs w:val="32"/>
          <w:highlight w:val="none"/>
        </w:rPr>
        <w:t>万元，其中：副部（省）级及以上领导用车0辆、主要领导干部用车0辆、机要通信用车0辆、应急保障用0辆、执法执勤用车0辆、特种专业技术用车0辆、离退休干部用车0辆、其他用车1辆，其他用车主要是：校车；单价100万元（含）以上设备（不含车辆）0台（套）。</w:t>
      </w:r>
    </w:p>
    <w:p>
      <w:pPr>
        <w:ind w:firstLine="640" w:firstLineChars="200"/>
        <w:outlineLvl w:val="1"/>
        <w:rPr>
          <w:rFonts w:hint="eastAsia" w:ascii="黑体" w:hAnsi="黑体" w:eastAsia="黑体" w:cs="宋体"/>
          <w:bCs/>
          <w:color w:val="auto"/>
          <w:kern w:val="0"/>
          <w:sz w:val="32"/>
          <w:szCs w:val="32"/>
          <w:highlight w:val="none"/>
        </w:rPr>
      </w:pPr>
      <w:bookmarkStart w:id="32" w:name="_Toc11283"/>
      <w:bookmarkStart w:id="33" w:name="_Toc435"/>
      <w:r>
        <w:rPr>
          <w:rFonts w:hint="eastAsia" w:ascii="黑体" w:hAnsi="黑体" w:eastAsia="黑体" w:cs="宋体"/>
          <w:bCs/>
          <w:color w:val="auto"/>
          <w:kern w:val="0"/>
          <w:sz w:val="32"/>
          <w:szCs w:val="32"/>
          <w:highlight w:val="none"/>
        </w:rPr>
        <w:t>十一、预算绩效的情况说明</w:t>
      </w:r>
      <w:bookmarkEnd w:id="32"/>
      <w:bookmarkEnd w:id="33"/>
    </w:p>
    <w:p>
      <w:pPr>
        <w:ind w:firstLine="640" w:firstLineChars="200"/>
        <w:jc w:val="left"/>
        <w:outlineLvl w:val="0"/>
        <w:rPr>
          <w:rFonts w:hint="eastAsia" w:ascii="仿宋_GB2312" w:eastAsia="仿宋_GB2312"/>
          <w:color w:val="auto"/>
          <w:sz w:val="32"/>
          <w:szCs w:val="32"/>
          <w:highlight w:val="none"/>
        </w:rPr>
      </w:pPr>
      <w:bookmarkStart w:id="34" w:name="_Toc3250"/>
      <w:bookmarkStart w:id="35" w:name="_Toc24143"/>
      <w:r>
        <w:rPr>
          <w:rFonts w:hint="eastAsia" w:ascii="仿宋_GB2312" w:eastAsia="仿宋_GB2312"/>
          <w:color w:val="auto"/>
          <w:sz w:val="32"/>
          <w:szCs w:val="32"/>
          <w:highlight w:val="none"/>
        </w:rPr>
        <w:t>根据预算绩效管理要求，我单位2022年度开展预算绩效评价项目3个，全年预算数193.81万元，全年执行数33.91万元。一是保障了义务教育阶段学校的正常运转、教育教学活动和其他日常工作正常开展；二是提升了教学设备数量质量，提升了校园硬件设施，提高了学生学习的积极性。发现的问题及原因：一是相关指标设定存在一些不合理的地方；二是对资金的使用不够及时。下一步改进措施：一是不断完善绩效指标的设置；二是加强对预算项目资金的监督和使用。具体项目自评情况附项目支出绩效自评表。</w:t>
      </w:r>
    </w:p>
    <w:p>
      <w:pPr>
        <w:ind w:firstLine="640" w:firstLineChars="200"/>
        <w:jc w:val="left"/>
        <w:outlineLvl w:val="0"/>
        <w:rPr>
          <w:rFonts w:hint="eastAsia" w:ascii="仿宋_GB2312" w:eastAsia="仿宋_GB2312"/>
          <w:color w:val="auto"/>
          <w:sz w:val="32"/>
          <w:szCs w:val="32"/>
          <w:highlight w:val="none"/>
        </w:rPr>
      </w:pPr>
    </w:p>
    <w:p>
      <w:pPr>
        <w:ind w:firstLine="640" w:firstLineChars="200"/>
        <w:jc w:val="left"/>
        <w:outlineLvl w:val="0"/>
        <w:rPr>
          <w:rFonts w:hint="eastAsia" w:ascii="仿宋_GB2312" w:eastAsia="仿宋_GB2312"/>
          <w:color w:val="auto"/>
          <w:sz w:val="32"/>
          <w:szCs w:val="32"/>
          <w:highlight w:val="none"/>
        </w:rPr>
      </w:pPr>
    </w:p>
    <w:p>
      <w:pPr>
        <w:ind w:firstLine="640" w:firstLineChars="200"/>
        <w:jc w:val="left"/>
        <w:outlineLvl w:val="0"/>
        <w:rPr>
          <w:rFonts w:hint="eastAsia" w:ascii="仿宋_GB2312" w:eastAsia="仿宋_GB2312"/>
          <w:color w:val="auto"/>
          <w:sz w:val="32"/>
          <w:szCs w:val="32"/>
          <w:highlight w:val="none"/>
        </w:rPr>
      </w:pPr>
    </w:p>
    <w:p>
      <w:pPr>
        <w:jc w:val="both"/>
        <w:outlineLvl w:val="0"/>
        <w:rPr>
          <w:color w:val="auto"/>
          <w:highlight w:val="none"/>
        </w:rPr>
      </w:pPr>
      <w:r>
        <w:rPr>
          <w:color w:val="auto"/>
          <w:highlight w:val="none"/>
        </w:rPr>
        <w:drawing>
          <wp:inline distT="0" distB="0" distL="114300" distR="114300">
            <wp:extent cx="5269230" cy="8846185"/>
            <wp:effectExtent l="0" t="0" r="7620" b="12065"/>
            <wp:docPr id="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pic:cNvPicPr>
                      <a:picLocks noChangeAspect="1"/>
                    </pic:cNvPicPr>
                  </pic:nvPicPr>
                  <pic:blipFill>
                    <a:blip r:embed="rId5"/>
                    <a:stretch>
                      <a:fillRect/>
                    </a:stretch>
                  </pic:blipFill>
                  <pic:spPr>
                    <a:xfrm>
                      <a:off x="0" y="0"/>
                      <a:ext cx="5269230" cy="8846185"/>
                    </a:xfrm>
                    <a:prstGeom prst="rect">
                      <a:avLst/>
                    </a:prstGeom>
                    <a:noFill/>
                    <a:ln>
                      <a:noFill/>
                    </a:ln>
                  </pic:spPr>
                </pic:pic>
              </a:graphicData>
            </a:graphic>
          </wp:inline>
        </w:drawing>
      </w:r>
    </w:p>
    <w:p>
      <w:pPr>
        <w:jc w:val="both"/>
        <w:outlineLvl w:val="0"/>
        <w:rPr>
          <w:color w:val="auto"/>
          <w:highlight w:val="none"/>
        </w:rPr>
      </w:pPr>
      <w:r>
        <w:rPr>
          <w:color w:val="auto"/>
          <w:highlight w:val="none"/>
        </w:rPr>
        <w:drawing>
          <wp:inline distT="0" distB="0" distL="114300" distR="114300">
            <wp:extent cx="5269230" cy="8694420"/>
            <wp:effectExtent l="0" t="0" r="7620" b="11430"/>
            <wp:docPr id="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pic:cNvPicPr>
                      <a:picLocks noChangeAspect="1"/>
                    </pic:cNvPicPr>
                  </pic:nvPicPr>
                  <pic:blipFill>
                    <a:blip r:embed="rId6"/>
                    <a:stretch>
                      <a:fillRect/>
                    </a:stretch>
                  </pic:blipFill>
                  <pic:spPr>
                    <a:xfrm>
                      <a:off x="0" y="0"/>
                      <a:ext cx="5269230" cy="8694420"/>
                    </a:xfrm>
                    <a:prstGeom prst="rect">
                      <a:avLst/>
                    </a:prstGeom>
                    <a:noFill/>
                    <a:ln>
                      <a:noFill/>
                    </a:ln>
                  </pic:spPr>
                </pic:pic>
              </a:graphicData>
            </a:graphic>
          </wp:inline>
        </w:drawing>
      </w:r>
    </w:p>
    <w:p>
      <w:pPr>
        <w:jc w:val="center"/>
        <w:outlineLvl w:val="0"/>
        <w:rPr>
          <w:rFonts w:hint="eastAsia" w:ascii="黑体" w:hAnsi="黑体" w:eastAsia="黑体"/>
          <w:color w:val="auto"/>
          <w:sz w:val="32"/>
          <w:szCs w:val="32"/>
          <w:highlight w:val="none"/>
        </w:rPr>
      </w:pPr>
      <w:r>
        <w:rPr>
          <w:color w:val="auto"/>
          <w:highlight w:val="none"/>
        </w:rPr>
        <w:drawing>
          <wp:inline distT="0" distB="0" distL="114300" distR="114300">
            <wp:extent cx="5278755" cy="8900160"/>
            <wp:effectExtent l="0" t="0" r="17145" b="15240"/>
            <wp:docPr id="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pic:cNvPicPr>
                      <a:picLocks noChangeAspect="1"/>
                    </pic:cNvPicPr>
                  </pic:nvPicPr>
                  <pic:blipFill>
                    <a:blip r:embed="rId7"/>
                    <a:stretch>
                      <a:fillRect/>
                    </a:stretch>
                  </pic:blipFill>
                  <pic:spPr>
                    <a:xfrm>
                      <a:off x="0" y="0"/>
                      <a:ext cx="5278755" cy="8900160"/>
                    </a:xfrm>
                    <a:prstGeom prst="rect">
                      <a:avLst/>
                    </a:prstGeom>
                    <a:noFill/>
                    <a:ln>
                      <a:noFill/>
                    </a:ln>
                  </pic:spPr>
                </pic:pic>
              </a:graphicData>
            </a:graphic>
          </wp:inline>
        </w:drawing>
      </w:r>
      <w:r>
        <w:rPr>
          <w:rFonts w:hint="eastAsia" w:ascii="黑体" w:hAnsi="黑体" w:eastAsia="黑体"/>
          <w:color w:val="auto"/>
          <w:sz w:val="32"/>
          <w:szCs w:val="32"/>
          <w:highlight w:val="none"/>
        </w:rPr>
        <w:br w:type="page"/>
      </w:r>
      <w:r>
        <w:rPr>
          <w:rFonts w:hint="eastAsia" w:ascii="黑体" w:hAnsi="黑体" w:eastAsia="黑体"/>
          <w:color w:val="auto"/>
          <w:sz w:val="32"/>
          <w:szCs w:val="32"/>
          <w:highlight w:val="none"/>
        </w:rPr>
        <w:t>第三部分 专业名词解释</w:t>
      </w:r>
      <w:bookmarkEnd w:id="34"/>
      <w:bookmarkEnd w:id="35"/>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财政拨款收入：指同级财政当年拨付的资金。</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上级补助收入：指事业单位从主管部门和上级单位取得的非财政补助收入。</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事业收入：指事业单位开展专业业务活动及其辅助活动所取得的收入。</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经营收入：指事业单位在专业业务活动及其辅助活动之外开展非独立核算经营活动取得的收入。</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附属单位上缴收入：指事业单位附属的独立核算单位按有关规定上缴的收入。</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其他收入：指除上述“财政拨款收入”、“事业收入”、“经营收入”、“附属单位上缴收入”等之外取得的收入。</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年初结转和结余：指以前年度支出预算因客观条件变化未执行完毕、结转到本年度按有关规定继续使用的资金，既包括财政拨款结转和结余，也包括事业收入、经营收入、其他收入的结转和结余。</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年末结转和结余：指本年度或以前年度预算安排、因客观条件发生变化无法按原计划实施，需要延迟到以后年度按有关规定继续使用的资金，既包括财政拨款结转和结余，也包括事业收入、经营收入、其他收入的结转和结余。</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基本支出：指为保障机构正常运转、完成日常工作任务而发生的人员支出和公用支出。</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项目支出：指在基本支出之外为完成特定行政任务和事业发展目标所发生的支出。</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经营支出：指事业单位在专业业务活动及其辅助活动之外开展非独立核算经营活动发生的支出。</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对附属单位补助支出：指事业单位发生的用非财政预算资金对附属单位的补助支出。</w:t>
      </w:r>
    </w:p>
    <w:p>
      <w:pPr>
        <w:autoSpaceDE w:val="0"/>
        <w:autoSpaceDN w:val="0"/>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三公”经费：指用财政拨款安排的因公出国（境）费、公务用车购置及运行费和公务接待费。其中，因公出国（境）费反映单位公务出国（境）的国际旅费、国外城市间交通费、住宿费、伙食费、培训费、公杂费等支出；公务用车购置费反映公务用车购置支出（含车辆购置税、牌照费）；公务用车运行维护费反映单位按规定保留的公务用车燃料费、维修费、过路过桥费、保险费、安全奖励费用等支出；公务接待费反映单位按规定开支的各类公务接待（含外宾接待）费用。</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机关运行经费：行政单位和参照公务员法管理的事业单位财政拨款基本支出中的公用经费支出。</w:t>
      </w:r>
    </w:p>
    <w:p>
      <w:pPr>
        <w:ind w:firstLine="640" w:firstLineChars="200"/>
        <w:jc w:val="center"/>
        <w:outlineLvl w:val="0"/>
        <w:rPr>
          <w:rFonts w:hint="eastAsia" w:ascii="黑体" w:hAnsi="黑体" w:eastAsia="黑体"/>
          <w:color w:val="auto"/>
          <w:sz w:val="32"/>
          <w:szCs w:val="32"/>
          <w:highlight w:val="none"/>
        </w:rPr>
      </w:pPr>
      <w:bookmarkStart w:id="36" w:name="_Toc22784"/>
      <w:bookmarkStart w:id="37" w:name="_Toc28903"/>
      <w:r>
        <w:rPr>
          <w:rFonts w:hint="eastAsia" w:ascii="黑体" w:hAnsi="黑体" w:eastAsia="黑体"/>
          <w:color w:val="auto"/>
          <w:sz w:val="32"/>
          <w:szCs w:val="32"/>
          <w:highlight w:val="none"/>
        </w:rPr>
        <w:br w:type="page"/>
      </w:r>
      <w:r>
        <w:rPr>
          <w:rFonts w:hint="eastAsia" w:ascii="黑体" w:hAnsi="黑体" w:eastAsia="黑体"/>
          <w:color w:val="auto"/>
          <w:sz w:val="32"/>
          <w:szCs w:val="32"/>
          <w:highlight w:val="none"/>
        </w:rPr>
        <w:t>第四部分 部门决算报表（见附表）</w:t>
      </w:r>
      <w:bookmarkEnd w:id="36"/>
      <w:bookmarkEnd w:id="37"/>
    </w:p>
    <w:p>
      <w:pPr>
        <w:ind w:firstLine="640" w:firstLineChars="200"/>
        <w:outlineLvl w:val="1"/>
        <w:rPr>
          <w:rFonts w:hint="eastAsia" w:ascii="黑体" w:hAnsi="黑体" w:eastAsia="黑体" w:cs="宋体"/>
          <w:bCs/>
          <w:color w:val="auto"/>
          <w:kern w:val="0"/>
          <w:sz w:val="32"/>
          <w:szCs w:val="32"/>
          <w:highlight w:val="none"/>
        </w:rPr>
      </w:pPr>
      <w:bookmarkStart w:id="38" w:name="_Toc2183"/>
      <w:bookmarkStart w:id="39" w:name="_Toc6062"/>
      <w:r>
        <w:rPr>
          <w:rFonts w:hint="eastAsia" w:ascii="黑体" w:hAnsi="黑体" w:eastAsia="黑体" w:cs="宋体"/>
          <w:bCs/>
          <w:color w:val="auto"/>
          <w:kern w:val="0"/>
          <w:sz w:val="32"/>
          <w:szCs w:val="32"/>
          <w:highlight w:val="none"/>
        </w:rPr>
        <w:t>一、《收入支出决算总表》</w:t>
      </w:r>
      <w:bookmarkEnd w:id="38"/>
      <w:bookmarkEnd w:id="39"/>
    </w:p>
    <w:p>
      <w:pPr>
        <w:ind w:firstLine="640" w:firstLineChars="200"/>
        <w:outlineLvl w:val="1"/>
        <w:rPr>
          <w:rFonts w:hint="eastAsia" w:ascii="黑体" w:hAnsi="黑体" w:eastAsia="黑体" w:cs="宋体"/>
          <w:bCs/>
          <w:color w:val="auto"/>
          <w:kern w:val="0"/>
          <w:sz w:val="32"/>
          <w:szCs w:val="32"/>
          <w:highlight w:val="none"/>
        </w:rPr>
      </w:pPr>
      <w:bookmarkStart w:id="40" w:name="_Toc30364"/>
      <w:bookmarkStart w:id="41" w:name="_Toc24532"/>
      <w:r>
        <w:rPr>
          <w:rFonts w:hint="eastAsia" w:ascii="黑体" w:hAnsi="黑体" w:eastAsia="黑体" w:cs="宋体"/>
          <w:bCs/>
          <w:color w:val="auto"/>
          <w:kern w:val="0"/>
          <w:sz w:val="32"/>
          <w:szCs w:val="32"/>
          <w:highlight w:val="none"/>
        </w:rPr>
        <w:t>二、《收入决算表》</w:t>
      </w:r>
      <w:bookmarkEnd w:id="40"/>
      <w:bookmarkEnd w:id="41"/>
    </w:p>
    <w:p>
      <w:pPr>
        <w:ind w:firstLine="640" w:firstLineChars="200"/>
        <w:outlineLvl w:val="1"/>
        <w:rPr>
          <w:rFonts w:hint="eastAsia" w:ascii="黑体" w:hAnsi="黑体" w:eastAsia="黑体" w:cs="宋体"/>
          <w:bCs/>
          <w:color w:val="auto"/>
          <w:kern w:val="0"/>
          <w:sz w:val="32"/>
          <w:szCs w:val="32"/>
          <w:highlight w:val="none"/>
        </w:rPr>
      </w:pPr>
      <w:bookmarkStart w:id="42" w:name="_Toc21304"/>
      <w:bookmarkStart w:id="43" w:name="_Toc32434"/>
      <w:r>
        <w:rPr>
          <w:rFonts w:hint="eastAsia" w:ascii="黑体" w:hAnsi="黑体" w:eastAsia="黑体" w:cs="宋体"/>
          <w:bCs/>
          <w:color w:val="auto"/>
          <w:kern w:val="0"/>
          <w:sz w:val="32"/>
          <w:szCs w:val="32"/>
          <w:highlight w:val="none"/>
        </w:rPr>
        <w:t>三、《支出决算表》</w:t>
      </w:r>
      <w:bookmarkEnd w:id="42"/>
      <w:bookmarkEnd w:id="43"/>
    </w:p>
    <w:p>
      <w:pPr>
        <w:ind w:firstLine="640" w:firstLineChars="200"/>
        <w:outlineLvl w:val="1"/>
        <w:rPr>
          <w:rFonts w:hint="eastAsia" w:ascii="黑体" w:hAnsi="黑体" w:eastAsia="黑体" w:cs="宋体"/>
          <w:bCs/>
          <w:color w:val="auto"/>
          <w:kern w:val="0"/>
          <w:sz w:val="32"/>
          <w:szCs w:val="32"/>
          <w:highlight w:val="none"/>
        </w:rPr>
      </w:pPr>
      <w:bookmarkStart w:id="44" w:name="_Toc28786"/>
      <w:bookmarkStart w:id="45" w:name="_Toc14238"/>
      <w:r>
        <w:rPr>
          <w:rFonts w:hint="eastAsia" w:ascii="黑体" w:hAnsi="黑体" w:eastAsia="黑体" w:cs="宋体"/>
          <w:bCs/>
          <w:color w:val="auto"/>
          <w:kern w:val="0"/>
          <w:sz w:val="32"/>
          <w:szCs w:val="32"/>
          <w:highlight w:val="none"/>
        </w:rPr>
        <w:t>四、《财政拨款收入支出决算总表》</w:t>
      </w:r>
      <w:bookmarkEnd w:id="44"/>
      <w:bookmarkEnd w:id="45"/>
    </w:p>
    <w:p>
      <w:pPr>
        <w:ind w:firstLine="640" w:firstLineChars="200"/>
        <w:outlineLvl w:val="1"/>
        <w:rPr>
          <w:rFonts w:hint="eastAsia" w:ascii="黑体" w:hAnsi="黑体" w:eastAsia="黑体" w:cs="宋体"/>
          <w:bCs/>
          <w:color w:val="auto"/>
          <w:kern w:val="0"/>
          <w:sz w:val="32"/>
          <w:szCs w:val="32"/>
          <w:highlight w:val="none"/>
        </w:rPr>
      </w:pPr>
      <w:bookmarkStart w:id="46" w:name="_Toc14869"/>
      <w:bookmarkStart w:id="47" w:name="_Toc10347"/>
      <w:r>
        <w:rPr>
          <w:rFonts w:hint="eastAsia" w:ascii="黑体" w:hAnsi="黑体" w:eastAsia="黑体" w:cs="宋体"/>
          <w:bCs/>
          <w:color w:val="auto"/>
          <w:kern w:val="0"/>
          <w:sz w:val="32"/>
          <w:szCs w:val="32"/>
          <w:highlight w:val="none"/>
        </w:rPr>
        <w:t>五、《一般公共预算财政拨款支出决算表》</w:t>
      </w:r>
      <w:bookmarkEnd w:id="46"/>
      <w:bookmarkEnd w:id="47"/>
    </w:p>
    <w:p>
      <w:pPr>
        <w:ind w:firstLine="640" w:firstLineChars="200"/>
        <w:outlineLvl w:val="1"/>
        <w:rPr>
          <w:rFonts w:hint="eastAsia" w:ascii="黑体" w:hAnsi="黑体" w:eastAsia="黑体" w:cs="宋体"/>
          <w:bCs/>
          <w:color w:val="auto"/>
          <w:kern w:val="0"/>
          <w:sz w:val="32"/>
          <w:szCs w:val="32"/>
          <w:highlight w:val="none"/>
        </w:rPr>
      </w:pPr>
      <w:bookmarkStart w:id="48" w:name="_Toc5626"/>
      <w:bookmarkStart w:id="49" w:name="_Toc8884"/>
      <w:r>
        <w:rPr>
          <w:rFonts w:hint="eastAsia" w:ascii="黑体" w:hAnsi="黑体" w:eastAsia="黑体" w:cs="宋体"/>
          <w:bCs/>
          <w:color w:val="auto"/>
          <w:kern w:val="0"/>
          <w:sz w:val="32"/>
          <w:szCs w:val="32"/>
          <w:highlight w:val="none"/>
        </w:rPr>
        <w:t>六、《一般公共预算财政拨款基本支出决算表》</w:t>
      </w:r>
      <w:bookmarkEnd w:id="48"/>
      <w:bookmarkEnd w:id="49"/>
    </w:p>
    <w:p>
      <w:pPr>
        <w:ind w:firstLine="640" w:firstLineChars="200"/>
        <w:outlineLvl w:val="1"/>
        <w:rPr>
          <w:rFonts w:hint="eastAsia" w:ascii="黑体" w:hAnsi="黑体" w:eastAsia="黑体" w:cs="宋体"/>
          <w:bCs/>
          <w:color w:val="auto"/>
          <w:kern w:val="0"/>
          <w:sz w:val="32"/>
          <w:szCs w:val="32"/>
          <w:highlight w:val="none"/>
        </w:rPr>
      </w:pPr>
      <w:r>
        <w:rPr>
          <w:rFonts w:hint="eastAsia" w:ascii="黑体" w:hAnsi="黑体" w:eastAsia="黑体" w:cs="宋体"/>
          <w:bCs/>
          <w:color w:val="auto"/>
          <w:kern w:val="0"/>
          <w:sz w:val="32"/>
          <w:szCs w:val="32"/>
          <w:highlight w:val="none"/>
        </w:rPr>
        <w:t>七、</w:t>
      </w:r>
      <w:bookmarkStart w:id="50" w:name="_Toc29106"/>
      <w:bookmarkStart w:id="51" w:name="_Toc32663"/>
      <w:r>
        <w:rPr>
          <w:rFonts w:hint="eastAsia" w:ascii="黑体" w:hAnsi="黑体" w:eastAsia="黑体" w:cs="宋体"/>
          <w:bCs/>
          <w:color w:val="auto"/>
          <w:kern w:val="0"/>
          <w:sz w:val="32"/>
          <w:szCs w:val="32"/>
          <w:highlight w:val="none"/>
        </w:rPr>
        <w:t>《财政拨款“三公”经费支出决算表》</w:t>
      </w:r>
      <w:bookmarkEnd w:id="50"/>
      <w:bookmarkEnd w:id="51"/>
    </w:p>
    <w:p>
      <w:pPr>
        <w:ind w:firstLine="640" w:firstLineChars="200"/>
        <w:outlineLvl w:val="1"/>
        <w:rPr>
          <w:rFonts w:hint="eastAsia" w:ascii="黑体" w:hAnsi="黑体" w:eastAsia="黑体" w:cs="宋体"/>
          <w:bCs/>
          <w:color w:val="auto"/>
          <w:kern w:val="0"/>
          <w:sz w:val="32"/>
          <w:szCs w:val="32"/>
          <w:highlight w:val="none"/>
        </w:rPr>
      </w:pPr>
      <w:bookmarkStart w:id="52" w:name="_Toc7643"/>
      <w:bookmarkStart w:id="53" w:name="_Toc5453"/>
      <w:r>
        <w:rPr>
          <w:rFonts w:hint="eastAsia" w:ascii="黑体" w:hAnsi="黑体" w:eastAsia="黑体" w:cs="宋体"/>
          <w:bCs/>
          <w:color w:val="auto"/>
          <w:kern w:val="0"/>
          <w:sz w:val="32"/>
          <w:szCs w:val="32"/>
          <w:highlight w:val="none"/>
        </w:rPr>
        <w:t>八、《政府性基金预算财政拨款收入支出决算表》</w:t>
      </w:r>
      <w:bookmarkEnd w:id="52"/>
      <w:bookmarkEnd w:id="53"/>
    </w:p>
    <w:p>
      <w:pPr>
        <w:ind w:firstLine="640" w:firstLineChars="200"/>
        <w:outlineLvl w:val="1"/>
        <w:rPr>
          <w:rFonts w:hint="eastAsia" w:ascii="黑体" w:hAnsi="黑体" w:eastAsia="黑体" w:cs="宋体"/>
          <w:bCs/>
          <w:color w:val="auto"/>
          <w:kern w:val="0"/>
          <w:sz w:val="32"/>
          <w:szCs w:val="32"/>
          <w:highlight w:val="none"/>
        </w:rPr>
      </w:pPr>
      <w:r>
        <w:rPr>
          <w:rFonts w:hint="eastAsia" w:ascii="黑体" w:hAnsi="黑体" w:eastAsia="黑体" w:cs="宋体"/>
          <w:bCs/>
          <w:color w:val="auto"/>
          <w:kern w:val="0"/>
          <w:sz w:val="32"/>
          <w:szCs w:val="32"/>
          <w:highlight w:val="none"/>
        </w:rPr>
        <w:t>九、《国有资本经营预算财政拨款收入支出决算表》</w:t>
      </w:r>
    </w:p>
    <w:p>
      <w:pPr>
        <w:ind w:firstLine="640" w:firstLineChars="200"/>
        <w:outlineLvl w:val="1"/>
        <w:rPr>
          <w:rFonts w:hint="eastAsia" w:ascii="黑体" w:hAnsi="黑体" w:eastAsia="黑体" w:cs="宋体"/>
          <w:bCs/>
          <w:color w:val="auto"/>
          <w:kern w:val="0"/>
          <w:sz w:val="32"/>
          <w:szCs w:val="32"/>
          <w:highlight w:val="none"/>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Q6KUMgBAACZ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GtKHLc48Mv3b5cfvy4/v5Jl&#10;lqcPUGPWQ8C8NNz5AZdm9gM6M+tBRZu/yIdgHMU9X8WVQyIiP1qv1usKQwJj8wXx2ePzECG9ld6S&#10;bDQ04vSKqPz0HtKYOqfkas7fa2PKBI37y4GY2cNy72OP2UrDfpgI7X17Rj49Dr6hDvecEvPOoa55&#10;R2YjzsZ+No4h6kNXlijXg3B7TNhE6S1XGGGnwjixwm7arrwSf95L1uMftf0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NEOilDIAQAAmQMAAA4AAAAAAAAAAQAgAAAAHgEAAGRycy9lMm9Eb2Mu&#10;eG1sUEsFBgAAAAAGAAYAWQEAAFgFAAAAAA==&#10;">
              <v:fill on="f" focussize="0,0"/>
              <v:stroke on="f"/>
              <v:imagedata o:title=""/>
              <o:lock v:ext="edit" aspectratio="f"/>
              <v:textbox inset="0mm,0mm,0mm,0mm" style="mso-fit-shape-to-text:t;">
                <w:txbxContent>
                  <w:p>
                    <w:pPr>
                      <w:pStyle w:val="6"/>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166EA4"/>
    <w:multiLevelType w:val="singleLevel"/>
    <w:tmpl w:val="82166EA4"/>
    <w:lvl w:ilvl="0" w:tentative="0">
      <w:start w:val="1"/>
      <w:numFmt w:val="chineseCounting"/>
      <w:suff w:val="nothing"/>
      <w:lvlText w:val="（%1）"/>
      <w:lvlJc w:val="left"/>
      <w:pPr>
        <w:ind w:left="0" w:firstLine="4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ZjN2Y3MzhkZDhlN2JlYjZhM2JiMjZmNzhhNjIwMmQifQ=="/>
  </w:docVars>
  <w:rsids>
    <w:rsidRoot w:val="00FB777E"/>
    <w:rsid w:val="003C201D"/>
    <w:rsid w:val="00430D3A"/>
    <w:rsid w:val="00815073"/>
    <w:rsid w:val="009E4C98"/>
    <w:rsid w:val="00FB777E"/>
    <w:rsid w:val="01667325"/>
    <w:rsid w:val="02F73D26"/>
    <w:rsid w:val="034D4FEF"/>
    <w:rsid w:val="043E5B56"/>
    <w:rsid w:val="06792773"/>
    <w:rsid w:val="08A27CED"/>
    <w:rsid w:val="09017174"/>
    <w:rsid w:val="0A7B4867"/>
    <w:rsid w:val="0B8C3ECC"/>
    <w:rsid w:val="0C2230D1"/>
    <w:rsid w:val="0C7227A7"/>
    <w:rsid w:val="0F9861EE"/>
    <w:rsid w:val="160A7E92"/>
    <w:rsid w:val="1D990F18"/>
    <w:rsid w:val="1DAF458D"/>
    <w:rsid w:val="20DD6197"/>
    <w:rsid w:val="23BC04D2"/>
    <w:rsid w:val="24214E4B"/>
    <w:rsid w:val="27CF2642"/>
    <w:rsid w:val="28EB67A1"/>
    <w:rsid w:val="2A053397"/>
    <w:rsid w:val="2AA60636"/>
    <w:rsid w:val="2C894394"/>
    <w:rsid w:val="2CE2121F"/>
    <w:rsid w:val="2D1136DF"/>
    <w:rsid w:val="2FD27414"/>
    <w:rsid w:val="31C63837"/>
    <w:rsid w:val="3215463C"/>
    <w:rsid w:val="34285773"/>
    <w:rsid w:val="37BA7086"/>
    <w:rsid w:val="38C56BC1"/>
    <w:rsid w:val="3914510A"/>
    <w:rsid w:val="399576C1"/>
    <w:rsid w:val="3B20692C"/>
    <w:rsid w:val="3D5275AC"/>
    <w:rsid w:val="3F495D7D"/>
    <w:rsid w:val="402D745C"/>
    <w:rsid w:val="40834692"/>
    <w:rsid w:val="42705C81"/>
    <w:rsid w:val="427C3A7F"/>
    <w:rsid w:val="43207219"/>
    <w:rsid w:val="435218EE"/>
    <w:rsid w:val="46901EEE"/>
    <w:rsid w:val="469C74D2"/>
    <w:rsid w:val="4A69250C"/>
    <w:rsid w:val="4B213338"/>
    <w:rsid w:val="4B4C0111"/>
    <w:rsid w:val="4CD76A6C"/>
    <w:rsid w:val="50DB5F45"/>
    <w:rsid w:val="52F92565"/>
    <w:rsid w:val="54852D54"/>
    <w:rsid w:val="583059FA"/>
    <w:rsid w:val="5A290A55"/>
    <w:rsid w:val="5BED3C02"/>
    <w:rsid w:val="5FA17648"/>
    <w:rsid w:val="61A46A97"/>
    <w:rsid w:val="62DD7D21"/>
    <w:rsid w:val="6598612A"/>
    <w:rsid w:val="65D97752"/>
    <w:rsid w:val="678D017D"/>
    <w:rsid w:val="67FB7B84"/>
    <w:rsid w:val="68DB0208"/>
    <w:rsid w:val="696668F3"/>
    <w:rsid w:val="69846A0E"/>
    <w:rsid w:val="69AD798C"/>
    <w:rsid w:val="6B30268F"/>
    <w:rsid w:val="6B68175F"/>
    <w:rsid w:val="6E0F7A08"/>
    <w:rsid w:val="705D2F09"/>
    <w:rsid w:val="713134E9"/>
    <w:rsid w:val="71473612"/>
    <w:rsid w:val="718F7F65"/>
    <w:rsid w:val="72072BE5"/>
    <w:rsid w:val="720D318E"/>
    <w:rsid w:val="73A37319"/>
    <w:rsid w:val="73FB6630"/>
    <w:rsid w:val="74A87E3B"/>
    <w:rsid w:val="74C73B77"/>
    <w:rsid w:val="74E76DCD"/>
    <w:rsid w:val="77ED6F44"/>
    <w:rsid w:val="78EA7BB8"/>
    <w:rsid w:val="794310FC"/>
    <w:rsid w:val="7B3BE46D"/>
    <w:rsid w:val="7F205BB0"/>
    <w:rsid w:val="7FD954B9"/>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2">
    <w:name w:val="Default Paragraph Font"/>
    <w:semiHidden/>
    <w:qFormat/>
    <w:uiPriority w:val="0"/>
  </w:style>
  <w:style w:type="table" w:default="1" w:styleId="11">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Indent"/>
    <w:basedOn w:val="1"/>
    <w:next w:val="4"/>
    <w:unhideWhenUsed/>
    <w:qFormat/>
    <w:uiPriority w:val="0"/>
    <w:pPr>
      <w:adjustRightInd w:val="0"/>
      <w:snapToGrid w:val="0"/>
      <w:spacing w:beforeLines="0" w:after="120" w:afterLines="0"/>
      <w:ind w:left="420" w:leftChars="200"/>
      <w:jc w:val="left"/>
    </w:pPr>
    <w:rPr>
      <w:rFonts w:hint="default" w:ascii="Tahoma" w:hAnsi="Tahoma" w:eastAsia="微软雅黑"/>
      <w:kern w:val="0"/>
      <w:sz w:val="22"/>
    </w:rPr>
  </w:style>
  <w:style w:type="paragraph" w:customStyle="1" w:styleId="4">
    <w:name w:val="Char Char Char"/>
    <w:basedOn w:val="1"/>
    <w:qFormat/>
    <w:uiPriority w:val="0"/>
  </w:style>
  <w:style w:type="paragraph" w:styleId="5">
    <w:name w:val="toc 3"/>
    <w:basedOn w:val="1"/>
    <w:next w:val="1"/>
    <w:qFormat/>
    <w:uiPriority w:val="0"/>
    <w:pPr>
      <w:ind w:left="840" w:leftChars="40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toc 1"/>
    <w:basedOn w:val="1"/>
    <w:next w:val="1"/>
    <w:qFormat/>
    <w:uiPriority w:val="0"/>
  </w:style>
  <w:style w:type="paragraph" w:styleId="9">
    <w:name w:val="toc 2"/>
    <w:basedOn w:val="1"/>
    <w:next w:val="1"/>
    <w:qFormat/>
    <w:uiPriority w:val="0"/>
    <w:pPr>
      <w:ind w:left="420" w:leftChars="200"/>
    </w:pPr>
  </w:style>
  <w:style w:type="paragraph" w:styleId="10">
    <w:name w:val="Body Text First Indent 2"/>
    <w:basedOn w:val="3"/>
    <w:next w:val="1"/>
    <w:unhideWhenUsed/>
    <w:qFormat/>
    <w:uiPriority w:val="0"/>
    <w:pPr>
      <w:spacing w:before="100" w:beforeLines="0" w:beforeAutospacing="1" w:afterLines="0"/>
      <w:ind w:left="0" w:firstLine="420" w:firstLineChars="200"/>
    </w:pPr>
    <w:rPr>
      <w:rFonts w:hint="default" w:ascii="Times New Roman" w:hAnsi="Times New Roman"/>
      <w:sz w:val="22"/>
    </w:rPr>
  </w:style>
  <w:style w:type="paragraph" w:customStyle="1" w:styleId="13">
    <w:name w:val="WPSOffice手动目录 3"/>
    <w:qFormat/>
    <w:uiPriority w:val="0"/>
    <w:pPr>
      <w:ind w:leftChars="400"/>
    </w:pPr>
    <w:rPr>
      <w:rFonts w:ascii="Times New Roman" w:hAnsi="Times New Roman" w:eastAsia="宋体" w:cs="Times New Roman"/>
      <w:lang w:val="en-US" w:eastAsia="zh-CN" w:bidi="ar-SA"/>
    </w:rPr>
  </w:style>
  <w:style w:type="paragraph" w:customStyle="1" w:styleId="14">
    <w:name w:val="WPSOffice手动目录 2"/>
    <w:qFormat/>
    <w:uiPriority w:val="0"/>
    <w:pPr>
      <w:ind w:leftChars="200"/>
    </w:pPr>
    <w:rPr>
      <w:rFonts w:ascii="Times New Roman" w:hAnsi="Times New Roman" w:eastAsia="宋体" w:cs="Times New Roman"/>
      <w:lang w:val="en-US" w:eastAsia="zh-CN" w:bidi="ar-SA"/>
    </w:rPr>
  </w:style>
  <w:style w:type="paragraph" w:customStyle="1" w:styleId="15">
    <w:name w:val="WPSOffice手动目录 1"/>
    <w:qFormat/>
    <w:uiPriority w:val="0"/>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3.emf"/><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18</Pages>
  <Words>5006</Words>
  <Characters>5596</Characters>
  <Lines>45</Lines>
  <Paragraphs>12</Paragraphs>
  <TotalTime>10</TotalTime>
  <ScaleCrop>false</ScaleCrop>
  <LinksUpToDate>false</LinksUpToDate>
  <CharactersWithSpaces>5606</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GXR</dc:creator>
  <cp:lastModifiedBy>admin</cp:lastModifiedBy>
  <dcterms:modified xsi:type="dcterms:W3CDTF">2024-02-18T04:19:12Z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B567E86A676F4BF780DD72D0A15DF156_13</vt:lpwstr>
  </property>
</Properties>
</file>