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jc w:val="center"/>
        <w:rPr>
          <w:rFonts w:hint="eastAsia" w:ascii="方正小标宋_GBK" w:hAnsi="方正小标宋_GBK" w:eastAsia="方正小标宋_GBK"/>
          <w:sz w:val="44"/>
          <w:lang w:val="en-US"/>
        </w:rPr>
      </w:pPr>
      <w:r>
        <w:rPr>
          <w:rFonts w:hint="eastAsia" w:ascii="方正小标宋_GBK" w:hAnsi="方正小标宋_GBK" w:eastAsia="方正小标宋_GBK"/>
          <w:sz w:val="44"/>
          <w:lang w:val="en-US"/>
        </w:rPr>
        <w:t>乌鲁木齐市水磨沟区审计局</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_GBK" w:hAnsi="方正小标宋_GBK" w:eastAsia="方正小标宋_GBK"/>
          <w:sz w:val="44"/>
          <w:lang w:val="en-US"/>
        </w:rPr>
      </w:pPr>
      <w:r>
        <w:rPr>
          <w:rFonts w:hint="eastAsia" w:ascii="方正小标宋_GBK" w:hAnsi="方正小标宋_GBK" w:eastAsia="方正小标宋_GBK"/>
          <w:sz w:val="44"/>
          <w:lang w:val="en-US"/>
        </w:rPr>
        <w:t>202</w:t>
      </w:r>
      <w:r>
        <w:rPr>
          <w:rFonts w:hint="eastAsia" w:ascii="方正小标宋_GBK" w:hAnsi="方正小标宋_GBK" w:eastAsia="方正小标宋_GBK"/>
          <w:sz w:val="44"/>
          <w:lang w:val="en-US" w:eastAsia="zh-CN"/>
        </w:rPr>
        <w:t>2</w:t>
      </w:r>
      <w:r>
        <w:rPr>
          <w:rFonts w:hint="eastAsia" w:ascii="方正小标宋_GBK" w:hAnsi="方正小标宋_GBK" w:eastAsia="方正小标宋_GBK"/>
          <w:sz w:val="44"/>
          <w:lang w:val="en-US"/>
        </w:rPr>
        <w:t>年度部门决算</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方正小标宋_GBK" w:eastAsia="方正小标宋_GBK"/>
          <w:sz w:val="44"/>
          <w:lang w:val="en-US"/>
        </w:rPr>
        <w:t>公开说明</w:t>
      </w: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6835"/>
      <w:bookmarkStart w:id="2" w:name="_Toc3671"/>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521"/>
      <w:bookmarkStart w:id="4" w:name="_Toc15274"/>
      <w:bookmarkStart w:id="5" w:name="_Toc30738"/>
      <w:r>
        <w:rPr>
          <w:rFonts w:hint="eastAsia" w:ascii="黑体" w:hAnsi="黑体" w:eastAsia="黑体" w:cs="宋体"/>
          <w:bCs/>
          <w:kern w:val="0"/>
          <w:sz w:val="32"/>
          <w:szCs w:val="32"/>
          <w:highlight w:val="none"/>
        </w:rPr>
        <w:t>一、主要职能</w:t>
      </w:r>
      <w:bookmarkEnd w:id="3"/>
      <w:bookmarkEnd w:id="4"/>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bookmarkStart w:id="6" w:name="_Toc31238"/>
      <w:bookmarkStart w:id="7" w:name="_Toc8561"/>
      <w:bookmarkStart w:id="8" w:name="_Toc24146"/>
      <w:r>
        <w:rPr>
          <w:rFonts w:hint="default" w:ascii="仿宋_GB2312" w:eastAsia="仿宋_GB2312"/>
          <w:sz w:val="32"/>
          <w:szCs w:val="32"/>
          <w:highlight w:val="none"/>
          <w:lang w:val="zh-CN"/>
        </w:rPr>
        <w:t>（一）贯彻执行国家和上级审计机关的审计工作方针、政策，执行有关财经法律、法规、规章、制度，确定年度审计工作重点，制定年度审计工作项目计划。</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（二）向水磨沟区人民政府报告和区有关部门通报审计情况，提出地区经济调控措施的建议。</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（三）依据《中华人民共和国审计法》的规定，进行下列审计监督：</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1、区财政预算执行情况和其他财政收支情况。</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2、区政府各部门、直属事业单位及所属单位的财务收支情况。</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3、对区政府有关部门管理的和受政府委托社会团体管理的社会保障基金、社会捐赠资金、环保资金以及其他有关基金、资金的财务收支情况。</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4、其他法律规定应由区审计局进行的审计。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（四）向区长提交水磨沟区财政预算执行情况和其他财政收支情况的审计结果报告；受区人民政府的委托向区人大常委会提出水磨沟区财政预算执行情况和其他财政收支情况审计工作报告。</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（五）组织实施对贯彻执行国家财经方针、政策和区域经济调控措施情况的专项审计和审计调查；按规定组织党政领导干部和国有企业法定代表进行任期经济责任审计。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（六）承担上级审计机关授权的审计事项。</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 xml:space="preserve">（七）承办区政府交办的其他事项。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kern w:val="0"/>
          <w:sz w:val="32"/>
          <w:lang w:val="en-US"/>
        </w:rPr>
      </w:pPr>
      <w:r>
        <w:rPr>
          <w:rFonts w:hint="eastAsia" w:ascii="仿宋_GB2312" w:hAnsi="仿宋_GB2312" w:eastAsia="仿宋_GB2312"/>
          <w:kern w:val="0"/>
          <w:sz w:val="32"/>
          <w:lang w:val="en-US"/>
        </w:rPr>
        <w:t>乌鲁木齐市水磨沟区审计局</w:t>
      </w:r>
      <w:r>
        <w:rPr>
          <w:rFonts w:hint="eastAsia" w:ascii="仿宋_GB2312" w:hAnsi="仿宋_GB2312" w:eastAsia="仿宋_GB2312"/>
          <w:kern w:val="0"/>
          <w:sz w:val="32"/>
          <w:lang w:val="en-US" w:eastAsia="zh-CN"/>
        </w:rPr>
        <w:t>2022年度，</w:t>
      </w:r>
      <w:r>
        <w:rPr>
          <w:rFonts w:hint="eastAsia" w:ascii="仿宋_GB2312" w:hAnsi="仿宋_GB2312" w:eastAsia="仿宋_GB2312"/>
          <w:kern w:val="0"/>
          <w:sz w:val="32"/>
          <w:lang w:val="en-US"/>
        </w:rPr>
        <w:t>实有人数16人，其中：在职人员16人</w:t>
      </w:r>
      <w:r>
        <w:rPr>
          <w:rFonts w:hint="eastAsia" w:ascii="仿宋_GB2312" w:hAnsi="仿宋_GB2312" w:eastAsia="仿宋_GB2312"/>
          <w:kern w:val="0"/>
          <w:sz w:val="32"/>
          <w:lang w:val="en-US" w:eastAsia="zh-CN"/>
        </w:rPr>
        <w:t>，</w:t>
      </w:r>
      <w:r>
        <w:rPr>
          <w:rFonts w:hint="eastAsia" w:ascii="仿宋_GB2312" w:hAnsi="仿宋_GB2312" w:eastAsia="仿宋_GB2312"/>
          <w:kern w:val="0"/>
          <w:sz w:val="32"/>
          <w:lang w:val="en-US"/>
        </w:rPr>
        <w:t>离休人员0人，退休人员0人。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仿宋_GB2312" w:eastAsia="仿宋_GB2312"/>
          <w:kern w:val="0"/>
          <w:sz w:val="32"/>
          <w:lang w:val="ar-SA"/>
        </w:rPr>
      </w:pPr>
      <w:bookmarkStart w:id="9" w:name="_Toc3092"/>
      <w:r>
        <w:rPr>
          <w:rFonts w:hint="eastAsia" w:ascii="仿宋_GB2312" w:hAnsi="仿宋_GB2312" w:eastAsia="仿宋_GB2312"/>
          <w:kern w:val="0"/>
          <w:sz w:val="32"/>
          <w:lang w:val="en-US"/>
        </w:rPr>
        <w:t>从部门决算单位构成看，乌鲁木齐市水磨沟区审计局部门决算包括：乌鲁木齐市水磨沟区审计局</w:t>
      </w:r>
      <w:r>
        <w:rPr>
          <w:rFonts w:hint="eastAsia" w:ascii="仿宋_GB2312" w:hAnsi="仿宋_GB2312" w:eastAsia="仿宋_GB2312"/>
          <w:kern w:val="0"/>
          <w:sz w:val="32"/>
          <w:lang w:val="zh-CN"/>
        </w:rPr>
        <w:t>决算。单位无下属预算单位，下设</w:t>
      </w:r>
      <w:r>
        <w:rPr>
          <w:rFonts w:hint="eastAsia" w:ascii="仿宋_GB2312" w:hAnsi="仿宋_GB2312" w:eastAsia="仿宋_GB2312"/>
          <w:kern w:val="0"/>
          <w:sz w:val="32"/>
          <w:lang w:val="en-US" w:eastAsia="zh-CN"/>
        </w:rPr>
        <w:t>0</w:t>
      </w:r>
      <w:r>
        <w:rPr>
          <w:rFonts w:hint="eastAsia" w:ascii="仿宋_GB2312" w:hAnsi="仿宋_GB2312" w:eastAsia="仿宋_GB2312"/>
          <w:kern w:val="0"/>
          <w:sz w:val="32"/>
          <w:lang w:val="zh-CN"/>
        </w:rPr>
        <w:t>个科室，分别是：</w:t>
      </w:r>
      <w:r>
        <w:rPr>
          <w:rFonts w:hint="eastAsia" w:ascii="仿宋_GB2312" w:hAnsi="仿宋_GB2312" w:eastAsia="仿宋_GB2312"/>
          <w:kern w:val="0"/>
          <w:sz w:val="32"/>
          <w:lang w:val="en-US" w:eastAsia="zh-CN"/>
        </w:rPr>
        <w:t>我单位无下设科室</w:t>
      </w:r>
      <w:r>
        <w:rPr>
          <w:rFonts w:hint="eastAsia" w:ascii="仿宋_GB2312" w:hAnsi="仿宋_GB2312" w:eastAsia="仿宋_GB2312"/>
          <w:kern w:val="0"/>
          <w:sz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bookmarkStart w:id="10" w:name="_Toc6991"/>
      <w:bookmarkStart w:id="11" w:name="_Toc23946"/>
      <w:r>
        <w:rPr>
          <w:rFonts w:hint="eastAsia" w:ascii="黑体" w:hAnsi="黑体" w:eastAsia="黑体"/>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2" w:name="_Toc19108"/>
      <w:bookmarkStart w:id="13" w:name="_Toc12566"/>
      <w:bookmarkStart w:id="14" w:name="_Toc18175"/>
      <w:r>
        <w:rPr>
          <w:rFonts w:hint="eastAsia"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lang w:val="en-US" w:eastAsia="zh-CN"/>
        </w:rPr>
        <w:t>收入总计</w:t>
      </w:r>
      <w:r>
        <w:rPr>
          <w:rFonts w:hint="eastAsia" w:ascii="仿宋_GB2312" w:eastAsia="仿宋_GB2312"/>
          <w:sz w:val="32"/>
          <w:szCs w:val="32"/>
          <w:highlight w:val="none"/>
          <w:lang w:eastAsia="zh-CN"/>
        </w:rPr>
        <w:t>302.27万元，</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lang w:eastAsia="zh-CN"/>
        </w:rPr>
        <w:t>275.77万元，使用非财政拨款结余0.00万元，年初结转和结余26.50万元。</w:t>
      </w:r>
      <w:r>
        <w:rPr>
          <w:rFonts w:hint="eastAsia" w:ascii="仿宋_GB2312" w:eastAsia="仿宋_GB2312"/>
          <w:sz w:val="32"/>
          <w:szCs w:val="32"/>
          <w:highlight w:val="none"/>
          <w:lang w:val="en-US" w:eastAsia="zh-CN"/>
        </w:rPr>
        <w:t>收入总计</w:t>
      </w:r>
      <w:r>
        <w:rPr>
          <w:rFonts w:hint="eastAsia" w:ascii="仿宋_GB2312" w:eastAsia="仿宋_GB2312"/>
          <w:sz w:val="32"/>
          <w:szCs w:val="32"/>
          <w:highlight w:val="none"/>
          <w:lang w:eastAsia="zh-CN"/>
        </w:rPr>
        <w:t>与上年相比，减少107.32万元，下降26.20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302.27万元，</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lang w:eastAsia="zh-CN"/>
        </w:rPr>
        <w:t>270.79万元，</w:t>
      </w:r>
      <w:r>
        <w:rPr>
          <w:rFonts w:hint="eastAsia" w:ascii="仿宋_GB2312" w:eastAsia="仿宋_GB2312"/>
          <w:sz w:val="32"/>
          <w:szCs w:val="32"/>
          <w:highlight w:val="none"/>
          <w:lang w:val="en-US" w:eastAsia="zh-CN"/>
        </w:rPr>
        <w:t>结余分配</w:t>
      </w:r>
      <w:r>
        <w:rPr>
          <w:rFonts w:hint="eastAsia" w:ascii="仿宋_GB2312" w:eastAsia="仿宋_GB2312"/>
          <w:sz w:val="32"/>
          <w:szCs w:val="32"/>
          <w:highlight w:val="none"/>
          <w:lang w:eastAsia="zh-CN"/>
        </w:rPr>
        <w:t>0.00万元，年末结转和结余31.48万元。支出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与上年相比，减少107.32万元，下降26.20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，主要原因是：本年度存在预拨经费：本年度存在预拨经费：其中政府投资审计中心委托业务审计费，运转类公用经费。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5" w:name="_Toc8730"/>
      <w:bookmarkStart w:id="16" w:name="_Toc1979"/>
      <w:bookmarkStart w:id="17" w:name="_Toc21353"/>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本年收入275.77万元，其中：财政拨款收入270.70万元，占98.16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；上级补助收入0.00万元，占0.00；事业收入0.00万元，占0.00；经营收入0.00万元，占0.00；</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rPr>
        <w:t>0.00万元，占0.00；其他收入5.07万元，占1.84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363"/>
      <w:bookmarkStart w:id="19" w:name="_Toc27961"/>
      <w:bookmarkStart w:id="20" w:name="_Toc6508"/>
      <w:r>
        <w:rPr>
          <w:rFonts w:hint="eastAsia"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本年支出270.79万元，其中：基本支出268.09万元，占99.00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；项目支出2.70万元，占1.00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；上缴上级支出0.00万元，占0.00；经营支出0.00万元，占0.00；对附属单位补助支出0.00万元，占0.00</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1" w:name="_Toc4393"/>
      <w:bookmarkStart w:id="22" w:name="_Toc30865"/>
      <w:bookmarkStart w:id="23" w:name="_Toc733"/>
      <w:r>
        <w:rPr>
          <w:rFonts w:hint="eastAsia" w:ascii="黑体" w:hAnsi="黑体" w:eastAsia="黑体" w:cs="宋体"/>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284.67万元，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13.97万元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270.70万元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与上年相比，减少112.35万元，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28.30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284.67万元，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rPr>
        <w:t>15.17万元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269.50万元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与上年相比，减少112.35万元，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28.30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347.76万元，决算数284.67万元，预决算差异率-18.14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主要原因是：本年度存在预拨经费：其中政府投资审计中心委托业务审计费，运转类公用经费。</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347.76万元，决算数284.67万元，预决算差异率-18.14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3833"/>
      <w:bookmarkStart w:id="25" w:name="_Toc12666"/>
      <w:bookmarkStart w:id="26" w:name="_Toc11969"/>
      <w:r>
        <w:rPr>
          <w:rFonts w:hint="eastAsia" w:ascii="黑体" w:hAnsi="黑体" w:eastAsia="黑体" w:cs="宋体"/>
          <w:bCs/>
          <w:kern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7" w:name="_Toc6505"/>
      <w:bookmarkStart w:id="28" w:name="_Toc7106"/>
      <w:r>
        <w:rPr>
          <w:rFonts w:hint="eastAsia" w:ascii="黑体" w:hAnsi="黑体" w:eastAsia="黑体"/>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2022年度一般公共预算财政拨款支出269.50万元，占本年支出合计的</w:t>
      </w:r>
      <w:r>
        <w:rPr>
          <w:rFonts w:hint="eastAsia" w:ascii="仿宋_GB2312" w:eastAsia="仿宋_GB2312"/>
          <w:spacing w:val="0"/>
          <w:sz w:val="32"/>
          <w:szCs w:val="32"/>
          <w:highlight w:val="none"/>
          <w:lang w:val="en-US" w:eastAsia="zh-CN"/>
        </w:rPr>
        <w:t>99.52%</w:t>
      </w:r>
      <w:r>
        <w:rPr>
          <w:rFonts w:hint="eastAsia" w:ascii="仿宋_GB2312" w:eastAsia="仿宋_GB2312"/>
          <w:spacing w:val="0"/>
          <w:sz w:val="32"/>
          <w:szCs w:val="32"/>
          <w:highlight w:val="none"/>
          <w:lang w:eastAsia="zh-CN"/>
        </w:rPr>
        <w:t>，与上年相比减少113.55万元，下降29.64</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highlight w:val="none"/>
          <w:lang w:eastAsia="zh-CN"/>
        </w:rPr>
        <w:t>本年度存在预拨经费：其中政府投资审计中心委托业务审计费，运转类公用经费。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9" w:name="_Toc31862"/>
      <w:bookmarkStart w:id="30" w:name="_Toc18111"/>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.一般公共服务支出（类）</w:t>
      </w:r>
      <w:r>
        <w:rPr>
          <w:rFonts w:hint="eastAsia" w:ascii="仿宋_GB2312" w:eastAsia="仿宋_GB2312"/>
          <w:sz w:val="32"/>
          <w:szCs w:val="32"/>
          <w:highlight w:val="none"/>
          <w:lang w:val="en-US" w:eastAsia="zh-CN"/>
        </w:rPr>
        <w:t>247.63</w:t>
      </w:r>
      <w:r>
        <w:rPr>
          <w:rFonts w:hint="eastAsia" w:ascii="仿宋_GB2312" w:eastAsia="仿宋_GB2312"/>
          <w:sz w:val="32"/>
          <w:szCs w:val="32"/>
          <w:highlight w:val="none"/>
          <w:lang w:eastAsia="zh-CN"/>
        </w:rPr>
        <w:t>万元，占91.93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.社会保障和就业支出（类）21.87万元，占8.07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1" w:name="_Toc24627"/>
      <w:bookmarkStart w:id="32" w:name="_Toc19900"/>
      <w:r>
        <w:rPr>
          <w:rFonts w:hint="eastAsia" w:ascii="黑体" w:hAnsi="黑体" w:eastAsia="黑体"/>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（类）审计事务（款）行政运行（项）: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为94.91万元，比上年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增加1.37万元，增长1.47</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工资福利支出中人员工资社保基数上涨，运行经费中燃油费办公费增加</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.一般公共服务（类）审计事务（款）事业运行（项）: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为152.73万元，比上年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减少10.33万元，下降6.34</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，主要原因是： 本年度减少事业人员2人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工资福利支出中工资减少社保减少公用经费减少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3.一般公共服务支出</w:t>
      </w:r>
      <w:r>
        <w:rPr>
          <w:rFonts w:hint="eastAsia" w:ascii="仿宋_GB2312" w:hAnsi="仿宋_GB2312" w:eastAsia="仿宋_GB2312" w:cs="仿宋_GB2312"/>
          <w:kern w:val="0"/>
          <w:sz w:val="32"/>
          <w:szCs w:val="32"/>
          <w:highlight w:val="none"/>
        </w:rPr>
        <w:t>（类）审计事务（款）审计业务（项）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决算减少89.98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 xml:space="preserve">，主要原因是： </w:t>
      </w:r>
      <w:r>
        <w:rPr>
          <w:rFonts w:hint="eastAsia" w:ascii="仿宋_GB2312" w:hAnsi="仿宋_GB2312" w:eastAsia="仿宋_GB2312" w:cs="仿宋_GB2312"/>
          <w:kern w:val="0"/>
          <w:sz w:val="32"/>
          <w:szCs w:val="32"/>
          <w:highlight w:val="none"/>
          <w:lang w:val="en-US" w:eastAsia="zh-CN"/>
        </w:rPr>
        <w:t>本年本单位无安排此预算。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.社会保障和就业支出（类）民政管理事务（款）基层政权建设和社区治理（项）: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为1.41万元，比上年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减少2.68万元，下降65.54</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开展访惠聚活动次数减少人员减少</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为20.46万元，比上年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增加10.46万元，增长104.</w:t>
      </w:r>
      <w:r>
        <w:rPr>
          <w:rFonts w:hint="eastAsia" w:ascii="仿宋_GB2312" w:hAnsi="仿宋_GB2312" w:eastAsia="仿宋_GB2312" w:cs="仿宋_GB2312"/>
          <w:kern w:val="0"/>
          <w:sz w:val="32"/>
          <w:szCs w:val="32"/>
          <w:highlight w:val="none"/>
          <w:lang w:val="en-US" w:eastAsia="zh-CN"/>
        </w:rPr>
        <w:t>60%</w:t>
      </w:r>
      <w:r>
        <w:rPr>
          <w:rFonts w:hint="eastAsia" w:ascii="仿宋_GB2312" w:hAnsi="仿宋_GB2312" w:eastAsia="仿宋_GB2312" w:cs="仿宋_GB2312"/>
          <w:kern w:val="0"/>
          <w:sz w:val="32"/>
          <w:szCs w:val="32"/>
          <w:highlight w:val="none"/>
        </w:rPr>
        <w:t xml:space="preserve">，主要原因是： </w:t>
      </w:r>
      <w:r>
        <w:rPr>
          <w:rFonts w:hint="eastAsia" w:ascii="仿宋_GB2312" w:hAnsi="仿宋_GB2312" w:eastAsia="仿宋_GB2312" w:cs="仿宋_GB2312"/>
          <w:kern w:val="0"/>
          <w:sz w:val="32"/>
          <w:szCs w:val="32"/>
          <w:highlight w:val="none"/>
          <w:lang w:val="en-US" w:eastAsia="zh-CN"/>
        </w:rPr>
        <w:t>人员工资上涨，社保养老基数上涨单位基本养老保险费用支出增加</w:t>
      </w:r>
      <w:r>
        <w:rPr>
          <w:rFonts w:hint="eastAsia" w:ascii="仿宋_GB2312" w:hAnsi="仿宋_GB2312" w:eastAsia="仿宋_GB2312" w:cs="仿宋_GB2312"/>
          <w:kern w:val="0"/>
          <w:sz w:val="32"/>
          <w:szCs w:val="32"/>
          <w:highlight w:val="none"/>
          <w:lang w:eastAsia="zh-CN"/>
        </w:rPr>
        <w:t>。</w:t>
      </w:r>
      <w:bookmarkStart w:id="91" w:name="_GoBack"/>
      <w:bookmarkEnd w:id="9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6.社会保障和就业支出</w:t>
      </w:r>
      <w:r>
        <w:rPr>
          <w:rFonts w:hint="eastAsia" w:ascii="仿宋_GB2312" w:hAnsi="仿宋_GB2312" w:eastAsia="仿宋_GB2312" w:cs="仿宋_GB2312"/>
          <w:kern w:val="0"/>
          <w:sz w:val="32"/>
          <w:szCs w:val="32"/>
          <w:highlight w:val="none"/>
        </w:rPr>
        <w:t>（类）行政事业单位养老支出（款）  机关事业单位职业年金缴费支出（项）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决算减少7.69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本年度没有发生退休人员的职业年金。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7.城乡社区支出</w:t>
      </w:r>
      <w:r>
        <w:rPr>
          <w:rFonts w:hint="eastAsia" w:ascii="仿宋_GB2312" w:hAnsi="仿宋_GB2312" w:eastAsia="仿宋_GB2312" w:cs="仿宋_GB2312"/>
          <w:kern w:val="0"/>
          <w:sz w:val="32"/>
          <w:szCs w:val="32"/>
          <w:highlight w:val="none"/>
        </w:rPr>
        <w:t>（类）其他城乡社区支出（款）其他城乡社区支出（项）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决算减少12.58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本年度未安排此项目支出。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8.其他支出</w:t>
      </w:r>
      <w:r>
        <w:rPr>
          <w:rFonts w:hint="eastAsia" w:ascii="仿宋_GB2312" w:hAnsi="仿宋_GB2312" w:eastAsia="仿宋_GB2312" w:cs="仿宋_GB2312"/>
          <w:kern w:val="0"/>
          <w:sz w:val="32"/>
          <w:szCs w:val="32"/>
          <w:highlight w:val="none"/>
        </w:rPr>
        <w:t>（类）其他支出（款）其他支出（项）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决算减少2.16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本年度未安排此项目支出。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3" w:name="_Toc11146"/>
      <w:bookmarkStart w:id="34" w:name="_Toc18202"/>
      <w:bookmarkStart w:id="35" w:name="_Toc13818"/>
      <w:r>
        <w:rPr>
          <w:rFonts w:hint="eastAsia" w:ascii="黑体" w:hAnsi="黑体" w:eastAsia="黑体" w:cs="宋体"/>
          <w:bCs/>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一般公共预算财政拨款基本支出268.09万元，其中：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人员经费265.68万元，包括：基本工资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公用经费2.41万元，包括：办公费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6" w:name="_Toc32115"/>
      <w:bookmarkStart w:id="37" w:name="_Toc31388"/>
      <w:bookmarkStart w:id="38"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度财政拨款“三公”经费支出决算0.84万元，比上年增加0.30万元，增长55.56%，主要原因是：三公经费中公务车运行维护费增加0.3万元。其中：因公出国（境）费支出0.00万元，占0.00%，比上年增加0万元，增长0%，主要原因是：我单位无因公出国（境）费支出；公务用车购置及运行维护费支出0.84万元，占100.00%，比上年增加0.30万元，增长55.56%，主要原因是：公务车运行维护费中维修费增加0.3万元；公务接待费支出0.00万元，占0.00%，比上年增加0.00万元，增长0%，主要原因是：我单位无公务接待费支出。具体情况如下：</w:t>
      </w:r>
    </w:p>
    <w:p>
      <w:pPr>
        <w:keepNext w:val="0"/>
        <w:keepLines w:val="0"/>
        <w:pageBreakBefore w:val="0"/>
        <w:widowControl w:val="0"/>
        <w:kinsoku/>
        <w:wordWrap/>
        <w:overflowPunct/>
        <w:topLinePunct w:val="0"/>
        <w:bidi w:val="0"/>
        <w:adjustRightInd/>
        <w:snapToGrid/>
        <w:spacing w:line="240" w:lineRule="auto"/>
        <w:ind w:left="319" w:leftChars="152" w:firstLine="320" w:firstLineChars="1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因公出国（境）费支出0万元，开支内容包括:我单位无因公出国（境）费支出。单位全年安排的因公出国（境）团组0个，因公出国（境）0人次。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用车购置及运行维护费0.84万元，其中：公务用车购置费0.00万元，公务用车运行维护费0.84万元。公务用车运行维护费开支内容包括：公务车运行维护费中维修费保险费停车费。公务用车购置数0辆，公务用车保有量1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公务接待费0.00万元，开支内容包括：我单位无公务接待费支出。单位全年安排的国内公务接待0批次，0人次。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与全年预算数相比情况：“三公”经费支出全年预算数4.50万元，决算数0.84万元，预决算差异率-81.33%，主要原因是：减少财政压力压缩三公经费支出。其中：因公出国（境）费全年预算数0.00万元，决算数0.00万元，预决算差异率0%，主要原因是：我单位无因公出国（境）费支出；公务用车购置费全年预算数0.00万元，决算数0.00万元，预决算差异率0%，主要原因是：我单位无公务用车购置费支出；公务用车运行费全年预算数4.46万元，决算数0.84万元，预决算差异率-81.17%，主要原因是：减少财政压力压缩三公经费支出；公务接待费全年预算数0.04万元，决算数0.00万元，预决算差异率-100%，主要原因是：本单位本年度未开展公务接待活动相关费用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9" w:name="_Toc19137"/>
      <w:bookmarkStart w:id="40" w:name="_Toc16383"/>
      <w:bookmarkStart w:id="41"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2" w:name="_Toc19129"/>
      <w:bookmarkStart w:id="43" w:name="_Toc18027"/>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4" w:name="_Toc7314"/>
      <w:bookmarkStart w:id="45" w:name="_Toc10328"/>
      <w:bookmarkStart w:id="46" w:name="_Toc15901"/>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47" w:name="_Toc30555"/>
      <w:bookmarkStart w:id="48" w:name="_Toc13105"/>
      <w:bookmarkStart w:id="49" w:name="_Toc18970"/>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47"/>
      <w:bookmarkEnd w:id="48"/>
      <w:bookmarkEnd w:id="49"/>
    </w:p>
    <w:p>
      <w:pPr>
        <w:rPr>
          <w:rFonts w:hint="eastAsia" w:ascii="仿宋_GB2312" w:eastAsia="仿宋_GB2312"/>
          <w:sz w:val="32"/>
          <w:szCs w:val="32"/>
          <w:highlight w:val="none"/>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lang w:val="en-US"/>
        </w:rPr>
        <w:t>乌鲁木齐市水磨沟区审计局</w:t>
      </w:r>
      <w:r>
        <w:rPr>
          <w:rFonts w:hint="eastAsia" w:ascii="仿宋_GB2312" w:eastAsia="仿宋_GB2312"/>
          <w:sz w:val="32"/>
          <w:szCs w:val="32"/>
          <w:highlight w:val="none"/>
        </w:rPr>
        <w:t>单位（行政单位和参照公务员法管理事业单位）机关运行经费支出2.41万元，比上年减少3.05万元，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55.</w:t>
      </w:r>
      <w:r>
        <w:rPr>
          <w:rFonts w:hint="eastAsia" w:ascii="仿宋_GB2312" w:eastAsia="仿宋_GB2312"/>
          <w:sz w:val="32"/>
          <w:szCs w:val="32"/>
          <w:highlight w:val="none"/>
          <w:lang w:val="en-US" w:eastAsia="zh-CN"/>
        </w:rPr>
        <w:t>86%</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：本年度存在预拨经费运转类公用经费项目34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10</w:t>
      </w:r>
      <w:r>
        <w:rPr>
          <w:rFonts w:hint="eastAsia" w:ascii="仿宋_GB2312" w:eastAsia="仿宋_GB2312"/>
          <w:sz w:val="32"/>
          <w:szCs w:val="32"/>
          <w:highlight w:val="none"/>
          <w:lang w:val="en-US" w:eastAsia="zh-CN"/>
        </w:rPr>
        <w:t>万元并减少事业人员两人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50" w:name="_Toc26704"/>
      <w:bookmarkStart w:id="51" w:name="_Toc4448"/>
      <w:bookmarkStart w:id="52" w:name="_Toc20762"/>
      <w:r>
        <w:rPr>
          <w:rFonts w:hint="eastAsia" w:ascii="黑体" w:hAnsi="黑体" w:eastAsia="黑体"/>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授予中小企业合同金额0.00万元，占政府采购支出总额的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，其中：授予小微企业合同金额0.00万元，占政府采购支出总额的</w:t>
      </w:r>
      <w:r>
        <w:rPr>
          <w:rFonts w:hint="eastAsia" w:ascii="仿宋_GB2312" w:eastAsia="仿宋_GB2312"/>
          <w:sz w:val="32"/>
          <w:szCs w:val="32"/>
          <w:highlight w:val="none"/>
          <w:lang w:val="en-US" w:eastAsia="zh-CN"/>
        </w:rPr>
        <w:t>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53" w:name="_Toc28327"/>
      <w:bookmarkStart w:id="54" w:name="_Toc12816"/>
      <w:bookmarkStart w:id="55" w:name="_Toc4591"/>
      <w:r>
        <w:rPr>
          <w:rFonts w:hint="eastAsia" w:ascii="黑体" w:hAnsi="黑体" w:eastAsia="黑体"/>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截止2022年12月31日，固定资产原值78.69万元，房屋0平方米，价值0.00万元。车辆1辆，价值10.52万元，其中：副部（省）级及以上领导用车0辆、主要领导干部用车0辆、机要通信用车0辆、应急保障用车0辆、执法执勤用车0辆、特种专业技术用车0辆、离退休干部用车0辆、其他用车1辆，其他用车主要是：公务用车1辆；单价100万元（含）以上设备（不含车辆）0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56" w:name="_Toc435"/>
      <w:bookmarkStart w:id="57" w:name="_Toc9222"/>
      <w:bookmarkStart w:id="58" w:name="_Toc1432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56"/>
      <w:bookmarkEnd w:id="57"/>
      <w:bookmarkEnd w:id="5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根据预算绩效管理要求，我单位2022年度开展预算绩效评价项目0个，全年预算数0万元，全年执行数0万元。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预算绩效管理取得的成效：我单位2022年度无绩效自评项目。发现的问题及原因：我单位2022年度无绩效自评项目。下一步改进措施：我单位 2022 年度无绩效自评项目。</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59" w:name="_Toc24143"/>
      <w:r>
        <w:rPr>
          <w:rFonts w:hint="eastAsia" w:ascii="黑体" w:hAnsi="黑体" w:eastAsia="黑体"/>
          <w:sz w:val="32"/>
          <w:szCs w:val="32"/>
          <w:highlight w:val="none"/>
        </w:rPr>
        <w:br w:type="page"/>
      </w:r>
      <w:bookmarkStart w:id="60" w:name="_Toc4580"/>
      <w:bookmarkStart w:id="61" w:name="_Toc10437"/>
      <w:r>
        <w:rPr>
          <w:rFonts w:hint="eastAsia" w:ascii="黑体" w:hAnsi="黑体" w:eastAsia="黑体"/>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5876"/>
      <w:bookmarkStart w:id="64" w:name="_Toc32549"/>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5272"/>
      <w:bookmarkStart w:id="66" w:name="_Toc3595"/>
      <w:bookmarkStart w:id="67" w:name="_Toc6062"/>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0518"/>
      <w:bookmarkStart w:id="69" w:name="_Toc30364"/>
      <w:bookmarkStart w:id="70" w:name="_Toc6432"/>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4682"/>
      <w:bookmarkStart w:id="72" w:name="_Toc21304"/>
      <w:bookmarkStart w:id="73" w:name="_Toc23872"/>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14238"/>
      <w:bookmarkStart w:id="75" w:name="_Toc32114"/>
      <w:bookmarkStart w:id="76" w:name="_Toc17363"/>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0347"/>
      <w:bookmarkStart w:id="78" w:name="_Toc16665"/>
      <w:bookmarkStart w:id="79" w:name="_Toc1532"/>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5626"/>
      <w:bookmarkStart w:id="81" w:name="_Toc2980"/>
      <w:bookmarkStart w:id="82" w:name="_Toc24067"/>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9459"/>
      <w:bookmarkStart w:id="84" w:name="_Toc3931"/>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20536"/>
      <w:bookmarkStart w:id="87" w:name="_Toc482"/>
      <w:bookmarkStart w:id="88" w:name="_Toc5453"/>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19300"/>
      <w:bookmarkStart w:id="90" w:name="_Toc30064"/>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000000"/>
    <w:rsid w:val="00E65F3E"/>
    <w:rsid w:val="011726B8"/>
    <w:rsid w:val="01205ED0"/>
    <w:rsid w:val="020B1E19"/>
    <w:rsid w:val="02AB2BA4"/>
    <w:rsid w:val="02F73D26"/>
    <w:rsid w:val="034D4FEF"/>
    <w:rsid w:val="043E5B56"/>
    <w:rsid w:val="04C8148A"/>
    <w:rsid w:val="06182106"/>
    <w:rsid w:val="061D0810"/>
    <w:rsid w:val="06792773"/>
    <w:rsid w:val="06DB1E8B"/>
    <w:rsid w:val="06E63D2A"/>
    <w:rsid w:val="086F792B"/>
    <w:rsid w:val="0A1C6A2B"/>
    <w:rsid w:val="0A7B4867"/>
    <w:rsid w:val="0ABE2142"/>
    <w:rsid w:val="0B8C3ECC"/>
    <w:rsid w:val="0C7227A7"/>
    <w:rsid w:val="0CAC3104"/>
    <w:rsid w:val="0D95707B"/>
    <w:rsid w:val="0F857177"/>
    <w:rsid w:val="102E443C"/>
    <w:rsid w:val="13065313"/>
    <w:rsid w:val="142B5C8A"/>
    <w:rsid w:val="17A9659B"/>
    <w:rsid w:val="187E287E"/>
    <w:rsid w:val="18915778"/>
    <w:rsid w:val="19DB6010"/>
    <w:rsid w:val="1A700524"/>
    <w:rsid w:val="1AD22111"/>
    <w:rsid w:val="1B3B0F26"/>
    <w:rsid w:val="1B975C14"/>
    <w:rsid w:val="1BF06295"/>
    <w:rsid w:val="1C861F1E"/>
    <w:rsid w:val="1CA148EC"/>
    <w:rsid w:val="1D0C360F"/>
    <w:rsid w:val="1D1C0892"/>
    <w:rsid w:val="1D9D7450"/>
    <w:rsid w:val="1DAF458D"/>
    <w:rsid w:val="1DFA6FC7"/>
    <w:rsid w:val="1EA8342C"/>
    <w:rsid w:val="1F516E45"/>
    <w:rsid w:val="204C3744"/>
    <w:rsid w:val="20503C2C"/>
    <w:rsid w:val="20DD6197"/>
    <w:rsid w:val="23BC04D2"/>
    <w:rsid w:val="23F93460"/>
    <w:rsid w:val="24A705FF"/>
    <w:rsid w:val="260B6293"/>
    <w:rsid w:val="270C6310"/>
    <w:rsid w:val="27CF2642"/>
    <w:rsid w:val="28EC7EFC"/>
    <w:rsid w:val="295F55B3"/>
    <w:rsid w:val="29B10A15"/>
    <w:rsid w:val="2A053397"/>
    <w:rsid w:val="2CB371D5"/>
    <w:rsid w:val="2D1136DF"/>
    <w:rsid w:val="2D7D0D52"/>
    <w:rsid w:val="2E18598A"/>
    <w:rsid w:val="2EA87867"/>
    <w:rsid w:val="2F1A7CE7"/>
    <w:rsid w:val="2FD27414"/>
    <w:rsid w:val="319501D5"/>
    <w:rsid w:val="31C63837"/>
    <w:rsid w:val="31D7657D"/>
    <w:rsid w:val="320756DD"/>
    <w:rsid w:val="32DD6E7D"/>
    <w:rsid w:val="33B777EE"/>
    <w:rsid w:val="33EC13EF"/>
    <w:rsid w:val="34DA3E98"/>
    <w:rsid w:val="354E515D"/>
    <w:rsid w:val="36197594"/>
    <w:rsid w:val="370552AF"/>
    <w:rsid w:val="388B6EB1"/>
    <w:rsid w:val="3914510A"/>
    <w:rsid w:val="39662DA7"/>
    <w:rsid w:val="3B564E69"/>
    <w:rsid w:val="3B8A672D"/>
    <w:rsid w:val="3BD107AC"/>
    <w:rsid w:val="3CEF7BCF"/>
    <w:rsid w:val="3D5275AC"/>
    <w:rsid w:val="3E2B6937"/>
    <w:rsid w:val="3FBD52A0"/>
    <w:rsid w:val="40834692"/>
    <w:rsid w:val="42782324"/>
    <w:rsid w:val="432B6E23"/>
    <w:rsid w:val="437555FC"/>
    <w:rsid w:val="44446C38"/>
    <w:rsid w:val="46901EEE"/>
    <w:rsid w:val="469C74D2"/>
    <w:rsid w:val="46F870EF"/>
    <w:rsid w:val="470C497C"/>
    <w:rsid w:val="48022301"/>
    <w:rsid w:val="48A00A76"/>
    <w:rsid w:val="4A9250D2"/>
    <w:rsid w:val="4B4C0111"/>
    <w:rsid w:val="4B674EE5"/>
    <w:rsid w:val="4BD05935"/>
    <w:rsid w:val="4D621E68"/>
    <w:rsid w:val="4DEF230B"/>
    <w:rsid w:val="4EC42F25"/>
    <w:rsid w:val="4F302BDB"/>
    <w:rsid w:val="504C1C93"/>
    <w:rsid w:val="50653746"/>
    <w:rsid w:val="50DB5F45"/>
    <w:rsid w:val="518B2DB8"/>
    <w:rsid w:val="51B73A83"/>
    <w:rsid w:val="5217704A"/>
    <w:rsid w:val="525D7070"/>
    <w:rsid w:val="52981897"/>
    <w:rsid w:val="529D6258"/>
    <w:rsid w:val="52A11FF1"/>
    <w:rsid w:val="52F92565"/>
    <w:rsid w:val="55CF1C7C"/>
    <w:rsid w:val="5625599A"/>
    <w:rsid w:val="563A2CFF"/>
    <w:rsid w:val="56DF422C"/>
    <w:rsid w:val="571A2F2D"/>
    <w:rsid w:val="571C510A"/>
    <w:rsid w:val="579A623B"/>
    <w:rsid w:val="57B91AC2"/>
    <w:rsid w:val="583059FA"/>
    <w:rsid w:val="5A5A4478"/>
    <w:rsid w:val="5A9D66AD"/>
    <w:rsid w:val="5B983671"/>
    <w:rsid w:val="5D003399"/>
    <w:rsid w:val="5D223904"/>
    <w:rsid w:val="5D6A434C"/>
    <w:rsid w:val="5F0F21D9"/>
    <w:rsid w:val="5FA17648"/>
    <w:rsid w:val="61A46A97"/>
    <w:rsid w:val="627D5AD6"/>
    <w:rsid w:val="62DB1901"/>
    <w:rsid w:val="62DD7D21"/>
    <w:rsid w:val="635D4AEF"/>
    <w:rsid w:val="63F66C47"/>
    <w:rsid w:val="65D97752"/>
    <w:rsid w:val="665A3587"/>
    <w:rsid w:val="66941F28"/>
    <w:rsid w:val="684C08A9"/>
    <w:rsid w:val="68DB0208"/>
    <w:rsid w:val="692C17C2"/>
    <w:rsid w:val="69AD798C"/>
    <w:rsid w:val="6A0B1ECA"/>
    <w:rsid w:val="6B1B56F6"/>
    <w:rsid w:val="6B68175F"/>
    <w:rsid w:val="6C733C48"/>
    <w:rsid w:val="6D7E3098"/>
    <w:rsid w:val="6DB426F3"/>
    <w:rsid w:val="6E0F7A08"/>
    <w:rsid w:val="6F2D10E5"/>
    <w:rsid w:val="70F3754D"/>
    <w:rsid w:val="71473612"/>
    <w:rsid w:val="718F7F65"/>
    <w:rsid w:val="71FD163F"/>
    <w:rsid w:val="72C20820"/>
    <w:rsid w:val="730920D9"/>
    <w:rsid w:val="73FB6630"/>
    <w:rsid w:val="7447570D"/>
    <w:rsid w:val="74511E48"/>
    <w:rsid w:val="74E76DCD"/>
    <w:rsid w:val="75752846"/>
    <w:rsid w:val="764E75DB"/>
    <w:rsid w:val="769901DB"/>
    <w:rsid w:val="76D53A35"/>
    <w:rsid w:val="77ED6F44"/>
    <w:rsid w:val="782566EE"/>
    <w:rsid w:val="78906E7D"/>
    <w:rsid w:val="79BC397E"/>
    <w:rsid w:val="7A3E54DB"/>
    <w:rsid w:val="7B5573A2"/>
    <w:rsid w:val="7B957477"/>
    <w:rsid w:val="7C883F0C"/>
    <w:rsid w:val="7D40081E"/>
    <w:rsid w:val="7D697356"/>
    <w:rsid w:val="7DEC608F"/>
    <w:rsid w:val="7E997CC3"/>
    <w:rsid w:val="7F3C1416"/>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0"/>
    <w:pPr>
      <w:spacing w:after="120"/>
      <w:ind w:left="420" w:leftChars="200"/>
    </w:pPr>
    <w:rPr>
      <w:rFonts w:hint="default"/>
      <w:sz w:val="21"/>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3"/>
    <w:unhideWhenUsed/>
    <w:qFormat/>
    <w:uiPriority w:val="0"/>
    <w:pPr>
      <w:spacing w:before="100" w:beforeAutospacing="1"/>
      <w:ind w:firstLine="420" w:firstLineChars="200"/>
    </w:pPr>
    <w:rPr>
      <w:rFonts w:hint="default"/>
      <w:sz w:val="21"/>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4977</Words>
  <Characters>5557</Characters>
  <Lines>0</Lines>
  <Paragraphs>0</Paragraphs>
  <TotalTime>2</TotalTime>
  <ScaleCrop>false</ScaleCrop>
  <LinksUpToDate>false</LinksUpToDate>
  <CharactersWithSpaces>5574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2024-08-12T11:33:39Z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BFE6A68777904EAF9C3981B9EB11C230</vt:lpwstr>
  </property>
</Properties>
</file>