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16EA05">
      <w:pPr>
        <w:spacing w:line="480" w:lineRule="auto"/>
        <w:ind w:firstLine="0" w:firstLineChars="0"/>
        <w:rPr>
          <w:rFonts w:ascii="Times New Roman" w:hAnsi="Times New Roman" w:eastAsia="黑体" w:cs="Times New Roman"/>
          <w:b/>
          <w:kern w:val="0"/>
          <w:sz w:val="50"/>
          <w:szCs w:val="50"/>
          <w:lang w:bidi="en-US"/>
        </w:rPr>
      </w:pPr>
    </w:p>
    <w:p w14:paraId="041044E4">
      <w:pPr>
        <w:spacing w:line="480" w:lineRule="auto"/>
        <w:ind w:firstLine="0" w:firstLineChars="0"/>
        <w:rPr>
          <w:rFonts w:ascii="Times New Roman" w:hAnsi="Times New Roman" w:eastAsia="黑体" w:cs="Times New Roman"/>
          <w:b/>
          <w:kern w:val="0"/>
          <w:sz w:val="50"/>
          <w:szCs w:val="50"/>
          <w:lang w:bidi="en-US"/>
        </w:rPr>
      </w:pPr>
    </w:p>
    <w:p w14:paraId="4E574760">
      <w:pPr>
        <w:spacing w:line="480" w:lineRule="auto"/>
        <w:ind w:firstLine="0" w:firstLineChars="0"/>
        <w:rPr>
          <w:rFonts w:ascii="Times New Roman" w:hAnsi="Times New Roman" w:eastAsia="黑体" w:cs="Times New Roman"/>
          <w:b/>
          <w:kern w:val="0"/>
          <w:sz w:val="50"/>
          <w:szCs w:val="50"/>
          <w:lang w:bidi="en-US"/>
        </w:rPr>
      </w:pPr>
    </w:p>
    <w:p w14:paraId="51168990">
      <w:pPr>
        <w:spacing w:line="480" w:lineRule="auto"/>
        <w:ind w:firstLine="0" w:firstLineChars="0"/>
        <w:rPr>
          <w:rFonts w:ascii="Times New Roman" w:hAnsi="Times New Roman" w:eastAsia="黑体" w:cs="Times New Roman"/>
          <w:b/>
          <w:kern w:val="0"/>
          <w:sz w:val="50"/>
          <w:szCs w:val="50"/>
          <w:lang w:bidi="en-US"/>
        </w:rPr>
      </w:pPr>
    </w:p>
    <w:p w14:paraId="4637FCF9">
      <w:pPr>
        <w:spacing w:line="480" w:lineRule="auto"/>
        <w:ind w:firstLine="0" w:firstLineChars="0"/>
        <w:jc w:val="center"/>
        <w:rPr>
          <w:rFonts w:ascii="Times New Roman" w:hAnsi="Times New Roman" w:eastAsia="黑体" w:cs="Times New Roman"/>
          <w:b/>
          <w:kern w:val="0"/>
          <w:sz w:val="50"/>
          <w:szCs w:val="50"/>
          <w:lang w:bidi="en-US"/>
        </w:rPr>
      </w:pPr>
    </w:p>
    <w:p w14:paraId="4FA25ED1">
      <w:pPr>
        <w:spacing w:line="560" w:lineRule="exact"/>
        <w:ind w:firstLine="0" w:firstLineChars="0"/>
        <w:jc w:val="center"/>
        <w:rPr>
          <w:rFonts w:ascii="Times New Roman" w:hAnsi="Times New Roman" w:eastAsia="黑体" w:cs="Times New Roman"/>
          <w:b/>
          <w:bCs/>
          <w:color w:val="000000"/>
          <w:kern w:val="0"/>
          <w:sz w:val="52"/>
          <w:szCs w:val="52"/>
        </w:rPr>
      </w:pPr>
      <w:r>
        <w:rPr>
          <w:rFonts w:ascii="Times New Roman" w:hAnsi="Times New Roman" w:eastAsia="黑体" w:cs="Times New Roman"/>
          <w:b/>
          <w:bCs/>
          <w:color w:val="000000"/>
          <w:kern w:val="0"/>
          <w:sz w:val="52"/>
          <w:szCs w:val="52"/>
        </w:rPr>
        <w:t>财政项目支出绩效评价报告</w:t>
      </w:r>
    </w:p>
    <w:p w14:paraId="6A743AD5">
      <w:pPr>
        <w:spacing w:line="480" w:lineRule="auto"/>
        <w:ind w:firstLine="0" w:firstLineChars="0"/>
        <w:jc w:val="center"/>
        <w:rPr>
          <w:rFonts w:ascii="Times New Roman" w:hAnsi="Times New Roman" w:eastAsia="黑体" w:cs="Times New Roman"/>
          <w:b/>
          <w:kern w:val="0"/>
          <w:sz w:val="50"/>
          <w:szCs w:val="50"/>
          <w:lang w:bidi="en-US"/>
        </w:rPr>
      </w:pPr>
    </w:p>
    <w:p w14:paraId="6717768B">
      <w:pPr>
        <w:spacing w:line="480" w:lineRule="auto"/>
        <w:ind w:firstLine="0" w:firstLineChars="0"/>
        <w:jc w:val="center"/>
        <w:rPr>
          <w:rFonts w:ascii="Times New Roman" w:hAnsi="Times New Roman" w:eastAsia="黑体" w:cs="Times New Roman"/>
          <w:b/>
          <w:kern w:val="0"/>
          <w:sz w:val="50"/>
          <w:szCs w:val="50"/>
          <w:lang w:bidi="en-US"/>
        </w:rPr>
      </w:pPr>
    </w:p>
    <w:p w14:paraId="411B08C6">
      <w:pPr>
        <w:spacing w:line="480" w:lineRule="auto"/>
        <w:ind w:firstLine="0" w:firstLineChars="0"/>
        <w:jc w:val="center"/>
        <w:rPr>
          <w:rFonts w:ascii="Times New Roman" w:hAnsi="Times New Roman" w:eastAsia="黑体" w:cs="Times New Roman"/>
          <w:b/>
          <w:kern w:val="0"/>
          <w:sz w:val="50"/>
          <w:szCs w:val="50"/>
          <w:lang w:bidi="en-US"/>
        </w:rPr>
      </w:pPr>
    </w:p>
    <w:p w14:paraId="2976533D">
      <w:pPr>
        <w:spacing w:line="480" w:lineRule="auto"/>
        <w:ind w:firstLine="0" w:firstLineChars="0"/>
        <w:jc w:val="center"/>
        <w:rPr>
          <w:rFonts w:ascii="Times New Roman" w:hAnsi="Times New Roman" w:eastAsia="黑体" w:cs="Times New Roman"/>
          <w:b/>
          <w:kern w:val="0"/>
          <w:sz w:val="50"/>
          <w:szCs w:val="50"/>
          <w:lang w:bidi="en-US"/>
        </w:rPr>
      </w:pPr>
    </w:p>
    <w:p w14:paraId="75B6CC24">
      <w:pPr>
        <w:spacing w:line="480" w:lineRule="auto"/>
        <w:ind w:firstLine="0" w:firstLineChars="0"/>
        <w:jc w:val="center"/>
        <w:rPr>
          <w:rFonts w:ascii="Times New Roman" w:hAnsi="Times New Roman" w:eastAsia="黑体" w:cs="Times New Roman"/>
          <w:b/>
          <w:kern w:val="0"/>
          <w:sz w:val="50"/>
          <w:szCs w:val="50"/>
          <w:lang w:bidi="en-US"/>
        </w:rPr>
      </w:pPr>
    </w:p>
    <w:p w14:paraId="70116FA4">
      <w:pPr>
        <w:spacing w:line="480" w:lineRule="auto"/>
        <w:ind w:firstLine="0" w:firstLineChars="0"/>
        <w:jc w:val="center"/>
        <w:rPr>
          <w:rFonts w:ascii="Times New Roman" w:hAnsi="Times New Roman" w:eastAsia="黑体" w:cs="Times New Roman"/>
          <w:b/>
          <w:kern w:val="0"/>
          <w:sz w:val="50"/>
          <w:szCs w:val="50"/>
          <w:lang w:bidi="en-US"/>
        </w:rPr>
      </w:pPr>
    </w:p>
    <w:p w14:paraId="57271E8F">
      <w:pPr>
        <w:spacing w:line="480" w:lineRule="auto"/>
        <w:ind w:firstLine="0" w:firstLineChars="0"/>
        <w:jc w:val="center"/>
        <w:rPr>
          <w:rFonts w:ascii="Times New Roman" w:hAnsi="Times New Roman" w:eastAsia="黑体" w:cs="Times New Roman"/>
          <w:b/>
          <w:kern w:val="0"/>
          <w:sz w:val="50"/>
          <w:szCs w:val="50"/>
          <w:lang w:bidi="en-US"/>
        </w:rPr>
      </w:pPr>
    </w:p>
    <w:p w14:paraId="2010A60F">
      <w:pPr>
        <w:spacing w:line="480" w:lineRule="auto"/>
        <w:ind w:firstLine="0" w:firstLineChars="0"/>
        <w:jc w:val="left"/>
        <w:rPr>
          <w:rFonts w:ascii="Times New Roman" w:hAnsi="Times New Roman" w:eastAsia="黑体" w:cs="Times New Roman"/>
          <w:kern w:val="0"/>
          <w:sz w:val="32"/>
          <w:szCs w:val="32"/>
          <w:lang w:bidi="en-US"/>
        </w:rPr>
      </w:pPr>
    </w:p>
    <w:p w14:paraId="07026F4E">
      <w:pPr>
        <w:spacing w:line="480" w:lineRule="auto"/>
        <w:ind w:firstLine="1600" w:firstLineChars="500"/>
        <w:jc w:val="left"/>
        <w:rPr>
          <w:rFonts w:ascii="Times New Roman" w:hAnsi="Times New Roman" w:eastAsia="黑体" w:cs="Times New Roman"/>
          <w:kern w:val="0"/>
          <w:sz w:val="32"/>
          <w:szCs w:val="32"/>
          <w:lang w:bidi="en-US"/>
        </w:rPr>
      </w:pPr>
      <w:r>
        <w:rPr>
          <w:rFonts w:ascii="Times New Roman" w:hAnsi="Times New Roman" w:eastAsia="黑体" w:cs="Times New Roman"/>
          <w:kern w:val="0"/>
          <w:sz w:val="32"/>
          <w:szCs w:val="32"/>
          <w:lang w:bidi="en-US"/>
        </w:rPr>
        <w:t>项目名称：</w:t>
      </w:r>
      <w:r>
        <w:rPr>
          <w:rFonts w:hint="eastAsia" w:ascii="Times New Roman" w:hAnsi="Times New Roman" w:eastAsia="黑体" w:cs="Times New Roman"/>
          <w:kern w:val="0"/>
          <w:sz w:val="32"/>
          <w:szCs w:val="32"/>
          <w:lang w:bidi="en-US"/>
        </w:rPr>
        <w:t>乌财行【2022】199号关于提前下达2023年中央政法纪检监察转移支付资金预算的通知</w:t>
      </w:r>
    </w:p>
    <w:p w14:paraId="4B8BFADC">
      <w:pPr>
        <w:spacing w:line="480" w:lineRule="auto"/>
        <w:ind w:firstLine="1600" w:firstLineChars="500"/>
        <w:jc w:val="left"/>
        <w:rPr>
          <w:rFonts w:ascii="Times New Roman" w:hAnsi="Times New Roman" w:eastAsia="黑体" w:cs="Times New Roman"/>
          <w:kern w:val="0"/>
          <w:sz w:val="32"/>
          <w:szCs w:val="32"/>
          <w:lang w:bidi="en-US"/>
        </w:rPr>
      </w:pPr>
      <w:r>
        <w:rPr>
          <w:rFonts w:ascii="Times New Roman" w:hAnsi="Times New Roman" w:eastAsia="黑体" w:cs="Times New Roman"/>
          <w:kern w:val="0"/>
          <w:sz w:val="32"/>
          <w:szCs w:val="32"/>
          <w:lang w:bidi="en-US"/>
        </w:rPr>
        <w:t>项目单位：</w:t>
      </w:r>
      <w:r>
        <w:rPr>
          <w:rFonts w:hint="eastAsia" w:ascii="Times New Roman" w:hAnsi="Times New Roman" w:eastAsia="黑体" w:cs="Times New Roman"/>
          <w:kern w:val="0"/>
          <w:sz w:val="32"/>
          <w:szCs w:val="32"/>
          <w:lang w:bidi="en-US"/>
        </w:rPr>
        <w:t>乌鲁木齐市公安局水磨沟区分局</w:t>
      </w:r>
    </w:p>
    <w:p w14:paraId="39301F0B">
      <w:pPr>
        <w:spacing w:line="480" w:lineRule="auto"/>
        <w:ind w:firstLine="1600" w:firstLineChars="500"/>
        <w:jc w:val="left"/>
        <w:rPr>
          <w:rFonts w:ascii="Times New Roman" w:hAnsi="Times New Roman" w:eastAsia="黑体" w:cs="Times New Roman"/>
          <w:kern w:val="0"/>
          <w:sz w:val="32"/>
          <w:szCs w:val="32"/>
          <w:lang w:bidi="en-US"/>
        </w:rPr>
      </w:pPr>
      <w:r>
        <w:rPr>
          <w:rFonts w:ascii="Times New Roman" w:hAnsi="Times New Roman" w:eastAsia="黑体" w:cs="Times New Roman"/>
          <w:kern w:val="0"/>
          <w:sz w:val="32"/>
          <w:szCs w:val="32"/>
          <w:lang w:bidi="en-US"/>
        </w:rPr>
        <w:t>主管部门：</w:t>
      </w:r>
      <w:r>
        <w:rPr>
          <w:rFonts w:hint="eastAsia" w:ascii="Times New Roman" w:hAnsi="Times New Roman" w:eastAsia="黑体" w:cs="Times New Roman"/>
          <w:kern w:val="0"/>
          <w:sz w:val="32"/>
          <w:szCs w:val="32"/>
          <w:lang w:bidi="en-US"/>
        </w:rPr>
        <w:t>乌鲁木齐市公安局</w:t>
      </w:r>
    </w:p>
    <w:p w14:paraId="3991DE80">
      <w:pPr>
        <w:spacing w:line="480" w:lineRule="auto"/>
        <w:ind w:firstLine="1411" w:firstLineChars="441"/>
        <w:jc w:val="left"/>
        <w:rPr>
          <w:rFonts w:ascii="Times New Roman" w:hAnsi="Times New Roman" w:cs="Times New Roman"/>
          <w:kern w:val="0"/>
          <w:sz w:val="32"/>
          <w:szCs w:val="32"/>
          <w:lang w:bidi="en-US"/>
        </w:rPr>
      </w:pPr>
    </w:p>
    <w:p w14:paraId="5D4559BB">
      <w:pPr>
        <w:spacing w:line="480" w:lineRule="auto"/>
        <w:ind w:firstLine="0" w:firstLineChars="0"/>
        <w:rPr>
          <w:rFonts w:ascii="Times New Roman" w:hAnsi="Times New Roman" w:cs="Times New Roman"/>
          <w:kern w:val="0"/>
          <w:sz w:val="32"/>
          <w:szCs w:val="32"/>
          <w:lang w:bidi="en-US"/>
        </w:rPr>
      </w:pPr>
    </w:p>
    <w:p w14:paraId="4696C924">
      <w:pPr>
        <w:spacing w:line="480" w:lineRule="auto"/>
        <w:ind w:firstLine="0" w:firstLineChars="0"/>
        <w:rPr>
          <w:rFonts w:ascii="Times New Roman" w:hAnsi="Times New Roman" w:eastAsia="黑体" w:cs="Times New Roman"/>
          <w:b/>
          <w:kern w:val="0"/>
          <w:sz w:val="32"/>
          <w:szCs w:val="32"/>
          <w:lang w:bidi="en-US"/>
        </w:rPr>
      </w:pPr>
    </w:p>
    <w:p w14:paraId="3E7D9B37">
      <w:pPr>
        <w:spacing w:line="480" w:lineRule="auto"/>
        <w:ind w:firstLine="0" w:firstLineChars="0"/>
        <w:jc w:val="center"/>
        <w:rPr>
          <w:rFonts w:ascii="Times New Roman" w:hAnsi="Times New Roman" w:eastAsia="黑体" w:cs="Times New Roman"/>
          <w:kern w:val="0"/>
          <w:sz w:val="32"/>
          <w:szCs w:val="32"/>
          <w:lang w:bidi="en-US"/>
        </w:rPr>
      </w:pPr>
      <w:r>
        <w:rPr>
          <w:rFonts w:ascii="Times New Roman" w:hAnsi="Times New Roman" w:eastAsia="黑体" w:cs="Times New Roman"/>
          <w:kern w:val="0"/>
          <w:sz w:val="32"/>
          <w:szCs w:val="32"/>
          <w:lang w:bidi="en-US"/>
        </w:rPr>
        <w:t>2023年04月</w:t>
      </w:r>
    </w:p>
    <w:sdt>
      <w:sdtPr>
        <w:rPr>
          <w:rFonts w:ascii="Times New Roman" w:hAnsi="Times New Roman" w:cs="Times New Roman"/>
          <w:lang w:val="zh-CN"/>
        </w:rPr>
        <w:id w:val="-1822651860"/>
        <w:docPartObj>
          <w:docPartGallery w:val="Table of Contents"/>
          <w:docPartUnique/>
        </w:docPartObj>
      </w:sdtPr>
      <w:sdtEndPr>
        <w:rPr>
          <w:rFonts w:ascii="Times New Roman" w:hAnsi="Times New Roman" w:cs="Times New Roman"/>
          <w:b/>
          <w:bCs/>
          <w:lang w:val="zh-CN"/>
        </w:rPr>
      </w:sdtEndPr>
      <w:sdtContent>
        <w:p w14:paraId="044C6030">
          <w:pPr>
            <w:spacing w:line="560" w:lineRule="exact"/>
            <w:ind w:firstLine="560"/>
            <w:jc w:val="center"/>
            <w:rPr>
              <w:rFonts w:ascii="Times New Roman" w:hAnsi="Times New Roman" w:eastAsia="方正小标宋简体" w:cs="Times New Roman"/>
              <w:b/>
              <w:color w:val="000000"/>
              <w:kern w:val="0"/>
              <w:sz w:val="44"/>
              <w:szCs w:val="44"/>
            </w:rPr>
          </w:pPr>
          <w:r>
            <w:rPr>
              <w:rFonts w:hint="eastAsia" w:ascii="Times New Roman" w:hAnsi="Times New Roman" w:eastAsia="方正小标宋简体" w:cs="Times New Roman"/>
              <w:b/>
              <w:color w:val="000000"/>
              <w:kern w:val="0"/>
              <w:sz w:val="44"/>
              <w:szCs w:val="44"/>
            </w:rPr>
            <w:t>目录</w:t>
          </w:r>
        </w:p>
        <w:p w14:paraId="60F48D16">
          <w:pPr>
            <w:pStyle w:val="11"/>
            <w:tabs>
              <w:tab w:val="right" w:leader="dot" w:pos="8306"/>
            </w:tabs>
            <w:spacing w:line="560" w:lineRule="exact"/>
            <w:ind w:firstLine="640"/>
            <w:rPr>
              <w:rFonts w:ascii="仿宋_GB2312" w:hAnsi="仿宋_GB2312" w:cs="仿宋_GB2312"/>
              <w:sz w:val="32"/>
              <w:szCs w:val="32"/>
            </w:rPr>
          </w:pP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TOC \o "1-3" \h \z \u </w:instrText>
          </w:r>
          <w:r>
            <w:rPr>
              <w:rFonts w:hint="eastAsia" w:ascii="仿宋_GB2312" w:hAnsi="仿宋_GB2312" w:cs="仿宋_GB2312"/>
              <w:sz w:val="32"/>
              <w:szCs w:val="32"/>
            </w:rPr>
            <w:fldChar w:fldCharType="separate"/>
          </w:r>
          <w:r>
            <w:fldChar w:fldCharType="begin"/>
          </w:r>
          <w:r>
            <w:instrText xml:space="preserve"> HYPERLINK \l "_Toc8841" </w:instrText>
          </w:r>
          <w:r>
            <w:fldChar w:fldCharType="separate"/>
          </w:r>
          <w:r>
            <w:rPr>
              <w:rFonts w:hint="eastAsia" w:ascii="仿宋_GB2312" w:hAnsi="仿宋_GB2312" w:cs="仿宋_GB2312"/>
              <w:sz w:val="32"/>
              <w:szCs w:val="32"/>
            </w:rPr>
            <w:t>一、基本情况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_Toc8841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520EA806">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"_Toc22935" </w:instrText>
          </w:r>
          <w:r>
            <w:fldChar w:fldCharType="separate"/>
          </w:r>
          <w:r>
            <w:rPr>
              <w:rFonts w:hint="eastAsia" w:ascii="仿宋_GB2312" w:hAnsi="仿宋_GB2312" w:cs="仿宋_GB2312"/>
              <w:sz w:val="32"/>
              <w:szCs w:val="32"/>
            </w:rPr>
            <w:t>（一）项目概况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_Toc22935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746D7A1">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"_Toc15068" </w:instrText>
          </w:r>
          <w:r>
            <w:fldChar w:fldCharType="separate"/>
          </w:r>
          <w:r>
            <w:rPr>
              <w:rFonts w:hint="eastAsia" w:ascii="仿宋_GB2312" w:hAnsi="仿宋_GB2312" w:cs="仿宋_GB2312"/>
              <w:sz w:val="32"/>
              <w:szCs w:val="32"/>
            </w:rPr>
            <w:t>1. 项目背景、主要内容及实施情况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_Toc15068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646E2901">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"_Toc32047" </w:instrText>
          </w:r>
          <w:r>
            <w:fldChar w:fldCharType="separate"/>
          </w:r>
          <w:r>
            <w:rPr>
              <w:rFonts w:hint="eastAsia" w:ascii="仿宋_GB2312" w:hAnsi="仿宋_GB2312" w:cs="仿宋_GB2312"/>
              <w:sz w:val="32"/>
              <w:szCs w:val="32"/>
            </w:rPr>
            <w:t>2. 资金投入和使用情况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_Toc32047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34A522AE">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"_Toc22403" </w:instrText>
          </w:r>
          <w:r>
            <w:fldChar w:fldCharType="separate"/>
          </w:r>
          <w:r>
            <w:rPr>
              <w:rFonts w:hint="eastAsia" w:ascii="仿宋_GB2312" w:hAnsi="仿宋_GB2312" w:cs="仿宋_GB2312"/>
              <w:sz w:val="32"/>
              <w:szCs w:val="32"/>
            </w:rPr>
            <w:t>（二）项目绩效目标</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_Toc22403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F9ACB30">
          <w:pPr>
            <w:pStyle w:val="11"/>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"_Toc10640" </w:instrText>
          </w:r>
          <w:r>
            <w:fldChar w:fldCharType="separate"/>
          </w:r>
          <w:r>
            <w:rPr>
              <w:rFonts w:hint="eastAsia" w:ascii="仿宋_GB2312" w:hAnsi="仿宋_GB2312" w:cs="仿宋_GB2312"/>
              <w:sz w:val="32"/>
              <w:szCs w:val="32"/>
            </w:rPr>
            <w:t>二、绩效评价工作开展情况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_Toc10640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2FD70009">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"_Toc379" </w:instrText>
          </w:r>
          <w:r>
            <w:fldChar w:fldCharType="separate"/>
          </w:r>
          <w:r>
            <w:rPr>
              <w:rFonts w:hint="eastAsia" w:ascii="仿宋_GB2312" w:hAnsi="仿宋_GB2312" w:cs="仿宋_GB2312"/>
              <w:sz w:val="32"/>
              <w:szCs w:val="32"/>
            </w:rPr>
            <w:t>（一）绩效评价目的、对象和范围</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_Toc379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4FDEBAE">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"_Toc31735" </w:instrText>
          </w:r>
          <w:r>
            <w:fldChar w:fldCharType="separate"/>
          </w:r>
          <w:r>
            <w:rPr>
              <w:rFonts w:hint="eastAsia" w:ascii="仿宋_GB2312" w:hAnsi="仿宋_GB2312" w:cs="仿宋_GB2312"/>
              <w:sz w:val="32"/>
              <w:szCs w:val="32"/>
            </w:rPr>
            <w:t>1. 绩效评价完整性</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_Toc31735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2</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20D66744">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"_Toc120" </w:instrText>
          </w:r>
          <w:r>
            <w:fldChar w:fldCharType="separate"/>
          </w:r>
          <w:r>
            <w:rPr>
              <w:rFonts w:hint="eastAsia" w:ascii="仿宋_GB2312" w:hAnsi="仿宋_GB2312" w:cs="仿宋_GB2312"/>
              <w:sz w:val="32"/>
              <w:szCs w:val="32"/>
            </w:rPr>
            <w:t>2. 评价目的</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_Toc120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6B40FE22">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"_Toc26380" </w:instrText>
          </w:r>
          <w:r>
            <w:fldChar w:fldCharType="separate"/>
          </w:r>
          <w:r>
            <w:rPr>
              <w:rFonts w:hint="eastAsia" w:ascii="仿宋_GB2312" w:hAnsi="仿宋_GB2312" w:cs="仿宋_GB2312"/>
              <w:sz w:val="32"/>
              <w:szCs w:val="32"/>
            </w:rPr>
            <w:t>3. 评价对象</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_Toc26380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D1CCF9D">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"_Toc10044" </w:instrText>
          </w:r>
          <w:r>
            <w:fldChar w:fldCharType="separate"/>
          </w:r>
          <w:r>
            <w:rPr>
              <w:rFonts w:hint="eastAsia" w:ascii="仿宋_GB2312" w:hAnsi="仿宋_GB2312" w:cs="仿宋_GB2312"/>
              <w:sz w:val="32"/>
              <w:szCs w:val="32"/>
            </w:rPr>
            <w:t>4. 绩效评价范围</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_Toc10044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2D8DD06B">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"_Toc23125" </w:instrText>
          </w:r>
          <w:r>
            <w:fldChar w:fldCharType="separate"/>
          </w:r>
          <w:r>
            <w:rPr>
              <w:rFonts w:hint="eastAsia" w:ascii="仿宋_GB2312" w:hAnsi="仿宋_GB2312" w:cs="仿宋_GB2312"/>
              <w:sz w:val="32"/>
              <w:szCs w:val="32"/>
            </w:rPr>
            <w:t>（二）绩效评价原则、指标体系、方法及标准</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_Toc23125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2D54A1B">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"_Toc14270" </w:instrText>
          </w:r>
          <w:r>
            <w:fldChar w:fldCharType="separate"/>
          </w:r>
          <w:r>
            <w:rPr>
              <w:rFonts w:hint="eastAsia" w:ascii="仿宋_GB2312" w:hAnsi="仿宋_GB2312" w:cs="仿宋_GB2312"/>
              <w:sz w:val="32"/>
              <w:szCs w:val="32"/>
            </w:rPr>
            <w:t>1. 评价原则</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_Toc14270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079F7BB">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"_Toc1619" </w:instrText>
          </w:r>
          <w:r>
            <w:fldChar w:fldCharType="separate"/>
          </w:r>
          <w:r>
            <w:rPr>
              <w:rFonts w:hint="eastAsia" w:ascii="仿宋_GB2312" w:hAnsi="仿宋_GB2312" w:cs="仿宋_GB2312"/>
              <w:sz w:val="32"/>
              <w:szCs w:val="32"/>
            </w:rPr>
            <w:t>2. 评价指标体系</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_Toc1619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365930B0">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"_Toc17754" </w:instrText>
          </w:r>
          <w:r>
            <w:fldChar w:fldCharType="separate"/>
          </w:r>
          <w:r>
            <w:rPr>
              <w:rFonts w:hint="eastAsia" w:ascii="仿宋_GB2312" w:hAnsi="仿宋_GB2312" w:cs="仿宋_GB2312"/>
              <w:sz w:val="32"/>
              <w:szCs w:val="32"/>
            </w:rPr>
            <w:t>3. 评价方法</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_Toc17754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A8A8242">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"_Toc10851" </w:instrText>
          </w:r>
          <w:r>
            <w:fldChar w:fldCharType="separate"/>
          </w:r>
          <w:r>
            <w:rPr>
              <w:rFonts w:hint="eastAsia" w:ascii="仿宋_GB2312" w:hAnsi="仿宋_GB2312" w:cs="仿宋_GB2312"/>
              <w:sz w:val="32"/>
              <w:szCs w:val="32"/>
            </w:rPr>
            <w:t>4. 评价标准</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_Toc10851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11</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729B10B">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"_Toc28061" </w:instrText>
          </w:r>
          <w:r>
            <w:fldChar w:fldCharType="separate"/>
          </w:r>
          <w:r>
            <w:rPr>
              <w:rFonts w:hint="eastAsia" w:ascii="仿宋_GB2312" w:hAnsi="仿宋_GB2312" w:cs="仿宋_GB2312"/>
              <w:sz w:val="32"/>
              <w:szCs w:val="32"/>
            </w:rPr>
            <w:t>（三）绩效评价工作过程</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_Toc28061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12</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6B6CC736">
          <w:pPr>
            <w:pStyle w:val="11"/>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"_Toc735" </w:instrText>
          </w:r>
          <w:r>
            <w:fldChar w:fldCharType="separate"/>
          </w:r>
          <w:r>
            <w:rPr>
              <w:rFonts w:hint="eastAsia" w:ascii="仿宋_GB2312" w:hAnsi="仿宋_GB2312" w:cs="仿宋_GB2312"/>
              <w:spacing w:val="8"/>
              <w:kern w:val="0"/>
              <w:sz w:val="32"/>
              <w:szCs w:val="32"/>
            </w:rPr>
            <w:t>三、综合评价情况及评价结论</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_Toc735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29E12351">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"_Toc17524" </w:instrText>
          </w:r>
          <w:r>
            <w:fldChar w:fldCharType="separate"/>
          </w:r>
          <w:r>
            <w:rPr>
              <w:rFonts w:hint="eastAsia" w:ascii="仿宋_GB2312" w:hAnsi="仿宋_GB2312" w:cs="仿宋_GB2312"/>
              <w:bCs/>
              <w:kern w:val="0"/>
              <w:sz w:val="32"/>
              <w:szCs w:val="32"/>
            </w:rPr>
            <w:t>（一）评价结论</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_Toc17524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13</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C0E5BDF">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"_Toc24854" </w:instrText>
          </w:r>
          <w:r>
            <w:fldChar w:fldCharType="separate"/>
          </w:r>
          <w:r>
            <w:rPr>
              <w:rFonts w:hint="eastAsia" w:ascii="仿宋_GB2312" w:hAnsi="仿宋_GB2312" w:cs="仿宋_GB2312"/>
              <w:bCs/>
              <w:kern w:val="0"/>
              <w:sz w:val="32"/>
              <w:szCs w:val="32"/>
            </w:rPr>
            <w:t>（二）主要绩效</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_Toc24854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1651A03">
          <w:pPr>
            <w:pStyle w:val="11"/>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"_Toc30399" </w:instrText>
          </w:r>
          <w:r>
            <w:fldChar w:fldCharType="separate"/>
          </w:r>
          <w:r>
            <w:rPr>
              <w:rFonts w:hint="eastAsia" w:ascii="仿宋_GB2312" w:hAnsi="仿宋_GB2312" w:cs="仿宋_GB2312"/>
              <w:spacing w:val="8"/>
              <w:kern w:val="0"/>
              <w:sz w:val="32"/>
              <w:szCs w:val="32"/>
            </w:rPr>
            <w:t>四、绩效评价指标分析</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_Toc30399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B90869E">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"_Toc1030" </w:instrText>
          </w:r>
          <w:r>
            <w:fldChar w:fldCharType="separate"/>
          </w:r>
          <w:r>
            <w:rPr>
              <w:rFonts w:hint="eastAsia" w:ascii="仿宋_GB2312" w:hAnsi="仿宋_GB2312" w:cs="仿宋_GB2312"/>
              <w:bCs/>
              <w:kern w:val="0"/>
              <w:sz w:val="32"/>
              <w:szCs w:val="32"/>
            </w:rPr>
            <w:t>（一）项目决策情况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_Toc1030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313C9A5F">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"_Toc32411" </w:instrText>
          </w:r>
          <w:r>
            <w:fldChar w:fldCharType="separate"/>
          </w:r>
          <w:r>
            <w:rPr>
              <w:rFonts w:hint="eastAsia" w:ascii="仿宋_GB2312" w:hAnsi="仿宋_GB2312" w:cs="仿宋_GB2312"/>
              <w:sz w:val="32"/>
              <w:szCs w:val="32"/>
            </w:rPr>
            <w:t>1. 项目立项</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_Toc32411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14</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512EFB4">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"_Toc16395" </w:instrText>
          </w:r>
          <w:r>
            <w:fldChar w:fldCharType="separate"/>
          </w:r>
          <w:r>
            <w:rPr>
              <w:rFonts w:hint="eastAsia" w:ascii="仿宋_GB2312" w:hAnsi="仿宋_GB2312" w:cs="仿宋_GB2312"/>
              <w:sz w:val="32"/>
              <w:szCs w:val="32"/>
            </w:rPr>
            <w:t>2. 绩效目标</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_Toc16395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2B7417A9">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"_Toc24290" </w:instrText>
          </w:r>
          <w:r>
            <w:fldChar w:fldCharType="separate"/>
          </w:r>
          <w:r>
            <w:rPr>
              <w:rFonts w:hint="eastAsia" w:ascii="仿宋_GB2312" w:hAnsi="仿宋_GB2312" w:cs="仿宋_GB2312"/>
              <w:sz w:val="32"/>
              <w:szCs w:val="32"/>
            </w:rPr>
            <w:t>3. 资金投入</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_Toc24290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15</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7FCCE28">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"_Toc13530" </w:instrText>
          </w:r>
          <w:r>
            <w:fldChar w:fldCharType="separate"/>
          </w:r>
          <w:r>
            <w:rPr>
              <w:rFonts w:hint="eastAsia" w:ascii="仿宋_GB2312" w:hAnsi="仿宋_GB2312" w:cs="仿宋_GB2312"/>
              <w:bCs/>
              <w:kern w:val="0"/>
              <w:sz w:val="32"/>
              <w:szCs w:val="32"/>
            </w:rPr>
            <w:t>（二）项目过程情况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_Toc13530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56381B95">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"_Toc18346" </w:instrText>
          </w:r>
          <w:r>
            <w:fldChar w:fldCharType="separate"/>
          </w:r>
          <w:r>
            <w:rPr>
              <w:rFonts w:hint="eastAsia" w:ascii="仿宋_GB2312" w:hAnsi="仿宋_GB2312" w:cs="仿宋_GB2312"/>
              <w:sz w:val="32"/>
              <w:szCs w:val="32"/>
            </w:rPr>
            <w:t>1. 资金管理</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_Toc18346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626F2C6D">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"_Toc3203" </w:instrText>
          </w:r>
          <w:r>
            <w:fldChar w:fldCharType="separate"/>
          </w:r>
          <w:r>
            <w:rPr>
              <w:rFonts w:hint="eastAsia" w:ascii="仿宋_GB2312" w:hAnsi="仿宋_GB2312" w:cs="仿宋_GB2312"/>
              <w:sz w:val="32"/>
              <w:szCs w:val="32"/>
            </w:rPr>
            <w:t>2. 组织实施</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_Toc3203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16</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7E064684">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"_Toc21456" </w:instrText>
          </w:r>
          <w:r>
            <w:fldChar w:fldCharType="separate"/>
          </w:r>
          <w:r>
            <w:rPr>
              <w:rFonts w:hint="eastAsia" w:ascii="仿宋_GB2312" w:hAnsi="仿宋_GB2312" w:cs="仿宋_GB2312"/>
              <w:bCs/>
              <w:kern w:val="0"/>
              <w:sz w:val="32"/>
              <w:szCs w:val="32"/>
            </w:rPr>
            <w:t>（三）项目产出情况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_Toc21456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17</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5E66B04">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"_Toc21326" </w:instrText>
          </w:r>
          <w:r>
            <w:fldChar w:fldCharType="separate"/>
          </w:r>
          <w:r>
            <w:rPr>
              <w:rFonts w:hint="eastAsia" w:ascii="仿宋_GB2312" w:hAnsi="仿宋_GB2312" w:cs="仿宋_GB2312"/>
              <w:sz w:val="32"/>
              <w:szCs w:val="32"/>
            </w:rPr>
            <w:t>1. 产出数量</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_Toc21326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17</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500E822">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"_Toc20437" </w:instrText>
          </w:r>
          <w:r>
            <w:fldChar w:fldCharType="separate"/>
          </w:r>
          <w:r>
            <w:rPr>
              <w:rFonts w:hint="eastAsia" w:ascii="仿宋_GB2312" w:hAnsi="仿宋_GB2312" w:cs="仿宋_GB2312"/>
              <w:sz w:val="32"/>
              <w:szCs w:val="32"/>
            </w:rPr>
            <w:t>2. 产出质量</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_Toc20437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17</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B7B8B66">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"_Toc14252" </w:instrText>
          </w:r>
          <w:r>
            <w:fldChar w:fldCharType="separate"/>
          </w:r>
          <w:r>
            <w:rPr>
              <w:rFonts w:hint="eastAsia" w:ascii="仿宋_GB2312" w:hAnsi="仿宋_GB2312" w:cs="仿宋_GB2312"/>
              <w:sz w:val="32"/>
              <w:szCs w:val="32"/>
            </w:rPr>
            <w:t>3. 产出时效</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_Toc14252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17</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3DB46457">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"_Toc15505" </w:instrText>
          </w:r>
          <w:r>
            <w:fldChar w:fldCharType="separate"/>
          </w:r>
          <w:r>
            <w:rPr>
              <w:rFonts w:hint="eastAsia" w:ascii="仿宋_GB2312" w:hAnsi="仿宋_GB2312" w:cs="仿宋_GB2312"/>
              <w:sz w:val="32"/>
              <w:szCs w:val="32"/>
            </w:rPr>
            <w:t>4. 产出成本</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_Toc15505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17</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29021DDE">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"_Toc15002" </w:instrText>
          </w:r>
          <w:r>
            <w:fldChar w:fldCharType="separate"/>
          </w:r>
          <w:r>
            <w:rPr>
              <w:rFonts w:hint="eastAsia" w:ascii="仿宋_GB2312" w:hAnsi="仿宋_GB2312" w:cs="仿宋_GB2312"/>
              <w:bCs/>
              <w:kern w:val="0"/>
              <w:sz w:val="32"/>
              <w:szCs w:val="32"/>
            </w:rPr>
            <w:t>（四）项目效益情况</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_Toc15002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17</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017E4BA7">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"_Toc5253" </w:instrText>
          </w:r>
          <w:r>
            <w:fldChar w:fldCharType="separate"/>
          </w:r>
          <w:r>
            <w:rPr>
              <w:rFonts w:hint="eastAsia" w:ascii="仿宋_GB2312" w:hAnsi="仿宋_GB2312" w:cs="仿宋_GB2312"/>
              <w:sz w:val="32"/>
              <w:szCs w:val="32"/>
            </w:rPr>
            <w:t>1. 项目效益</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_Toc5253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18</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6C040BC4">
          <w:pPr>
            <w:pStyle w:val="6"/>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"_Toc23586" </w:instrText>
          </w:r>
          <w:r>
            <w:fldChar w:fldCharType="separate"/>
          </w:r>
          <w:r>
            <w:rPr>
              <w:rFonts w:hint="eastAsia" w:ascii="仿宋_GB2312" w:hAnsi="仿宋_GB2312" w:cs="仿宋_GB2312"/>
              <w:sz w:val="32"/>
              <w:szCs w:val="32"/>
            </w:rPr>
            <w:t>2. 满意度指标完成情况分析</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_Toc23586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18</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7D21CEA9">
          <w:pPr>
            <w:pStyle w:val="11"/>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"_Toc20703" </w:instrText>
          </w:r>
          <w:r>
            <w:fldChar w:fldCharType="separate"/>
          </w:r>
          <w:r>
            <w:rPr>
              <w:rFonts w:hint="eastAsia" w:ascii="仿宋_GB2312" w:hAnsi="仿宋_GB2312" w:cs="仿宋_GB2312"/>
              <w:spacing w:val="8"/>
              <w:kern w:val="0"/>
              <w:sz w:val="32"/>
              <w:szCs w:val="32"/>
            </w:rPr>
            <w:t>五、主要经验及做法、存在的问题及原因分析</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_Toc20703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18</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CE445DA">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"_Toc27872" </w:instrText>
          </w:r>
          <w:r>
            <w:fldChar w:fldCharType="separate"/>
          </w:r>
          <w:r>
            <w:rPr>
              <w:rFonts w:hint="eastAsia" w:ascii="仿宋_GB2312" w:hAnsi="仿宋_GB2312" w:cs="仿宋_GB2312"/>
              <w:bCs/>
              <w:kern w:val="0"/>
              <w:sz w:val="32"/>
              <w:szCs w:val="32"/>
            </w:rPr>
            <w:t>（一）主要经验及做法</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_Toc27872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18</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157F2CD7">
          <w:pPr>
            <w:pStyle w:val="13"/>
            <w:tabs>
              <w:tab w:val="right" w:leader="dot" w:pos="8306"/>
            </w:tabs>
            <w:spacing w:line="560" w:lineRule="exact"/>
            <w:ind w:left="0" w:leftChars="0" w:firstLine="560"/>
            <w:rPr>
              <w:rFonts w:ascii="仿宋_GB2312" w:hAnsi="仿宋_GB2312" w:cs="仿宋_GB2312"/>
              <w:sz w:val="32"/>
              <w:szCs w:val="32"/>
            </w:rPr>
          </w:pPr>
          <w:r>
            <w:fldChar w:fldCharType="begin"/>
          </w:r>
          <w:r>
            <w:instrText xml:space="preserve"> HYPERLINK \l "_Toc21348" </w:instrText>
          </w:r>
          <w:r>
            <w:fldChar w:fldCharType="separate"/>
          </w:r>
          <w:r>
            <w:rPr>
              <w:rFonts w:hint="eastAsia" w:ascii="仿宋_GB2312" w:hAnsi="仿宋_GB2312" w:cs="仿宋_GB2312"/>
              <w:bCs/>
              <w:kern w:val="0"/>
              <w:sz w:val="32"/>
              <w:szCs w:val="32"/>
            </w:rPr>
            <w:t>（二）存在的问题及原因分析</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_Toc21348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18</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3D4385BA">
          <w:pPr>
            <w:pStyle w:val="11"/>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"_Toc13493" </w:instrText>
          </w:r>
          <w:r>
            <w:fldChar w:fldCharType="separate"/>
          </w:r>
          <w:r>
            <w:rPr>
              <w:rFonts w:hint="eastAsia" w:ascii="仿宋_GB2312" w:hAnsi="仿宋_GB2312" w:cs="仿宋_GB2312"/>
              <w:spacing w:val="8"/>
              <w:kern w:val="0"/>
              <w:sz w:val="32"/>
              <w:szCs w:val="32"/>
            </w:rPr>
            <w:t>六、有关建议</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_Toc13493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19</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647DD5AF">
          <w:pPr>
            <w:pStyle w:val="11"/>
            <w:tabs>
              <w:tab w:val="right" w:leader="dot" w:pos="8306"/>
            </w:tabs>
            <w:spacing w:line="560" w:lineRule="exact"/>
            <w:ind w:firstLine="560"/>
            <w:rPr>
              <w:rFonts w:ascii="仿宋_GB2312" w:hAnsi="仿宋_GB2312" w:cs="仿宋_GB2312"/>
              <w:sz w:val="32"/>
              <w:szCs w:val="32"/>
            </w:rPr>
          </w:pPr>
          <w:r>
            <w:fldChar w:fldCharType="begin"/>
          </w:r>
          <w:r>
            <w:instrText xml:space="preserve"> HYPERLINK \l "_Toc17626" </w:instrText>
          </w:r>
          <w:r>
            <w:fldChar w:fldCharType="separate"/>
          </w:r>
          <w:r>
            <w:rPr>
              <w:rFonts w:hint="eastAsia" w:ascii="仿宋_GB2312" w:hAnsi="仿宋_GB2312" w:cs="仿宋_GB2312"/>
              <w:spacing w:val="8"/>
              <w:kern w:val="0"/>
              <w:sz w:val="32"/>
              <w:szCs w:val="32"/>
            </w:rPr>
            <w:t>七、其他需要说明的问题</w:t>
          </w:r>
          <w:r>
            <w:rPr>
              <w:rFonts w:hint="eastAsia" w:ascii="仿宋_GB2312" w:hAnsi="仿宋_GB2312" w:cs="仿宋_GB2312"/>
              <w:sz w:val="32"/>
              <w:szCs w:val="32"/>
            </w:rPr>
            <w:tab/>
          </w: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PAGEREF _Toc17626 </w:instrText>
          </w:r>
          <w:r>
            <w:rPr>
              <w:rFonts w:hint="eastAsia" w:ascii="仿宋_GB2312" w:hAnsi="仿宋_GB2312" w:cs="仿宋_GB2312"/>
              <w:sz w:val="32"/>
              <w:szCs w:val="32"/>
            </w:rPr>
            <w:fldChar w:fldCharType="separate"/>
          </w:r>
          <w:r>
            <w:rPr>
              <w:rFonts w:hint="eastAsia" w:ascii="仿宋_GB2312" w:hAnsi="仿宋_GB2312" w:cs="仿宋_GB2312"/>
              <w:sz w:val="32"/>
              <w:szCs w:val="32"/>
            </w:rPr>
            <w:t>19</w:t>
          </w:r>
          <w:r>
            <w:rPr>
              <w:rFonts w:hint="eastAsia" w:ascii="仿宋_GB2312" w:hAnsi="仿宋_GB2312" w:cs="仿宋_GB2312"/>
              <w:sz w:val="32"/>
              <w:szCs w:val="32"/>
            </w:rPr>
            <w:fldChar w:fldCharType="end"/>
          </w:r>
          <w:r>
            <w:rPr>
              <w:rFonts w:hint="eastAsia" w:ascii="仿宋_GB2312" w:hAnsi="仿宋_GB2312" w:cs="仿宋_GB2312"/>
              <w:sz w:val="32"/>
              <w:szCs w:val="32"/>
            </w:rPr>
            <w:fldChar w:fldCharType="end"/>
          </w:r>
        </w:p>
        <w:p w14:paraId="4537D32D">
          <w:pPr>
            <w:spacing w:line="560" w:lineRule="exact"/>
            <w:ind w:firstLine="640"/>
            <w:rPr>
              <w:rFonts w:ascii="Times New Roman" w:hAnsi="Times New Roman" w:cs="Times New Roman"/>
            </w:rPr>
          </w:pPr>
          <w:r>
            <w:rPr>
              <w:rFonts w:hint="eastAsia" w:ascii="仿宋_GB2312" w:hAnsi="仿宋_GB2312" w:cs="仿宋_GB2312"/>
              <w:bCs/>
              <w:sz w:val="32"/>
              <w:szCs w:val="32"/>
              <w:lang w:val="zh-CN"/>
            </w:rPr>
            <w:fldChar w:fldCharType="end"/>
          </w:r>
        </w:p>
      </w:sdtContent>
    </w:sdt>
    <w:p w14:paraId="091F7915">
      <w:pPr>
        <w:ind w:firstLine="598" w:firstLineChars="187"/>
        <w:rPr>
          <w:rFonts w:ascii="Times New Roman" w:hAnsi="Times New Roman" w:cs="Times New Roman"/>
          <w:sz w:val="32"/>
          <w:szCs w:val="32"/>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45E88DA1">
      <w:pPr>
        <w:pStyle w:val="2"/>
        <w:spacing w:before="0" w:after="0" w:line="560" w:lineRule="exact"/>
        <w:ind w:firstLine="640"/>
        <w:jc w:val="left"/>
        <w:rPr>
          <w:rFonts w:ascii="Times New Roman" w:hAnsi="Times New Roman" w:eastAsia="黑体" w:cs="Times New Roman"/>
          <w:b w:val="0"/>
          <w:bCs w:val="0"/>
          <w:kern w:val="2"/>
          <w:sz w:val="32"/>
          <w:szCs w:val="32"/>
        </w:rPr>
      </w:pPr>
      <w:bookmarkStart w:id="0" w:name="_Toc8841"/>
      <w:bookmarkStart w:id="1" w:name="_Toc67911601"/>
      <w:r>
        <w:rPr>
          <w:rFonts w:ascii="Times New Roman" w:hAnsi="Times New Roman" w:eastAsia="黑体" w:cs="Times New Roman"/>
          <w:b w:val="0"/>
          <w:bCs w:val="0"/>
          <w:kern w:val="2"/>
          <w:sz w:val="32"/>
          <w:szCs w:val="32"/>
        </w:rPr>
        <w:t>一、基本情况</w:t>
      </w:r>
      <w:bookmarkEnd w:id="0"/>
      <w:bookmarkEnd w:id="1"/>
    </w:p>
    <w:p w14:paraId="6EB0B799">
      <w:pPr>
        <w:pStyle w:val="3"/>
        <w:spacing w:before="0" w:after="0" w:line="560" w:lineRule="exact"/>
        <w:ind w:firstLine="643"/>
        <w:rPr>
          <w:rFonts w:ascii="Times New Roman" w:hAnsi="Times New Roman" w:eastAsia="楷体" w:cs="Times New Roman"/>
          <w:bCs w:val="0"/>
        </w:rPr>
      </w:pPr>
      <w:bookmarkStart w:id="2" w:name="_Toc22935"/>
      <w:bookmarkStart w:id="3" w:name="_Toc67911602"/>
      <w:r>
        <w:rPr>
          <w:rFonts w:ascii="Times New Roman" w:hAnsi="Times New Roman" w:eastAsia="楷体" w:cs="Times New Roman"/>
          <w:bCs w:val="0"/>
        </w:rPr>
        <w:t>（一）项目概况</w:t>
      </w:r>
      <w:bookmarkEnd w:id="2"/>
      <w:bookmarkEnd w:id="3"/>
    </w:p>
    <w:p w14:paraId="561A6D61">
      <w:pPr>
        <w:pStyle w:val="4"/>
        <w:spacing w:before="0" w:after="0" w:line="560" w:lineRule="exact"/>
        <w:ind w:firstLine="643"/>
        <w:rPr>
          <w:rFonts w:ascii="Times New Roman" w:hAnsi="Times New Roman" w:cs="Times New Roman"/>
        </w:rPr>
      </w:pPr>
      <w:bookmarkStart w:id="4" w:name="_Toc15068"/>
      <w:r>
        <w:rPr>
          <w:rFonts w:ascii="Times New Roman" w:hAnsi="Times New Roman" w:cs="Times New Roman"/>
        </w:rPr>
        <w:t>1. 项目背景、主要内容及实施情况</w:t>
      </w:r>
      <w:bookmarkEnd w:id="4"/>
    </w:p>
    <w:p w14:paraId="5CE45507">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该项目实施背景：</w:t>
      </w:r>
      <w:r>
        <w:rPr>
          <w:rFonts w:hint="eastAsia" w:ascii="Times New Roman" w:hAnsi="Times New Roman" w:cs="Times New Roman"/>
          <w:spacing w:val="8"/>
          <w:sz w:val="32"/>
          <w:szCs w:val="32"/>
        </w:rPr>
        <w:t>根据国务院办公厅印发《关于加强政法经费保障工作的意见》的通知（厅字</w:t>
      </w:r>
      <w:r>
        <w:rPr>
          <w:rFonts w:ascii="Times New Roman" w:hAnsi="Times New Roman" w:cs="Times New Roman"/>
          <w:spacing w:val="8"/>
          <w:sz w:val="32"/>
          <w:szCs w:val="32"/>
        </w:rPr>
        <w:t>〔</w:t>
      </w:r>
      <w:r>
        <w:rPr>
          <w:rFonts w:hint="eastAsia" w:ascii="Times New Roman" w:hAnsi="Times New Roman" w:cs="Times New Roman"/>
          <w:spacing w:val="8"/>
          <w:sz w:val="32"/>
          <w:szCs w:val="32"/>
        </w:rPr>
        <w:t>2009</w:t>
      </w:r>
      <w:r>
        <w:rPr>
          <w:rFonts w:ascii="Times New Roman" w:hAnsi="Times New Roman" w:cs="Times New Roman"/>
          <w:spacing w:val="8"/>
          <w:sz w:val="32"/>
          <w:szCs w:val="32"/>
        </w:rPr>
        <w:t>〕</w:t>
      </w:r>
      <w:r>
        <w:rPr>
          <w:rFonts w:hint="eastAsia" w:ascii="Times New Roman" w:hAnsi="Times New Roman" w:cs="Times New Roman"/>
          <w:spacing w:val="8"/>
          <w:sz w:val="32"/>
          <w:szCs w:val="32"/>
        </w:rPr>
        <w:t>32号）附件《关于加强政法经费保障工作的意见》、《关于加强公安转移支付资金使用管理公的意见》（公通字</w:t>
      </w:r>
      <w:r>
        <w:rPr>
          <w:rFonts w:ascii="Times New Roman" w:hAnsi="Times New Roman" w:cs="Times New Roman"/>
          <w:spacing w:val="8"/>
          <w:sz w:val="32"/>
          <w:szCs w:val="32"/>
        </w:rPr>
        <w:t>〔</w:t>
      </w:r>
      <w:r>
        <w:rPr>
          <w:rFonts w:hint="eastAsia" w:ascii="Times New Roman" w:hAnsi="Times New Roman" w:cs="Times New Roman"/>
          <w:spacing w:val="8"/>
          <w:sz w:val="32"/>
          <w:szCs w:val="32"/>
        </w:rPr>
        <w:t>2010</w:t>
      </w:r>
      <w:r>
        <w:rPr>
          <w:rFonts w:ascii="Times New Roman" w:hAnsi="Times New Roman" w:cs="Times New Roman"/>
          <w:spacing w:val="8"/>
          <w:sz w:val="32"/>
          <w:szCs w:val="32"/>
        </w:rPr>
        <w:t>〕</w:t>
      </w:r>
      <w:r>
        <w:rPr>
          <w:rFonts w:hint="eastAsia" w:ascii="Times New Roman" w:hAnsi="Times New Roman" w:cs="Times New Roman"/>
          <w:spacing w:val="8"/>
          <w:sz w:val="32"/>
          <w:szCs w:val="32"/>
        </w:rPr>
        <w:t>22号）附件《关于加强公安转移支付资金使用管理工作的意见》及《新疆维吾尔自治区基层公安机关公用经费保障标准》等文件要求，充分认识加强政法经费保障工作的重要意义，各级党委和政府从全面落实依法治国、建设社会主义法治国家，建设公正高效权威的社会主义司法制度的高度，充分认识和加强政法经费保障工作的重要性和必要性，增强责任感和紧迫感，切实完善措施、增加投入、强化管理把中央的要求落到实处。</w:t>
      </w:r>
    </w:p>
    <w:p w14:paraId="35C41C1C">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项目2023年的主要实施内容：①</w:t>
      </w:r>
      <w:r>
        <w:rPr>
          <w:rFonts w:hint="eastAsia" w:ascii="Times New Roman" w:hAnsi="Times New Roman" w:cs="Times New Roman"/>
          <w:spacing w:val="8"/>
          <w:sz w:val="32"/>
          <w:szCs w:val="32"/>
        </w:rPr>
        <w:t>中央政法纪检监察转移支付资金中，办案（业务）资金要重点保障涉及国家安全的保卫、反邪教、反恐怖、重大案件侦破、大型活动安保、公安教育训练等所属经费，对于严重影响社会治安稳定的群体性事件处置、严重经济犯罪案件和刑事犯罪案件办理所需经费要优先予以保障,按照“重心下移、保障下倾、投入下沉”的要求，切实加大对派出所等基层所队和一线实战单倾斜力度，确保基层和一线办案（业务）需要</w:t>
      </w:r>
      <w:r>
        <w:rPr>
          <w:rFonts w:ascii="Times New Roman" w:hAnsi="Times New Roman" w:cs="Times New Roman"/>
          <w:spacing w:val="8"/>
          <w:sz w:val="32"/>
          <w:szCs w:val="32"/>
        </w:rPr>
        <w:t>;②</w:t>
      </w:r>
      <w:r>
        <w:rPr>
          <w:rFonts w:hint="eastAsia" w:ascii="Times New Roman" w:hAnsi="Times New Roman" w:cs="Times New Roman"/>
          <w:spacing w:val="8"/>
          <w:sz w:val="32"/>
          <w:szCs w:val="32"/>
        </w:rPr>
        <w:t>装备经费优先用于配备工作最需要而最缺少的业务装备，优先用于指挥信通、刑侦技术、执法等基本装备。按照统筹规划、突出重点、量力而行、逐步实施，以及优先配备基本、必配装备的原则，制定公安业务装备规划和年度实施计划，严格按照国家政府采购有关规定实施采购，确保公安业务装备建设规范有序。</w:t>
      </w:r>
    </w:p>
    <w:p w14:paraId="68F7DD01">
      <w:pPr>
        <w:spacing w:line="560" w:lineRule="exact"/>
        <w:ind w:firstLine="504" w:firstLineChars="150"/>
        <w:rPr>
          <w:rFonts w:ascii="Times New Roman" w:hAnsi="Times New Roman" w:cs="Times New Roman"/>
          <w:spacing w:val="8"/>
          <w:sz w:val="32"/>
          <w:szCs w:val="32"/>
        </w:rPr>
      </w:pPr>
      <w:r>
        <w:rPr>
          <w:rFonts w:ascii="Times New Roman" w:hAnsi="Times New Roman" w:cs="Times New Roman"/>
          <w:spacing w:val="8"/>
          <w:sz w:val="32"/>
          <w:szCs w:val="32"/>
        </w:rPr>
        <w:t>2023年当年完成情况，实际完成情况为：①</w:t>
      </w:r>
      <w:r>
        <w:rPr>
          <w:rFonts w:hint="eastAsia" w:ascii="Times New Roman" w:hAnsi="Times New Roman" w:cs="Times New Roman"/>
          <w:spacing w:val="8"/>
          <w:sz w:val="32"/>
          <w:szCs w:val="32"/>
        </w:rPr>
        <w:t>办案业务经费完成全年侦查办案及维稳安保工作，基层派出所、业务大队执法执勤车辆运行维护、差旅费、培训费等</w:t>
      </w:r>
      <w:r>
        <w:rPr>
          <w:rFonts w:ascii="Times New Roman" w:hAnsi="Times New Roman" w:cs="Times New Roman"/>
          <w:spacing w:val="8"/>
          <w:sz w:val="32"/>
          <w:szCs w:val="32"/>
        </w:rPr>
        <w:t>;②</w:t>
      </w:r>
      <w:r>
        <w:rPr>
          <w:rFonts w:hint="eastAsia" w:ascii="Times New Roman" w:hAnsi="Times New Roman" w:cs="Times New Roman"/>
          <w:spacing w:val="8"/>
          <w:sz w:val="32"/>
          <w:szCs w:val="32"/>
        </w:rPr>
        <w:t>装备经费完成全年基层单位的业务装备采购工作，所有装备采购均履行政府采购程序，服务基层单位。</w:t>
      </w:r>
    </w:p>
    <w:p w14:paraId="43FCCF6F">
      <w:pPr>
        <w:pStyle w:val="4"/>
        <w:spacing w:before="0" w:after="0" w:line="560" w:lineRule="exact"/>
        <w:ind w:firstLine="672"/>
        <w:rPr>
          <w:rFonts w:ascii="Times New Roman" w:hAnsi="Times New Roman" w:cs="Times New Roman"/>
          <w:b w:val="0"/>
          <w:bCs w:val="0"/>
          <w:spacing w:val="8"/>
        </w:rPr>
      </w:pPr>
      <w:bookmarkStart w:id="5" w:name="_Toc32047"/>
      <w:r>
        <w:rPr>
          <w:rFonts w:ascii="Times New Roman" w:hAnsi="Times New Roman" w:cs="Times New Roman"/>
          <w:b w:val="0"/>
          <w:bCs w:val="0"/>
          <w:spacing w:val="8"/>
        </w:rPr>
        <w:t>2. 资金投入和使用情况</w:t>
      </w:r>
      <w:bookmarkEnd w:id="5"/>
    </w:p>
    <w:p w14:paraId="73EADA44">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该项目资金投入情况：经</w:t>
      </w:r>
      <w:r>
        <w:rPr>
          <w:rFonts w:hint="eastAsia" w:ascii="Times New Roman" w:hAnsi="Times New Roman" w:cs="Times New Roman"/>
          <w:spacing w:val="8"/>
          <w:sz w:val="32"/>
          <w:szCs w:val="32"/>
        </w:rPr>
        <w:t>乌财行</w:t>
      </w:r>
      <w:r>
        <w:rPr>
          <w:rFonts w:ascii="Times New Roman" w:hAnsi="Times New Roman" w:cs="Times New Roman"/>
          <w:spacing w:val="8"/>
          <w:sz w:val="32"/>
          <w:szCs w:val="32"/>
        </w:rPr>
        <w:t>〔</w:t>
      </w:r>
      <w:r>
        <w:rPr>
          <w:rFonts w:hint="eastAsia" w:ascii="Times New Roman" w:hAnsi="Times New Roman" w:cs="Times New Roman"/>
          <w:spacing w:val="8"/>
          <w:sz w:val="32"/>
          <w:szCs w:val="32"/>
        </w:rPr>
        <w:t>2022</w:t>
      </w:r>
      <w:r>
        <w:rPr>
          <w:rFonts w:ascii="Times New Roman" w:hAnsi="Times New Roman" w:cs="Times New Roman"/>
          <w:spacing w:val="8"/>
          <w:sz w:val="32"/>
          <w:szCs w:val="32"/>
        </w:rPr>
        <w:t>〕</w:t>
      </w:r>
      <w:r>
        <w:rPr>
          <w:rFonts w:hint="eastAsia" w:ascii="Times New Roman" w:hAnsi="Times New Roman" w:cs="Times New Roman"/>
          <w:spacing w:val="8"/>
          <w:sz w:val="32"/>
          <w:szCs w:val="32"/>
        </w:rPr>
        <w:t>199号《关于提前下达2023年中央政法纪检监察转移支付资金预算的通知》</w:t>
      </w:r>
      <w:r>
        <w:rPr>
          <w:rFonts w:ascii="Times New Roman" w:hAnsi="Times New Roman" w:cs="Times New Roman"/>
          <w:spacing w:val="8"/>
          <w:sz w:val="32"/>
          <w:szCs w:val="32"/>
        </w:rPr>
        <w:t>批准，项目系2023年中央资金，共安排预算</w:t>
      </w:r>
      <w:r>
        <w:rPr>
          <w:rFonts w:hint="eastAsia" w:ascii="Times New Roman" w:hAnsi="Times New Roman" w:cs="Times New Roman"/>
          <w:spacing w:val="8"/>
          <w:sz w:val="32"/>
          <w:szCs w:val="32"/>
        </w:rPr>
        <w:t>2770.53</w:t>
      </w:r>
      <w:r>
        <w:rPr>
          <w:rFonts w:ascii="Times New Roman" w:hAnsi="Times New Roman" w:cs="Times New Roman"/>
          <w:spacing w:val="8"/>
          <w:sz w:val="32"/>
          <w:szCs w:val="32"/>
        </w:rPr>
        <w:t>万元，于2023年年初部</w:t>
      </w:r>
      <w:r>
        <w:rPr>
          <w:rFonts w:hint="eastAsia" w:ascii="Times New Roman" w:hAnsi="Times New Roman" w:cs="Times New Roman"/>
          <w:spacing w:val="8"/>
          <w:sz w:val="32"/>
          <w:szCs w:val="32"/>
        </w:rPr>
        <w:t>门</w:t>
      </w:r>
      <w:r>
        <w:rPr>
          <w:rFonts w:ascii="Times New Roman" w:hAnsi="Times New Roman" w:cs="Times New Roman"/>
          <w:spacing w:val="8"/>
          <w:sz w:val="32"/>
          <w:szCs w:val="32"/>
        </w:rPr>
        <w:t>预算批复项目，年中</w:t>
      </w:r>
      <w:r>
        <w:rPr>
          <w:rFonts w:hint="eastAsia" w:ascii="Times New Roman" w:hAnsi="Times New Roman" w:cs="Times New Roman"/>
          <w:spacing w:val="8"/>
          <w:sz w:val="32"/>
          <w:szCs w:val="32"/>
        </w:rPr>
        <w:t>执行资金1121.55万元，年底调减未使用完毕资金1648.98万元</w:t>
      </w:r>
      <w:r>
        <w:rPr>
          <w:rFonts w:ascii="Times New Roman" w:hAnsi="Times New Roman" w:cs="Times New Roman"/>
          <w:spacing w:val="8"/>
          <w:sz w:val="32"/>
          <w:szCs w:val="32"/>
        </w:rPr>
        <w:t>。</w:t>
      </w:r>
    </w:p>
    <w:p w14:paraId="1A5E3ED4">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该项目资金使用情况：总预算</w:t>
      </w:r>
      <w:r>
        <w:rPr>
          <w:rFonts w:hint="eastAsia" w:ascii="Times New Roman" w:hAnsi="Times New Roman" w:cs="Times New Roman"/>
          <w:spacing w:val="8"/>
          <w:sz w:val="32"/>
          <w:szCs w:val="32"/>
        </w:rPr>
        <w:t>下达2770.53万元（办案业务经费1351.22万元及装备经费1419.31万元），</w:t>
      </w:r>
      <w:r>
        <w:rPr>
          <w:rFonts w:ascii="Times New Roman" w:hAnsi="Times New Roman" w:cs="Times New Roman"/>
          <w:spacing w:val="8"/>
          <w:sz w:val="32"/>
          <w:szCs w:val="32"/>
        </w:rPr>
        <w:t>资金投入</w:t>
      </w:r>
      <w:r>
        <w:rPr>
          <w:rFonts w:hint="eastAsia" w:ascii="Times New Roman" w:hAnsi="Times New Roman" w:cs="Times New Roman"/>
          <w:spacing w:val="8"/>
          <w:sz w:val="32"/>
          <w:szCs w:val="32"/>
        </w:rPr>
        <w:t>1121.55万元（办案业务经费1007.65万元及装备经费113.9万元）</w:t>
      </w:r>
      <w:r>
        <w:rPr>
          <w:rFonts w:ascii="Times New Roman" w:hAnsi="Times New Roman" w:cs="Times New Roman"/>
          <w:spacing w:val="8"/>
          <w:sz w:val="32"/>
          <w:szCs w:val="32"/>
        </w:rPr>
        <w:t>预算执行率</w:t>
      </w:r>
      <w:r>
        <w:rPr>
          <w:rFonts w:hint="eastAsia" w:ascii="Times New Roman" w:hAnsi="Times New Roman" w:cs="Times New Roman"/>
          <w:spacing w:val="8"/>
          <w:sz w:val="32"/>
          <w:szCs w:val="32"/>
        </w:rPr>
        <w:t>40.48%（办案业务经费执行率74.57%及装备经费执行率8.03%）</w:t>
      </w:r>
      <w:r>
        <w:rPr>
          <w:rFonts w:ascii="Times New Roman" w:hAnsi="Times New Roman" w:cs="Times New Roman"/>
          <w:spacing w:val="8"/>
          <w:sz w:val="32"/>
          <w:szCs w:val="32"/>
        </w:rPr>
        <w:t>。</w:t>
      </w:r>
    </w:p>
    <w:p w14:paraId="60D41FA8">
      <w:pPr>
        <w:pStyle w:val="3"/>
        <w:spacing w:before="0" w:after="0" w:line="560" w:lineRule="exact"/>
        <w:ind w:firstLine="643"/>
        <w:rPr>
          <w:rFonts w:ascii="Times New Roman" w:hAnsi="Times New Roman" w:eastAsia="楷体" w:cs="Times New Roman"/>
          <w:bCs w:val="0"/>
        </w:rPr>
      </w:pPr>
      <w:bookmarkStart w:id="6" w:name="_Toc67911603"/>
      <w:bookmarkStart w:id="7" w:name="_Toc22403"/>
      <w:r>
        <w:rPr>
          <w:rFonts w:ascii="Times New Roman" w:hAnsi="Times New Roman" w:eastAsia="楷体" w:cs="Times New Roman"/>
          <w:bCs w:val="0"/>
        </w:rPr>
        <w:t>（二）项目绩效目标</w:t>
      </w:r>
      <w:bookmarkEnd w:id="6"/>
      <w:bookmarkEnd w:id="7"/>
    </w:p>
    <w:p w14:paraId="4F6B5EEE">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本项目依据《中共中央国务院关于全面实施预算绩效管理的意见》（中发〔2018〕34号）、《关于印发&lt;乌鲁木齐市本级部门预算绩效目标管理暂行办法&gt;的通知》（乌财预</w:t>
      </w:r>
      <w:bookmarkStart w:id="8" w:name="_Hlk67566397"/>
      <w:r>
        <w:rPr>
          <w:rFonts w:ascii="Times New Roman" w:hAnsi="Times New Roman" w:cs="Times New Roman"/>
          <w:spacing w:val="8"/>
          <w:sz w:val="32"/>
          <w:szCs w:val="32"/>
        </w:rPr>
        <w:t>〔2018〕56号</w:t>
      </w:r>
      <w:bookmarkEnd w:id="8"/>
      <w:r>
        <w:rPr>
          <w:rFonts w:ascii="Times New Roman" w:hAnsi="Times New Roman" w:cs="Times New Roman"/>
          <w:spacing w:val="8"/>
          <w:sz w:val="32"/>
          <w:szCs w:val="32"/>
        </w:rPr>
        <w:t>）、</w:t>
      </w:r>
      <w:r>
        <w:rPr>
          <w:rFonts w:hint="eastAsia" w:ascii="Times New Roman" w:hAnsi="Times New Roman" w:cs="Times New Roman"/>
          <w:spacing w:val="8"/>
          <w:sz w:val="32"/>
          <w:szCs w:val="32"/>
        </w:rPr>
        <w:t>《关于印发&lt;自治区项目支出绩效目标设置指引&gt;的通知》（新财预〔2022〕42号）</w:t>
      </w:r>
      <w:r>
        <w:rPr>
          <w:rFonts w:ascii="Times New Roman" w:hAnsi="Times New Roman" w:cs="Times New Roman"/>
          <w:spacing w:val="8"/>
          <w:sz w:val="32"/>
          <w:szCs w:val="32"/>
        </w:rPr>
        <w:t>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p>
    <w:p w14:paraId="6B8BE049">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该项目</w:t>
      </w:r>
      <w:r>
        <w:rPr>
          <w:rFonts w:hint="eastAsia" w:ascii="Times New Roman" w:hAnsi="Times New Roman" w:cs="Times New Roman"/>
          <w:spacing w:val="8"/>
          <w:sz w:val="32"/>
          <w:szCs w:val="32"/>
        </w:rPr>
        <w:t>为经常</w:t>
      </w:r>
      <w:r>
        <w:rPr>
          <w:rFonts w:ascii="Times New Roman" w:hAnsi="Times New Roman" w:cs="Times New Roman"/>
          <w:spacing w:val="8"/>
          <w:sz w:val="32"/>
          <w:szCs w:val="32"/>
        </w:rPr>
        <w:t>性项目。</w:t>
      </w:r>
    </w:p>
    <w:p w14:paraId="3DF35C1F">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该项目总体绩效目标：</w:t>
      </w:r>
      <w:r>
        <w:rPr>
          <w:rFonts w:hint="eastAsia" w:ascii="Times New Roman" w:hAnsi="Times New Roman" w:cs="Times New Roman"/>
          <w:spacing w:val="8"/>
          <w:sz w:val="32"/>
          <w:szCs w:val="32"/>
        </w:rPr>
        <w:t>该项目资金主要分为两个部分，一部分是购置执法执勤专业装备，涵盖有购买专业办案设备，例如执法仪、侦查设备等，另一部分是办案业务支出，涵盖有差旅费、培训费、执法执勤车辆运行维护费等。该项目资金满足日常出差、培训、执法执勤用车、办案业务所需的专用材料和执法执勤装备和信息化设备的采购支出。通过加大对各类安全隐患的排查和调节工作，努力提升辖区群众的获得感、幸福感、安全感。有效维护辖区社会政治稳定，开展整治工作，有效维护治安稳定，加强社会面稳控，</w:t>
      </w:r>
      <w:r>
        <w:rPr>
          <w:rFonts w:ascii="Times New Roman" w:hAnsi="Times New Roman" w:cs="Times New Roman"/>
          <w:spacing w:val="8"/>
          <w:sz w:val="32"/>
          <w:szCs w:val="32"/>
        </w:rPr>
        <w:t>达到</w:t>
      </w:r>
      <w:r>
        <w:rPr>
          <w:rFonts w:hint="eastAsia" w:ascii="Times New Roman" w:hAnsi="Times New Roman" w:cs="Times New Roman"/>
          <w:spacing w:val="8"/>
          <w:sz w:val="32"/>
          <w:szCs w:val="32"/>
        </w:rPr>
        <w:t>辖区治安环境良好，人民群众满意。</w:t>
      </w:r>
    </w:p>
    <w:p w14:paraId="40F2487E">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该项目阶段性目标为：</w:t>
      </w:r>
      <w:r>
        <w:rPr>
          <w:rFonts w:hint="eastAsia" w:ascii="Times New Roman" w:hAnsi="Times New Roman" w:cs="Times New Roman"/>
          <w:spacing w:val="8"/>
          <w:sz w:val="32"/>
          <w:szCs w:val="32"/>
        </w:rPr>
        <w:t>计划保障公安局各业务部门工作顺利进展，全面推进公安建设，提升办公办案效率，全力服务群众，体现公安机关公平正义，达到切实做好维护国家安全和社会政治稳定，加大对各类违法犯罪打击力度，全面做好各项大型活动的安全保卫工作，加大社会防控工作力度，增强管理社会治安能力。</w:t>
      </w:r>
      <w:r>
        <w:rPr>
          <w:rFonts w:ascii="Times New Roman" w:hAnsi="Times New Roman" w:cs="Times New Roman"/>
          <w:spacing w:val="8"/>
          <w:sz w:val="32"/>
          <w:szCs w:val="32"/>
        </w:rPr>
        <w:t>具体为</w:t>
      </w:r>
      <w:r>
        <w:rPr>
          <w:rFonts w:hint="eastAsia" w:ascii="Times New Roman" w:hAnsi="Times New Roman" w:cs="Times New Roman"/>
          <w:spacing w:val="8"/>
          <w:sz w:val="32"/>
          <w:szCs w:val="32"/>
        </w:rPr>
        <w:t>：</w:t>
      </w:r>
      <w:r>
        <w:rPr>
          <w:rFonts w:ascii="Times New Roman" w:hAnsi="Times New Roman" w:cs="Times New Roman"/>
          <w:spacing w:val="8"/>
          <w:sz w:val="32"/>
          <w:szCs w:val="32"/>
        </w:rPr>
        <w:t>全年刑事案件立案数</w:t>
      </w:r>
      <w:r>
        <w:rPr>
          <w:rFonts w:hint="eastAsia" w:ascii="Times New Roman" w:hAnsi="Times New Roman" w:cs="Times New Roman"/>
          <w:spacing w:val="8"/>
          <w:sz w:val="32"/>
          <w:szCs w:val="32"/>
        </w:rPr>
        <w:t>845起；执法装备购置种类11类；刑事案件破案率57.87%；</w:t>
      </w:r>
      <w:r>
        <w:rPr>
          <w:rFonts w:ascii="Times New Roman" w:hAnsi="Times New Roman" w:cs="Times New Roman"/>
          <w:spacing w:val="8"/>
          <w:sz w:val="32"/>
          <w:szCs w:val="32"/>
        </w:rPr>
        <w:t>执法装备质量合格率</w:t>
      </w:r>
      <w:r>
        <w:rPr>
          <w:rFonts w:hint="eastAsia" w:ascii="Times New Roman" w:hAnsi="Times New Roman" w:cs="Times New Roman"/>
          <w:spacing w:val="8"/>
          <w:sz w:val="32"/>
          <w:szCs w:val="32"/>
        </w:rPr>
        <w:t>100%，</w:t>
      </w:r>
      <w:r>
        <w:rPr>
          <w:rFonts w:ascii="Times New Roman" w:hAnsi="Times New Roman" w:cs="Times New Roman"/>
          <w:spacing w:val="8"/>
          <w:sz w:val="32"/>
          <w:szCs w:val="32"/>
        </w:rPr>
        <w:t>充分发挥公安机关“刀把子”作用，维护辖区政治稳定和社会安定</w:t>
      </w:r>
      <w:r>
        <w:rPr>
          <w:rFonts w:hint="eastAsia" w:ascii="Times New Roman" w:hAnsi="Times New Roman" w:cs="Times New Roman"/>
          <w:spacing w:val="8"/>
          <w:sz w:val="32"/>
          <w:szCs w:val="32"/>
        </w:rPr>
        <w:t>。</w:t>
      </w:r>
    </w:p>
    <w:p w14:paraId="16FD40FC">
      <w:pPr>
        <w:pStyle w:val="2"/>
        <w:spacing w:before="0" w:after="0" w:line="560" w:lineRule="exact"/>
        <w:ind w:firstLine="640"/>
        <w:jc w:val="left"/>
        <w:rPr>
          <w:rFonts w:ascii="Times New Roman" w:hAnsi="Times New Roman" w:eastAsia="黑体" w:cs="Times New Roman"/>
          <w:b w:val="0"/>
          <w:bCs w:val="0"/>
          <w:kern w:val="2"/>
          <w:sz w:val="32"/>
          <w:szCs w:val="32"/>
        </w:rPr>
      </w:pPr>
      <w:bookmarkStart w:id="9" w:name="_Toc10640"/>
      <w:bookmarkStart w:id="10" w:name="_Toc67911604"/>
      <w:r>
        <w:rPr>
          <w:rFonts w:ascii="Times New Roman" w:hAnsi="Times New Roman" w:eastAsia="黑体" w:cs="Times New Roman"/>
          <w:b w:val="0"/>
          <w:bCs w:val="0"/>
          <w:kern w:val="2"/>
          <w:sz w:val="32"/>
          <w:szCs w:val="32"/>
        </w:rPr>
        <w:t>二、绩效评价工作开展情况</w:t>
      </w:r>
      <w:bookmarkEnd w:id="9"/>
      <w:bookmarkEnd w:id="10"/>
    </w:p>
    <w:p w14:paraId="666848A4">
      <w:pPr>
        <w:pStyle w:val="3"/>
        <w:spacing w:before="0" w:after="0" w:line="560" w:lineRule="exact"/>
        <w:ind w:firstLine="643"/>
        <w:rPr>
          <w:rFonts w:ascii="Times New Roman" w:hAnsi="Times New Roman" w:eastAsia="楷体" w:cs="Times New Roman"/>
          <w:bCs w:val="0"/>
        </w:rPr>
      </w:pPr>
      <w:bookmarkStart w:id="11" w:name="_Toc67911605"/>
      <w:bookmarkStart w:id="12" w:name="_Toc379"/>
      <w:r>
        <w:rPr>
          <w:rFonts w:ascii="Times New Roman" w:hAnsi="Times New Roman" w:eastAsia="楷体" w:cs="Times New Roman"/>
          <w:bCs w:val="0"/>
        </w:rPr>
        <w:t>（一）绩效评价目的、对象和范围</w:t>
      </w:r>
      <w:bookmarkEnd w:id="11"/>
      <w:bookmarkEnd w:id="12"/>
    </w:p>
    <w:p w14:paraId="49758754">
      <w:pPr>
        <w:pStyle w:val="4"/>
        <w:spacing w:before="0" w:after="0" w:line="560" w:lineRule="exact"/>
        <w:ind w:firstLine="643"/>
        <w:rPr>
          <w:rFonts w:ascii="Times New Roman" w:hAnsi="Times New Roman" w:cs="Times New Roman"/>
        </w:rPr>
      </w:pPr>
      <w:bookmarkStart w:id="13" w:name="_Toc31735"/>
      <w:r>
        <w:rPr>
          <w:rFonts w:ascii="Times New Roman" w:hAnsi="Times New Roman" w:cs="Times New Roman"/>
        </w:rPr>
        <w:t>1. 绩效评价完整性</w:t>
      </w:r>
      <w:bookmarkEnd w:id="13"/>
    </w:p>
    <w:p w14:paraId="7609B4C8">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首先，</w:t>
      </w:r>
      <w:r>
        <w:rPr>
          <w:rFonts w:hint="eastAsia" w:ascii="Times New Roman" w:hAnsi="Times New Roman" w:cs="Times New Roman"/>
          <w:spacing w:val="8"/>
          <w:sz w:val="32"/>
          <w:szCs w:val="32"/>
        </w:rPr>
        <w:t>该项目的目标是为了公安本部门业务的顺利开展，保障全局2023年办案业务经费及装备经费，通过资金的保障完成全局案件的有力侦破，警用装备的更新来维护辖区的治安环境，本次评价通过刑事案件立案数、购置装备种类数、刑事案件破案率，购置装备验收合格率，有效维护辖区治安环境等绩效目标的设立，能够通过绩效评价体系完整体现。</w:t>
      </w:r>
    </w:p>
    <w:p w14:paraId="5171079D">
      <w:pPr>
        <w:spacing w:line="480" w:lineRule="auto"/>
        <w:ind w:firstLine="672"/>
        <w:jc w:val="left"/>
        <w:rPr>
          <w:rFonts w:ascii="Times New Roman" w:hAnsi="Times New Roman" w:cs="Times New Roman"/>
          <w:spacing w:val="8"/>
          <w:sz w:val="32"/>
          <w:szCs w:val="32"/>
        </w:rPr>
      </w:pPr>
      <w:r>
        <w:rPr>
          <w:rFonts w:ascii="Times New Roman" w:hAnsi="Times New Roman" w:cs="Times New Roman"/>
          <w:spacing w:val="8"/>
          <w:sz w:val="32"/>
          <w:szCs w:val="32"/>
        </w:rPr>
        <w:t>其次，</w:t>
      </w:r>
      <w:r>
        <w:rPr>
          <w:rFonts w:hint="eastAsia" w:ascii="Times New Roman" w:hAnsi="Times New Roman" w:cs="Times New Roman"/>
          <w:spacing w:val="8"/>
          <w:sz w:val="32"/>
          <w:szCs w:val="32"/>
        </w:rPr>
        <w:t>该项目计划使用在办案业务过程中产生的差旅费、培训费、公务用车运行维护费、链路租赁费等及公安专用设备购置等。该项目涉及的内容均在2023年完成，按照乌财行〔2022〕199号《关于提前下达2023年中央政法纪检监察转移支付资金预算的通知要求》，在执行中，我单位严格履行审批制度，对应采购的设备及项目均履行政府采购程序，确保资金的安全高效实用。项目进展情况和完成率保持一致，与项目年度计划相对应。</w:t>
      </w:r>
    </w:p>
    <w:p w14:paraId="34C676CE">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最后，</w:t>
      </w:r>
      <w:r>
        <w:rPr>
          <w:rFonts w:hint="eastAsia" w:ascii="Times New Roman" w:hAnsi="Times New Roman" w:cs="Times New Roman"/>
          <w:spacing w:val="8"/>
          <w:sz w:val="32"/>
          <w:szCs w:val="32"/>
        </w:rPr>
        <w:t>我单位项目评价数据均来源于实际工作和我单位向上级主管部门提供的报表真实数据，财务会计凭证、报表、</w:t>
      </w:r>
      <w:r>
        <w:rPr>
          <w:rFonts w:hint="eastAsia" w:ascii="Times New Roman" w:hAnsi="Times New Roman" w:cs="Times New Roman"/>
          <w:sz w:val="32"/>
          <w:szCs w:val="32"/>
        </w:rPr>
        <w:t>政府采购档案</w:t>
      </w:r>
      <w:r>
        <w:rPr>
          <w:rFonts w:hint="eastAsia" w:ascii="Times New Roman" w:hAnsi="Times New Roman" w:cs="Times New Roman"/>
          <w:spacing w:val="8"/>
          <w:sz w:val="32"/>
          <w:szCs w:val="32"/>
        </w:rPr>
        <w:t>等。数据准确完整。</w:t>
      </w:r>
    </w:p>
    <w:p w14:paraId="52A44223">
      <w:pPr>
        <w:pStyle w:val="4"/>
        <w:spacing w:before="0" w:after="0" w:line="560" w:lineRule="exact"/>
        <w:ind w:firstLine="643"/>
        <w:rPr>
          <w:rFonts w:ascii="Times New Roman" w:hAnsi="Times New Roman" w:cs="Times New Roman"/>
        </w:rPr>
      </w:pPr>
      <w:bookmarkStart w:id="14" w:name="_Toc120"/>
      <w:r>
        <w:rPr>
          <w:rFonts w:ascii="Times New Roman" w:hAnsi="Times New Roman" w:cs="Times New Roman"/>
        </w:rPr>
        <w:t>2. 评价目的</w:t>
      </w:r>
      <w:bookmarkEnd w:id="14"/>
    </w:p>
    <w:p w14:paraId="4A711EA4">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w:t>
      </w:r>
      <w:r>
        <w:rPr>
          <w:rFonts w:hint="eastAsia" w:ascii="Times New Roman" w:hAnsi="Times New Roman" w:cs="Times New Roman"/>
          <w:spacing w:val="8"/>
          <w:sz w:val="32"/>
          <w:szCs w:val="32"/>
        </w:rPr>
        <w:t>中央政法纪检监察转移支付资金</w:t>
      </w:r>
      <w:r>
        <w:rPr>
          <w:rFonts w:ascii="Times New Roman" w:hAnsi="Times New Roman" w:cs="Times New Roman"/>
          <w:spacing w:val="8"/>
          <w:sz w:val="32"/>
          <w:szCs w:val="32"/>
        </w:rPr>
        <w:t>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14:paraId="1707E4AB">
      <w:pPr>
        <w:pStyle w:val="4"/>
        <w:spacing w:before="0" w:after="0" w:line="560" w:lineRule="exact"/>
        <w:ind w:firstLine="643"/>
        <w:rPr>
          <w:rFonts w:ascii="Times New Roman" w:hAnsi="Times New Roman" w:cs="Times New Roman"/>
        </w:rPr>
      </w:pPr>
      <w:bookmarkStart w:id="15" w:name="_Toc26380"/>
      <w:r>
        <w:rPr>
          <w:rFonts w:ascii="Times New Roman" w:hAnsi="Times New Roman" w:cs="Times New Roman"/>
        </w:rPr>
        <w:t>3. 评价对象</w:t>
      </w:r>
      <w:bookmarkEnd w:id="15"/>
    </w:p>
    <w:p w14:paraId="6035E3A1">
      <w:pPr>
        <w:spacing w:line="480" w:lineRule="auto"/>
        <w:ind w:firstLine="504" w:firstLineChars="150"/>
        <w:jc w:val="left"/>
        <w:rPr>
          <w:rFonts w:ascii="Times New Roman" w:hAnsi="Times New Roman" w:cs="Times New Roman"/>
          <w:spacing w:val="8"/>
          <w:sz w:val="32"/>
          <w:szCs w:val="32"/>
        </w:rPr>
      </w:pPr>
      <w:r>
        <w:rPr>
          <w:rFonts w:ascii="Times New Roman" w:hAnsi="Times New Roman" w:cs="Times New Roman"/>
          <w:spacing w:val="8"/>
          <w:sz w:val="32"/>
          <w:szCs w:val="32"/>
        </w:rPr>
        <w:t>（1）绩效评价的对象：</w:t>
      </w:r>
      <w:bookmarkStart w:id="16" w:name="_Toc10044"/>
      <w:r>
        <w:rPr>
          <w:rFonts w:hint="eastAsia" w:ascii="Times New Roman" w:hAnsi="Times New Roman" w:cs="Times New Roman"/>
          <w:spacing w:val="8"/>
          <w:sz w:val="32"/>
          <w:szCs w:val="32"/>
        </w:rPr>
        <w:t>乌财行</w:t>
      </w:r>
      <w:r>
        <w:rPr>
          <w:rFonts w:ascii="Times New Roman" w:hAnsi="Times New Roman" w:cs="Times New Roman"/>
          <w:spacing w:val="8"/>
          <w:sz w:val="32"/>
          <w:szCs w:val="32"/>
        </w:rPr>
        <w:t>〔20</w:t>
      </w:r>
      <w:r>
        <w:rPr>
          <w:rFonts w:hint="eastAsia" w:ascii="Times New Roman" w:hAnsi="Times New Roman" w:cs="Times New Roman"/>
          <w:spacing w:val="8"/>
          <w:sz w:val="32"/>
          <w:szCs w:val="32"/>
        </w:rPr>
        <w:t>22</w:t>
      </w:r>
      <w:r>
        <w:rPr>
          <w:rFonts w:ascii="Times New Roman" w:hAnsi="Times New Roman" w:cs="Times New Roman"/>
          <w:spacing w:val="8"/>
          <w:sz w:val="32"/>
          <w:szCs w:val="32"/>
        </w:rPr>
        <w:t>〕</w:t>
      </w:r>
      <w:r>
        <w:rPr>
          <w:rFonts w:hint="eastAsia" w:ascii="Times New Roman" w:hAnsi="Times New Roman" w:cs="Times New Roman"/>
          <w:spacing w:val="8"/>
          <w:sz w:val="32"/>
          <w:szCs w:val="32"/>
        </w:rPr>
        <w:t>199号关于提前下达2023年中央政法纪检监察转移支付资金预算的通知</w:t>
      </w:r>
    </w:p>
    <w:p w14:paraId="0A2E3753">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4. 绩效评价范围</w:t>
      </w:r>
      <w:bookmarkEnd w:id="16"/>
    </w:p>
    <w:p w14:paraId="38D68CEF">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（1）时间范围：2023年1月1日至2023年12月31日。</w:t>
      </w:r>
    </w:p>
    <w:p w14:paraId="4DFA1FD5">
      <w:pPr>
        <w:spacing w:line="560" w:lineRule="exact"/>
        <w:ind w:firstLine="672"/>
        <w:rPr>
          <w:rFonts w:ascii="Times New Roman" w:hAnsi="Times New Roman" w:cs="Times New Roman"/>
          <w:kern w:val="0"/>
          <w:sz w:val="32"/>
          <w:szCs w:val="32"/>
        </w:rPr>
      </w:pPr>
      <w:r>
        <w:rPr>
          <w:rFonts w:ascii="Times New Roman" w:hAnsi="Times New Roman" w:cs="Times New Roman"/>
          <w:spacing w:val="8"/>
          <w:sz w:val="32"/>
          <w:szCs w:val="32"/>
        </w:rPr>
        <w:t>（2）项目范围：</w:t>
      </w:r>
      <w:r>
        <w:rPr>
          <w:rFonts w:hint="eastAsia" w:ascii="Times New Roman" w:hAnsi="Times New Roman" w:cs="Times New Roman"/>
          <w:spacing w:val="8"/>
          <w:sz w:val="32"/>
          <w:szCs w:val="32"/>
        </w:rPr>
        <w:t>乌财行</w:t>
      </w:r>
      <w:r>
        <w:rPr>
          <w:rFonts w:ascii="Times New Roman" w:hAnsi="Times New Roman" w:cs="Times New Roman"/>
          <w:spacing w:val="8"/>
          <w:sz w:val="32"/>
          <w:szCs w:val="32"/>
        </w:rPr>
        <w:t>〔20</w:t>
      </w:r>
      <w:r>
        <w:rPr>
          <w:rFonts w:hint="eastAsia" w:ascii="Times New Roman" w:hAnsi="Times New Roman" w:cs="Times New Roman"/>
          <w:spacing w:val="8"/>
          <w:sz w:val="32"/>
          <w:szCs w:val="32"/>
        </w:rPr>
        <w:t>22</w:t>
      </w:r>
      <w:r>
        <w:rPr>
          <w:rFonts w:ascii="Times New Roman" w:hAnsi="Times New Roman" w:cs="Times New Roman"/>
          <w:spacing w:val="8"/>
          <w:sz w:val="32"/>
          <w:szCs w:val="32"/>
        </w:rPr>
        <w:t>〕</w:t>
      </w:r>
      <w:r>
        <w:rPr>
          <w:rFonts w:hint="eastAsia" w:ascii="Times New Roman" w:hAnsi="Times New Roman" w:cs="Times New Roman"/>
          <w:spacing w:val="8"/>
          <w:sz w:val="32"/>
          <w:szCs w:val="32"/>
        </w:rPr>
        <w:t>199号《关于提前下达2023年中央政法纪检监察转移支付资金预算的通知》,该项目是按照上级《关于加强公安转移支付资金使用管理工作的意见》及《新疆维吾尔自治区基层公安机关公用经费保障标准》，自治区公安厅及市公安局统筹安排资金，2023年下达我单位2770.53万元，执行了1121.55万元，执行率为40.48%。该项目主要确保基层和一线办案业务经费需要及优先用于配备工作最需要而最缺少的业务装备。此次评价工作开展主要是为确保公安机关办案业务及装备有资金保障，项目目的主要为了维护社会面平稳有序、社会治安良好，人民群众安居乐业。</w:t>
      </w:r>
      <w:r>
        <w:rPr>
          <w:rFonts w:ascii="Times New Roman" w:hAnsi="Times New Roman" w:cs="Times New Roman"/>
          <w:spacing w:val="8"/>
          <w:sz w:val="32"/>
          <w:szCs w:val="32"/>
        </w:rPr>
        <w:t>项目内容</w:t>
      </w:r>
      <w:r>
        <w:rPr>
          <w:rFonts w:hint="eastAsia" w:ascii="Times New Roman" w:hAnsi="Times New Roman" w:cs="Times New Roman"/>
          <w:spacing w:val="8"/>
          <w:sz w:val="32"/>
          <w:szCs w:val="32"/>
        </w:rPr>
        <w:t>主要分为办案业务经费及装备经费。</w:t>
      </w:r>
      <w:r>
        <w:rPr>
          <w:rFonts w:ascii="Times New Roman" w:hAnsi="Times New Roman" w:cs="Times New Roman"/>
          <w:spacing w:val="8"/>
          <w:sz w:val="32"/>
          <w:szCs w:val="32"/>
        </w:rPr>
        <w:t>项目现状</w:t>
      </w:r>
      <w:r>
        <w:rPr>
          <w:rFonts w:hint="eastAsia" w:ascii="Times New Roman" w:hAnsi="Times New Roman" w:cs="Times New Roman"/>
          <w:spacing w:val="8"/>
          <w:sz w:val="32"/>
          <w:szCs w:val="32"/>
        </w:rPr>
        <w:t>主要为在2023年按计划完成了刑事案件的打击处理、警用装备的采购。</w:t>
      </w:r>
      <w:r>
        <w:rPr>
          <w:rFonts w:ascii="Times New Roman" w:hAnsi="Times New Roman" w:cs="Times New Roman"/>
          <w:spacing w:val="8"/>
          <w:sz w:val="32"/>
          <w:szCs w:val="32"/>
        </w:rPr>
        <w:t>绩效目标</w:t>
      </w:r>
      <w:r>
        <w:rPr>
          <w:rFonts w:hint="eastAsia" w:ascii="Times New Roman" w:hAnsi="Times New Roman" w:cs="Times New Roman"/>
          <w:spacing w:val="8"/>
          <w:sz w:val="32"/>
          <w:szCs w:val="32"/>
        </w:rPr>
        <w:t>设立了数量指标、质量指标、成本指标、社会效益指标等。</w:t>
      </w:r>
      <w:r>
        <w:rPr>
          <w:rFonts w:ascii="Times New Roman" w:hAnsi="Times New Roman" w:cs="Times New Roman"/>
          <w:spacing w:val="8"/>
          <w:sz w:val="32"/>
          <w:szCs w:val="32"/>
        </w:rPr>
        <w:t>资金管理</w:t>
      </w:r>
      <w:r>
        <w:rPr>
          <w:rFonts w:hint="eastAsia" w:ascii="Times New Roman" w:hAnsi="Times New Roman" w:cs="Times New Roman"/>
          <w:spacing w:val="8"/>
          <w:sz w:val="32"/>
          <w:szCs w:val="32"/>
        </w:rPr>
        <w:t>严格遵照我单位“三重一大”审批制度 ，履行政府采购程序规范资金使用及项目管理。通过该项目的实施全面推进公安建设，提升办公办案效率，全力服务群众，体现公安机关公平正义，达到切实做好维护国家安全和社会政治稳定，加大对各类违法犯罪打击力度，全面做好各项大型活动的安全保卫工作，加大社会防控工作力度，增强管理社会治安能力。经验方面：通过</w:t>
      </w:r>
      <w:r>
        <w:rPr>
          <w:rFonts w:hint="eastAsia" w:ascii="Times New Roman" w:hAnsi="Times New Roman" w:cs="Times New Roman"/>
          <w:kern w:val="0"/>
          <w:sz w:val="32"/>
          <w:szCs w:val="32"/>
        </w:rPr>
        <w:t>做好保障工作预案，装备经费有保障、警用物资有必备、物资存放有库房。为提升公安核心战斗力和基层一线民警各类风险防控提供了坚强有力的保障。存在问题主要受国库资金不足影响，资金执行率有待进一步提高。综上，2023年中央转移支付资金增强了公安机关的经费保障能力，提高了打击犯罪的办案经费的保障，实现了净化水磨沟区经济建设环境，维护了辖区社会治安秩序的稳定。</w:t>
      </w:r>
      <w:r>
        <w:rPr>
          <w:rFonts w:ascii="Times New Roman" w:hAnsi="Times New Roman" w:cs="Times New Roman"/>
          <w:kern w:val="0"/>
          <w:sz w:val="32"/>
          <w:szCs w:val="32"/>
        </w:rPr>
        <w:t>最终评分结果为：总分为</w:t>
      </w:r>
      <w:r>
        <w:rPr>
          <w:rFonts w:hint="eastAsia" w:ascii="Times New Roman" w:hAnsi="Times New Roman" w:cs="Times New Roman"/>
          <w:kern w:val="0"/>
          <w:sz w:val="32"/>
          <w:szCs w:val="32"/>
        </w:rPr>
        <w:t>90.14</w:t>
      </w:r>
      <w:r>
        <w:rPr>
          <w:rFonts w:ascii="Times New Roman" w:hAnsi="Times New Roman" w:cs="Times New Roman"/>
          <w:kern w:val="0"/>
          <w:sz w:val="32"/>
          <w:szCs w:val="32"/>
        </w:rPr>
        <w:t>分，绩效评级为“</w:t>
      </w:r>
      <w:r>
        <w:rPr>
          <w:rFonts w:hint="eastAsia" w:ascii="Times New Roman" w:hAnsi="Times New Roman" w:cs="Times New Roman"/>
          <w:kern w:val="0"/>
          <w:sz w:val="32"/>
          <w:szCs w:val="32"/>
        </w:rPr>
        <w:t>优</w:t>
      </w:r>
      <w:r>
        <w:rPr>
          <w:rFonts w:ascii="Times New Roman" w:hAnsi="Times New Roman" w:cs="Times New Roman"/>
          <w:kern w:val="0"/>
          <w:sz w:val="32"/>
          <w:szCs w:val="32"/>
        </w:rPr>
        <w:t>”</w:t>
      </w:r>
      <w:r>
        <w:rPr>
          <w:rFonts w:hint="eastAsia" w:ascii="Times New Roman" w:hAnsi="Times New Roman" w:cs="Times New Roman"/>
          <w:kern w:val="0"/>
          <w:sz w:val="32"/>
          <w:szCs w:val="32"/>
        </w:rPr>
        <w:t>。</w:t>
      </w:r>
    </w:p>
    <w:p w14:paraId="5A3EBFD9">
      <w:pPr>
        <w:pStyle w:val="3"/>
        <w:spacing w:before="0" w:after="0" w:line="560" w:lineRule="exact"/>
        <w:ind w:firstLine="672"/>
        <w:rPr>
          <w:rFonts w:ascii="Times New Roman" w:hAnsi="Times New Roman" w:eastAsia="仿宋_GB2312" w:cs="Times New Roman"/>
          <w:b w:val="0"/>
          <w:bCs w:val="0"/>
          <w:spacing w:val="8"/>
        </w:rPr>
      </w:pPr>
      <w:bookmarkStart w:id="17" w:name="_Toc23125"/>
      <w:bookmarkStart w:id="18" w:name="_Toc67911606"/>
      <w:bookmarkStart w:id="19" w:name="_Hlk67586765"/>
      <w:r>
        <w:rPr>
          <w:rFonts w:ascii="Times New Roman" w:hAnsi="Times New Roman" w:eastAsia="仿宋_GB2312" w:cs="Times New Roman"/>
          <w:b w:val="0"/>
          <w:bCs w:val="0"/>
          <w:spacing w:val="8"/>
        </w:rPr>
        <w:t>（二）绩效评价原则、指标体系、方法及标准</w:t>
      </w:r>
      <w:bookmarkEnd w:id="17"/>
      <w:bookmarkEnd w:id="18"/>
    </w:p>
    <w:bookmarkEnd w:id="19"/>
    <w:p w14:paraId="609E4818">
      <w:pPr>
        <w:pStyle w:val="4"/>
        <w:spacing w:before="0" w:after="0" w:line="560" w:lineRule="exact"/>
        <w:ind w:firstLine="643"/>
        <w:rPr>
          <w:rFonts w:ascii="Times New Roman" w:hAnsi="Times New Roman" w:cs="Times New Roman"/>
        </w:rPr>
      </w:pPr>
      <w:bookmarkStart w:id="20" w:name="_Toc14270"/>
      <w:r>
        <w:rPr>
          <w:rFonts w:ascii="Times New Roman" w:hAnsi="Times New Roman" w:cs="Times New Roman"/>
        </w:rPr>
        <w:t>1. 评价原则</w:t>
      </w:r>
      <w:bookmarkEnd w:id="20"/>
    </w:p>
    <w:p w14:paraId="6A0A0175">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（1）科学公正。绩效评价应当运用科学合理的方法，按照规范的程序，对项目绩效进行客观、公正的反映。</w:t>
      </w:r>
    </w:p>
    <w:p w14:paraId="15C69FAC">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79558208">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（3）激励约束。绩效评价结果应与预算安排、政策调整、改进管理实质性挂钩，体现奖优罚劣和激励相容导向，有效要安排、低效要压减、无效要问责。</w:t>
      </w:r>
    </w:p>
    <w:p w14:paraId="50893A47">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（4）公开透明。绩效评价结果应依法依规公开，并自觉接受社会监督。</w:t>
      </w:r>
    </w:p>
    <w:p w14:paraId="356DC456">
      <w:pPr>
        <w:pStyle w:val="4"/>
        <w:spacing w:before="0" w:after="0" w:line="560" w:lineRule="exact"/>
        <w:ind w:firstLine="643"/>
        <w:rPr>
          <w:rFonts w:ascii="Times New Roman" w:hAnsi="Times New Roman" w:cs="Times New Roman"/>
        </w:rPr>
      </w:pPr>
      <w:bookmarkStart w:id="21" w:name="_Toc1619"/>
      <w:r>
        <w:rPr>
          <w:rFonts w:ascii="Times New Roman" w:hAnsi="Times New Roman" w:cs="Times New Roman"/>
        </w:rPr>
        <w:t>2. 评价指标体系</w:t>
      </w:r>
      <w:bookmarkEnd w:id="21"/>
    </w:p>
    <w:p w14:paraId="61C02F37">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绩效评价指标体系作为衡量绩效目标实现程度的考核工具，一般遵循以下原则：</w:t>
      </w:r>
    </w:p>
    <w:p w14:paraId="436367F3">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（1）相关性原则：绩效评价指标应当与绩效目标有直接的联系，能够恰当反映目标的实现程度。</w:t>
      </w:r>
    </w:p>
    <w:p w14:paraId="04FEF2F7">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（2）重要性原则：应当优先使用最具评价对象代表性、最能反映评价要求的核心指标。</w:t>
      </w:r>
    </w:p>
    <w:p w14:paraId="608AF6E2">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（3）可比性原则：对同类评价对象要设定共性的绩效评价指标，以便于评价结果可以相互比较。</w:t>
      </w:r>
    </w:p>
    <w:p w14:paraId="73797FC2">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（4）系统性原则：绩效评价指标的设置应当将定量指标与定性指标相结合，能系统反映财政支出所产生的社会效益、经济效益和可持续影响等。</w:t>
      </w:r>
    </w:p>
    <w:p w14:paraId="0B220BC4">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（5）经济性原则：绩效评价指标设计应当通俗易懂、简便易行，数据的获得应当考虑现实条件和可操作性，符合成本</w:t>
      </w:r>
      <w:bookmarkStart w:id="63" w:name="_GoBack"/>
      <w:r>
        <w:rPr>
          <w:rFonts w:ascii="Times New Roman" w:hAnsi="Times New Roman" w:cs="Times New Roman"/>
          <w:spacing w:val="8"/>
          <w:sz w:val="32"/>
          <w:szCs w:val="32"/>
        </w:rPr>
        <w:t>效益原则。</w:t>
      </w:r>
    </w:p>
    <w:p w14:paraId="7D9DE1BA">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本项目的评价指标体系建立如表2-1所示</w:t>
      </w:r>
    </w:p>
    <w:p w14:paraId="469BF105">
      <w:pPr>
        <w:spacing w:line="560" w:lineRule="exact"/>
        <w:ind w:firstLine="672"/>
        <w:rPr>
          <w:rFonts w:ascii="Times New Roman" w:hAnsi="Times New Roman" w:cs="Times New Roman"/>
          <w:spacing w:val="8"/>
          <w:sz w:val="32"/>
          <w:szCs w:val="32"/>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bookmarkEnd w:id="63"/>
    <w:p w14:paraId="2D8FF28F">
      <w:pPr>
        <w:spacing w:line="560" w:lineRule="exact"/>
        <w:ind w:firstLine="0" w:firstLineChars="0"/>
        <w:jc w:val="center"/>
        <w:rPr>
          <w:rFonts w:ascii="Times New Roman" w:hAnsi="Times New Roman" w:cs="Times New Roman"/>
          <w:b/>
          <w:bCs/>
          <w:sz w:val="24"/>
          <w:szCs w:val="24"/>
        </w:rPr>
      </w:pPr>
      <w:r>
        <w:rPr>
          <w:rFonts w:ascii="Times New Roman" w:hAnsi="Times New Roman" w:cs="Times New Roman"/>
          <w:b/>
          <w:bCs/>
          <w:sz w:val="24"/>
          <w:szCs w:val="24"/>
        </w:rPr>
        <w:t>表2-1 项目支出绩效评价指标体系</w:t>
      </w:r>
    </w:p>
    <w:tbl>
      <w:tblPr>
        <w:tblStyle w:val="15"/>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14:paraId="588F1F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14:paraId="369D16E8">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一级指标</w:t>
            </w:r>
          </w:p>
        </w:tc>
        <w:tc>
          <w:tcPr>
            <w:tcW w:w="1199" w:type="dxa"/>
            <w:tcBorders>
              <w:tl2br w:val="nil"/>
              <w:tr2bl w:val="nil"/>
            </w:tcBorders>
            <w:shd w:val="clear" w:color="auto" w:fill="D0CECE" w:themeFill="background2" w:themeFillShade="E6"/>
            <w:vAlign w:val="center"/>
          </w:tcPr>
          <w:p w14:paraId="77BB9647">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二级指标</w:t>
            </w:r>
          </w:p>
        </w:tc>
        <w:tc>
          <w:tcPr>
            <w:tcW w:w="1411" w:type="dxa"/>
            <w:tcBorders>
              <w:tl2br w:val="nil"/>
              <w:tr2bl w:val="nil"/>
            </w:tcBorders>
            <w:shd w:val="clear" w:color="auto" w:fill="D0CECE" w:themeFill="background2" w:themeFillShade="E6"/>
            <w:vAlign w:val="center"/>
          </w:tcPr>
          <w:p w14:paraId="12A61426">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三级指标</w:t>
            </w:r>
          </w:p>
        </w:tc>
        <w:tc>
          <w:tcPr>
            <w:tcW w:w="2789" w:type="dxa"/>
            <w:tcBorders>
              <w:tl2br w:val="nil"/>
              <w:tr2bl w:val="nil"/>
            </w:tcBorders>
            <w:shd w:val="clear" w:color="auto" w:fill="D0CECE" w:themeFill="background2" w:themeFillShade="E6"/>
            <w:vAlign w:val="center"/>
          </w:tcPr>
          <w:p w14:paraId="6FCFE69E">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指标解释</w:t>
            </w:r>
          </w:p>
        </w:tc>
        <w:tc>
          <w:tcPr>
            <w:tcW w:w="7341" w:type="dxa"/>
            <w:tcBorders>
              <w:tl2br w:val="nil"/>
              <w:tr2bl w:val="nil"/>
            </w:tcBorders>
            <w:shd w:val="clear" w:color="auto" w:fill="D0CECE" w:themeFill="background2" w:themeFillShade="E6"/>
            <w:vAlign w:val="center"/>
          </w:tcPr>
          <w:p w14:paraId="616FCEC2">
            <w:pPr>
              <w:widowControl/>
              <w:ind w:firstLine="0" w:firstLineChars="0"/>
              <w:jc w:val="center"/>
              <w:rPr>
                <w:rFonts w:ascii="Times New Roman" w:hAnsi="Times New Roman" w:eastAsia="黑体" w:cs="Times New Roman"/>
                <w:color w:val="000000"/>
                <w:kern w:val="0"/>
                <w:sz w:val="22"/>
              </w:rPr>
            </w:pPr>
            <w:r>
              <w:rPr>
                <w:rFonts w:ascii="Times New Roman" w:hAnsi="Times New Roman" w:eastAsia="黑体" w:cs="Times New Roman"/>
                <w:color w:val="000000"/>
                <w:kern w:val="0"/>
                <w:sz w:val="22"/>
              </w:rPr>
              <w:t>指标说明</w:t>
            </w:r>
          </w:p>
        </w:tc>
      </w:tr>
      <w:tr w14:paraId="050A71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14:paraId="50009F7B">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决策</w:t>
            </w:r>
          </w:p>
        </w:tc>
        <w:tc>
          <w:tcPr>
            <w:tcW w:w="1199" w:type="dxa"/>
            <w:vMerge w:val="restart"/>
            <w:tcBorders>
              <w:tl2br w:val="nil"/>
              <w:tr2bl w:val="nil"/>
            </w:tcBorders>
            <w:shd w:val="clear" w:color="auto" w:fill="FFFFFF"/>
            <w:vAlign w:val="center"/>
          </w:tcPr>
          <w:p w14:paraId="764E38B2">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项目立项</w:t>
            </w:r>
          </w:p>
        </w:tc>
        <w:tc>
          <w:tcPr>
            <w:tcW w:w="1411" w:type="dxa"/>
            <w:tcBorders>
              <w:tl2br w:val="nil"/>
              <w:tr2bl w:val="nil"/>
            </w:tcBorders>
            <w:shd w:val="clear" w:color="auto" w:fill="FFFFFF"/>
            <w:vAlign w:val="center"/>
          </w:tcPr>
          <w:p w14:paraId="508E4DD8">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立项依据</w:t>
            </w:r>
          </w:p>
          <w:p w14:paraId="698C311F">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充分性</w:t>
            </w:r>
          </w:p>
        </w:tc>
        <w:tc>
          <w:tcPr>
            <w:tcW w:w="2789" w:type="dxa"/>
            <w:tcBorders>
              <w:tl2br w:val="nil"/>
              <w:tr2bl w:val="nil"/>
            </w:tcBorders>
            <w:shd w:val="clear" w:color="auto" w:fill="FFFFFF"/>
            <w:vAlign w:val="center"/>
          </w:tcPr>
          <w:p w14:paraId="1653D4A5">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066CF3A1">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①项目立项是否符合国家法律法规、国民经济发展规划和相关政策；</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②项目立项是否符合行业发展规划和政策要求；</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③项目立项是否与部门职责范围相符，属于部门履职所需；</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④项目是否属于公共财政支持范围，是否符合中央、地方事权支出责任划分原则；</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⑤项目是否与相关部门同类项目或部门内部相关项目重复。</w:t>
            </w:r>
          </w:p>
        </w:tc>
      </w:tr>
      <w:tr w14:paraId="1AD18B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14:paraId="388949D8">
            <w:pPr>
              <w:widowControl/>
              <w:ind w:firstLine="0" w:firstLineChars="0"/>
              <w:jc w:val="center"/>
              <w:rPr>
                <w:rFonts w:ascii="Times New Roman" w:hAnsi="Times New Roman" w:cs="Times New Roman"/>
                <w:color w:val="000000"/>
                <w:kern w:val="0"/>
                <w:sz w:val="22"/>
              </w:rPr>
            </w:pPr>
          </w:p>
        </w:tc>
        <w:tc>
          <w:tcPr>
            <w:tcW w:w="1199" w:type="dxa"/>
            <w:vMerge w:val="continue"/>
            <w:tcBorders>
              <w:tl2br w:val="nil"/>
              <w:tr2bl w:val="nil"/>
            </w:tcBorders>
            <w:shd w:val="clear" w:color="auto" w:fill="FFFFFF"/>
            <w:vAlign w:val="center"/>
          </w:tcPr>
          <w:p w14:paraId="01125FD6">
            <w:pPr>
              <w:widowControl/>
              <w:ind w:firstLine="0" w:firstLineChars="0"/>
              <w:jc w:val="center"/>
              <w:rPr>
                <w:rFonts w:ascii="Times New Roman" w:hAnsi="Times New Roman" w:cs="Times New Roman"/>
                <w:color w:val="000000"/>
                <w:kern w:val="0"/>
                <w:sz w:val="22"/>
              </w:rPr>
            </w:pPr>
          </w:p>
        </w:tc>
        <w:tc>
          <w:tcPr>
            <w:tcW w:w="1411" w:type="dxa"/>
            <w:tcBorders>
              <w:tl2br w:val="nil"/>
              <w:tr2bl w:val="nil"/>
            </w:tcBorders>
            <w:shd w:val="clear" w:color="auto" w:fill="FFFFFF"/>
            <w:vAlign w:val="center"/>
          </w:tcPr>
          <w:p w14:paraId="24517C0A">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立项程序</w:t>
            </w:r>
          </w:p>
          <w:p w14:paraId="678A275B">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规范性</w:t>
            </w:r>
          </w:p>
        </w:tc>
        <w:tc>
          <w:tcPr>
            <w:tcW w:w="2789" w:type="dxa"/>
            <w:tcBorders>
              <w:tl2br w:val="nil"/>
              <w:tr2bl w:val="nil"/>
            </w:tcBorders>
            <w:shd w:val="clear" w:color="auto" w:fill="FFFFFF"/>
            <w:vAlign w:val="center"/>
          </w:tcPr>
          <w:p w14:paraId="62DC008D">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1C4D9F89">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①项目是否按照规定的程序申请设立；</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②审批文件、材料是否符合相关要求；</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③事前是否已经过必要的可行性研究、专家论证、风险评估、绩效评估、集体决策。</w:t>
            </w:r>
          </w:p>
        </w:tc>
      </w:tr>
      <w:tr w14:paraId="2A6F7F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14:paraId="40659F10">
            <w:pPr>
              <w:widowControl/>
              <w:ind w:firstLine="0" w:firstLineChars="0"/>
              <w:jc w:val="center"/>
              <w:rPr>
                <w:rFonts w:ascii="Times New Roman" w:hAnsi="Times New Roman" w:cs="Times New Roman"/>
                <w:color w:val="000000"/>
                <w:kern w:val="0"/>
                <w:sz w:val="22"/>
              </w:rPr>
            </w:pPr>
          </w:p>
        </w:tc>
        <w:tc>
          <w:tcPr>
            <w:tcW w:w="1199" w:type="dxa"/>
            <w:tcBorders>
              <w:tl2br w:val="nil"/>
              <w:tr2bl w:val="nil"/>
            </w:tcBorders>
            <w:shd w:val="clear" w:color="auto" w:fill="FFFFFF"/>
            <w:vAlign w:val="center"/>
          </w:tcPr>
          <w:p w14:paraId="6AA02CBE">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绩效目标</w:t>
            </w:r>
          </w:p>
        </w:tc>
        <w:tc>
          <w:tcPr>
            <w:tcW w:w="1411" w:type="dxa"/>
            <w:tcBorders>
              <w:tl2br w:val="nil"/>
              <w:tr2bl w:val="nil"/>
            </w:tcBorders>
            <w:shd w:val="clear" w:color="auto" w:fill="FFFFFF"/>
            <w:vAlign w:val="center"/>
          </w:tcPr>
          <w:p w14:paraId="3E6CCA3D">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绩效目标</w:t>
            </w:r>
          </w:p>
          <w:p w14:paraId="5C532DCF">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合理性</w:t>
            </w:r>
          </w:p>
        </w:tc>
        <w:tc>
          <w:tcPr>
            <w:tcW w:w="2789" w:type="dxa"/>
            <w:tcBorders>
              <w:tl2br w:val="nil"/>
              <w:tr2bl w:val="nil"/>
            </w:tcBorders>
            <w:shd w:val="clear" w:color="000000" w:fill="FFFFFF"/>
            <w:vAlign w:val="center"/>
          </w:tcPr>
          <w:p w14:paraId="207B58BB">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18C872A3">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（如未设定预算绩效目标，也可考核其他工作任务目标）</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①项目是否有绩效目标；</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②项目绩效目标与实际工作内容是否具有相关性；</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③项目预期产出效益和效果是否符合正常的业绩水平；</w:t>
            </w:r>
          </w:p>
          <w:p w14:paraId="147E0316">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④是否与预算确定的项目投资额或资金量相匹配。</w:t>
            </w:r>
          </w:p>
        </w:tc>
      </w:tr>
      <w:tr w14:paraId="7B1D65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14:paraId="772971FF">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决策</w:t>
            </w:r>
          </w:p>
        </w:tc>
        <w:tc>
          <w:tcPr>
            <w:tcW w:w="1199" w:type="dxa"/>
            <w:tcBorders>
              <w:tl2br w:val="nil"/>
              <w:tr2bl w:val="nil"/>
            </w:tcBorders>
            <w:shd w:val="clear" w:color="auto" w:fill="FFFFFF"/>
            <w:vAlign w:val="center"/>
          </w:tcPr>
          <w:p w14:paraId="7D4B25CB">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绩效目标</w:t>
            </w:r>
          </w:p>
        </w:tc>
        <w:tc>
          <w:tcPr>
            <w:tcW w:w="1411" w:type="dxa"/>
            <w:tcBorders>
              <w:tl2br w:val="nil"/>
              <w:tr2bl w:val="nil"/>
            </w:tcBorders>
            <w:shd w:val="clear" w:color="auto" w:fill="FFFFFF"/>
            <w:vAlign w:val="center"/>
          </w:tcPr>
          <w:p w14:paraId="17B1A903">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绩效指标</w:t>
            </w:r>
          </w:p>
          <w:p w14:paraId="65B35537">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明确性</w:t>
            </w:r>
          </w:p>
        </w:tc>
        <w:tc>
          <w:tcPr>
            <w:tcW w:w="2789" w:type="dxa"/>
            <w:tcBorders>
              <w:tl2br w:val="nil"/>
              <w:tr2bl w:val="nil"/>
            </w:tcBorders>
            <w:shd w:val="clear" w:color="000000" w:fill="FFFFFF"/>
            <w:vAlign w:val="center"/>
          </w:tcPr>
          <w:p w14:paraId="28582066">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21845E3E">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①是否将项目绩效目标细化分解为具体的绩效指标；</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②是否通过清晰、可衡量的指标值予以体现；</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③是否与项目目标任务数或计划数相对应。</w:t>
            </w:r>
          </w:p>
        </w:tc>
      </w:tr>
      <w:tr w14:paraId="27D500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14:paraId="2E0F6554">
            <w:pPr>
              <w:widowControl/>
              <w:ind w:firstLine="0" w:firstLineChars="0"/>
              <w:jc w:val="center"/>
              <w:rPr>
                <w:rFonts w:ascii="Times New Roman" w:hAnsi="Times New Roman" w:cs="Times New Roman"/>
                <w:color w:val="000000"/>
                <w:kern w:val="0"/>
                <w:sz w:val="22"/>
              </w:rPr>
            </w:pPr>
          </w:p>
        </w:tc>
        <w:tc>
          <w:tcPr>
            <w:tcW w:w="1199" w:type="dxa"/>
            <w:vMerge w:val="restart"/>
            <w:tcBorders>
              <w:tl2br w:val="nil"/>
              <w:tr2bl w:val="nil"/>
            </w:tcBorders>
            <w:shd w:val="clear" w:color="auto" w:fill="FFFFFF"/>
            <w:vAlign w:val="center"/>
          </w:tcPr>
          <w:p w14:paraId="0B13A5E8">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资金投入</w:t>
            </w:r>
          </w:p>
        </w:tc>
        <w:tc>
          <w:tcPr>
            <w:tcW w:w="1411" w:type="dxa"/>
            <w:tcBorders>
              <w:tl2br w:val="nil"/>
              <w:tr2bl w:val="nil"/>
            </w:tcBorders>
            <w:shd w:val="clear" w:color="auto" w:fill="FFFFFF"/>
            <w:vAlign w:val="center"/>
          </w:tcPr>
          <w:p w14:paraId="19357B70">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预算编制</w:t>
            </w:r>
          </w:p>
          <w:p w14:paraId="26F6D196">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科学性</w:t>
            </w:r>
          </w:p>
        </w:tc>
        <w:tc>
          <w:tcPr>
            <w:tcW w:w="2789" w:type="dxa"/>
            <w:tcBorders>
              <w:tl2br w:val="nil"/>
              <w:tr2bl w:val="nil"/>
            </w:tcBorders>
            <w:shd w:val="clear" w:color="auto" w:fill="FFFFFF"/>
            <w:vAlign w:val="center"/>
          </w:tcPr>
          <w:p w14:paraId="5FBEDC81">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2169FE89">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①预算编制是否经过科学论证；</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②预算内容与项目内容是否匹配；</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③预算额度测算依据是否充分，是否按照标准编制；</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④预算确定的项目投资额或资金量是否与工作任务相匹配。</w:t>
            </w:r>
          </w:p>
        </w:tc>
      </w:tr>
      <w:tr w14:paraId="7515EB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14:paraId="06BBFF83">
            <w:pPr>
              <w:widowControl/>
              <w:ind w:firstLine="0" w:firstLineChars="0"/>
              <w:jc w:val="center"/>
              <w:rPr>
                <w:rFonts w:ascii="Times New Roman" w:hAnsi="Times New Roman" w:cs="Times New Roman"/>
                <w:color w:val="000000"/>
                <w:kern w:val="0"/>
                <w:sz w:val="22"/>
              </w:rPr>
            </w:pPr>
          </w:p>
        </w:tc>
        <w:tc>
          <w:tcPr>
            <w:tcW w:w="1199" w:type="dxa"/>
            <w:vMerge w:val="continue"/>
            <w:tcBorders>
              <w:tl2br w:val="nil"/>
              <w:tr2bl w:val="nil"/>
            </w:tcBorders>
            <w:shd w:val="clear" w:color="auto" w:fill="FFFFFF"/>
            <w:vAlign w:val="center"/>
          </w:tcPr>
          <w:p w14:paraId="35A9F71F">
            <w:pPr>
              <w:widowControl/>
              <w:ind w:firstLine="0" w:firstLineChars="0"/>
              <w:jc w:val="center"/>
              <w:rPr>
                <w:rFonts w:ascii="Times New Roman" w:hAnsi="Times New Roman" w:cs="Times New Roman"/>
                <w:color w:val="000000"/>
                <w:kern w:val="0"/>
                <w:sz w:val="22"/>
              </w:rPr>
            </w:pPr>
          </w:p>
        </w:tc>
        <w:tc>
          <w:tcPr>
            <w:tcW w:w="1411" w:type="dxa"/>
            <w:tcBorders>
              <w:tl2br w:val="nil"/>
              <w:tr2bl w:val="nil"/>
            </w:tcBorders>
            <w:shd w:val="clear" w:color="auto" w:fill="FFFFFF"/>
            <w:vAlign w:val="center"/>
          </w:tcPr>
          <w:p w14:paraId="37A95080">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资金分配</w:t>
            </w:r>
          </w:p>
          <w:p w14:paraId="5FE5747F">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合理性</w:t>
            </w:r>
          </w:p>
        </w:tc>
        <w:tc>
          <w:tcPr>
            <w:tcW w:w="2789" w:type="dxa"/>
            <w:tcBorders>
              <w:tl2br w:val="nil"/>
              <w:tr2bl w:val="nil"/>
            </w:tcBorders>
            <w:shd w:val="clear" w:color="auto" w:fill="FFFFFF"/>
            <w:vAlign w:val="center"/>
          </w:tcPr>
          <w:p w14:paraId="59C1253F">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4ACE5320">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①预算资金分配依据是否充分；</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②资金分配额度是否合理，与项目单位或地方实际是否相适应。</w:t>
            </w:r>
          </w:p>
        </w:tc>
      </w:tr>
      <w:tr w14:paraId="05A3B9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14:paraId="60BDA6D4">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过程</w:t>
            </w:r>
          </w:p>
        </w:tc>
        <w:tc>
          <w:tcPr>
            <w:tcW w:w="1199" w:type="dxa"/>
            <w:vMerge w:val="restart"/>
            <w:tcBorders>
              <w:tl2br w:val="nil"/>
              <w:tr2bl w:val="nil"/>
            </w:tcBorders>
            <w:shd w:val="clear" w:color="auto" w:fill="FFFFFF"/>
            <w:vAlign w:val="center"/>
          </w:tcPr>
          <w:p w14:paraId="09DC2A29">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资金管理</w:t>
            </w:r>
          </w:p>
        </w:tc>
        <w:tc>
          <w:tcPr>
            <w:tcW w:w="1411" w:type="dxa"/>
            <w:tcBorders>
              <w:tl2br w:val="nil"/>
              <w:tr2bl w:val="nil"/>
            </w:tcBorders>
            <w:shd w:val="clear" w:color="auto" w:fill="FFFFFF"/>
            <w:vAlign w:val="center"/>
          </w:tcPr>
          <w:p w14:paraId="0453B02E">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资金到位率</w:t>
            </w:r>
          </w:p>
        </w:tc>
        <w:tc>
          <w:tcPr>
            <w:tcW w:w="2789" w:type="dxa"/>
            <w:tcBorders>
              <w:tl2br w:val="nil"/>
              <w:tr2bl w:val="nil"/>
            </w:tcBorders>
            <w:shd w:val="clear" w:color="000000" w:fill="FFFFFF"/>
            <w:vAlign w:val="center"/>
          </w:tcPr>
          <w:p w14:paraId="64D7DEFE">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12E8BDED">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资金到位率=（实际到位资金/预算资金）×100%。</w:t>
            </w:r>
          </w:p>
          <w:p w14:paraId="25166D20">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实际到位资金：一定时期（本年度或项目期）内落实到具体项目的资金。</w:t>
            </w:r>
          </w:p>
          <w:p w14:paraId="601731C3">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预算资金：一定时期（本年度或项目期）内预算安排到具体项目的资金。</w:t>
            </w:r>
          </w:p>
        </w:tc>
      </w:tr>
      <w:tr w14:paraId="6D378D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14:paraId="592E38B1">
            <w:pPr>
              <w:widowControl/>
              <w:ind w:firstLine="0" w:firstLineChars="0"/>
              <w:jc w:val="center"/>
              <w:rPr>
                <w:rFonts w:ascii="Times New Roman" w:hAnsi="Times New Roman" w:cs="Times New Roman"/>
                <w:color w:val="000000"/>
                <w:kern w:val="0"/>
                <w:sz w:val="22"/>
              </w:rPr>
            </w:pPr>
          </w:p>
        </w:tc>
        <w:tc>
          <w:tcPr>
            <w:tcW w:w="1199" w:type="dxa"/>
            <w:vMerge w:val="continue"/>
            <w:tcBorders>
              <w:tl2br w:val="nil"/>
              <w:tr2bl w:val="nil"/>
            </w:tcBorders>
            <w:shd w:val="clear" w:color="auto" w:fill="FFFFFF"/>
            <w:vAlign w:val="center"/>
          </w:tcPr>
          <w:p w14:paraId="4A536E6A">
            <w:pPr>
              <w:widowControl/>
              <w:ind w:firstLine="0" w:firstLineChars="0"/>
              <w:jc w:val="center"/>
              <w:rPr>
                <w:rFonts w:ascii="Times New Roman" w:hAnsi="Times New Roman" w:cs="Times New Roman"/>
                <w:color w:val="000000"/>
                <w:kern w:val="0"/>
                <w:sz w:val="22"/>
              </w:rPr>
            </w:pPr>
          </w:p>
        </w:tc>
        <w:tc>
          <w:tcPr>
            <w:tcW w:w="1411" w:type="dxa"/>
            <w:tcBorders>
              <w:tl2br w:val="nil"/>
              <w:tr2bl w:val="nil"/>
            </w:tcBorders>
            <w:shd w:val="clear" w:color="auto" w:fill="FFFFFF"/>
            <w:vAlign w:val="center"/>
          </w:tcPr>
          <w:p w14:paraId="09010C0A">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预算执行率</w:t>
            </w:r>
          </w:p>
        </w:tc>
        <w:tc>
          <w:tcPr>
            <w:tcW w:w="2789" w:type="dxa"/>
            <w:tcBorders>
              <w:tl2br w:val="nil"/>
              <w:tr2bl w:val="nil"/>
            </w:tcBorders>
            <w:shd w:val="clear" w:color="auto" w:fill="FFFFFF"/>
            <w:vAlign w:val="center"/>
          </w:tcPr>
          <w:p w14:paraId="0F55A489">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14:paraId="57071D9C">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预算执行率=（实际支出资金/实际到位资金）×100%。</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实际支出资金：一定时期（本年度或项目期）内项目实际拨付的资金。</w:t>
            </w:r>
          </w:p>
        </w:tc>
      </w:tr>
      <w:tr w14:paraId="6E9DFE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14:paraId="1288C1FE">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过程</w:t>
            </w:r>
          </w:p>
        </w:tc>
        <w:tc>
          <w:tcPr>
            <w:tcW w:w="1199" w:type="dxa"/>
            <w:tcBorders>
              <w:tl2br w:val="nil"/>
              <w:tr2bl w:val="nil"/>
            </w:tcBorders>
            <w:shd w:val="clear" w:color="auto" w:fill="FFFFFF"/>
            <w:vAlign w:val="center"/>
          </w:tcPr>
          <w:p w14:paraId="6E7475CD">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资金管理</w:t>
            </w:r>
          </w:p>
        </w:tc>
        <w:tc>
          <w:tcPr>
            <w:tcW w:w="1411" w:type="dxa"/>
            <w:tcBorders>
              <w:tl2br w:val="nil"/>
              <w:tr2bl w:val="nil"/>
            </w:tcBorders>
            <w:shd w:val="clear" w:color="auto" w:fill="FFFFFF"/>
            <w:vAlign w:val="center"/>
          </w:tcPr>
          <w:p w14:paraId="536688D0">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资金使用</w:t>
            </w:r>
          </w:p>
          <w:p w14:paraId="1D698934">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合规性</w:t>
            </w:r>
          </w:p>
        </w:tc>
        <w:tc>
          <w:tcPr>
            <w:tcW w:w="2789" w:type="dxa"/>
            <w:tcBorders>
              <w:tl2br w:val="nil"/>
              <w:tr2bl w:val="nil"/>
            </w:tcBorders>
            <w:shd w:val="clear" w:color="000000" w:fill="FFFFFF"/>
            <w:vAlign w:val="center"/>
          </w:tcPr>
          <w:p w14:paraId="09EA1070">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0C38F254">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①是否符合国家财经法规和财务管理制度以及有关专项资金管理办法的规定；</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②资金的拨付是否有完整的审批程序和手续；</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③是否符合项目预算批复或合同规定的用途；</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④是否存在截留、挤占、挪用、虚列支出等情况。</w:t>
            </w:r>
          </w:p>
        </w:tc>
      </w:tr>
      <w:tr w14:paraId="31A1B2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14:paraId="6DA57E19">
            <w:pPr>
              <w:widowControl/>
              <w:ind w:firstLine="0" w:firstLineChars="0"/>
              <w:jc w:val="center"/>
              <w:rPr>
                <w:rFonts w:ascii="Times New Roman" w:hAnsi="Times New Roman" w:cs="Times New Roman"/>
                <w:color w:val="000000"/>
                <w:kern w:val="0"/>
                <w:sz w:val="22"/>
              </w:rPr>
            </w:pPr>
          </w:p>
        </w:tc>
        <w:tc>
          <w:tcPr>
            <w:tcW w:w="1199" w:type="dxa"/>
            <w:vMerge w:val="restart"/>
            <w:tcBorders>
              <w:tl2br w:val="nil"/>
              <w:tr2bl w:val="nil"/>
            </w:tcBorders>
            <w:shd w:val="clear" w:color="auto" w:fill="FFFFFF"/>
            <w:vAlign w:val="center"/>
          </w:tcPr>
          <w:p w14:paraId="6E743340">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组织实施</w:t>
            </w:r>
          </w:p>
        </w:tc>
        <w:tc>
          <w:tcPr>
            <w:tcW w:w="1411" w:type="dxa"/>
            <w:tcBorders>
              <w:tl2br w:val="nil"/>
              <w:tr2bl w:val="nil"/>
            </w:tcBorders>
            <w:shd w:val="clear" w:color="auto" w:fill="FFFFFF"/>
            <w:vAlign w:val="center"/>
          </w:tcPr>
          <w:p w14:paraId="741615E9">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管理制度</w:t>
            </w:r>
          </w:p>
          <w:p w14:paraId="22C23DAB">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健全性</w:t>
            </w:r>
          </w:p>
        </w:tc>
        <w:tc>
          <w:tcPr>
            <w:tcW w:w="2789" w:type="dxa"/>
            <w:tcBorders>
              <w:tl2br w:val="nil"/>
              <w:tr2bl w:val="nil"/>
            </w:tcBorders>
            <w:shd w:val="clear" w:color="000000" w:fill="FFFFFF"/>
            <w:vAlign w:val="center"/>
          </w:tcPr>
          <w:p w14:paraId="567659C7">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5075C26E">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①是否已制定或具有相应的财务和业务管理制度；</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②财务和业务管理制度是否合法、合规、完整。</w:t>
            </w:r>
          </w:p>
        </w:tc>
      </w:tr>
      <w:tr w14:paraId="207155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14:paraId="31CF5F15">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14:paraId="1D549E03">
            <w:pPr>
              <w:widowControl/>
              <w:ind w:firstLine="0" w:firstLineChars="0"/>
              <w:jc w:val="center"/>
              <w:rPr>
                <w:rFonts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14:paraId="61EFE3CB">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制度执行</w:t>
            </w:r>
          </w:p>
          <w:p w14:paraId="1A85E489">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有效性</w:t>
            </w:r>
          </w:p>
        </w:tc>
        <w:tc>
          <w:tcPr>
            <w:tcW w:w="2789" w:type="dxa"/>
            <w:tcBorders>
              <w:tl2br w:val="nil"/>
              <w:tr2bl w:val="nil"/>
            </w:tcBorders>
            <w:shd w:val="clear" w:color="000000" w:fill="FFFFFF"/>
            <w:vAlign w:val="center"/>
          </w:tcPr>
          <w:p w14:paraId="305452CC">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783852C8">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评价要点：</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①是否遵守相关法律法规和相关管理规定；</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②项目调整及支出调整手续是否完备；</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③项目合同书、验收报告、技术鉴定等资料是否齐全并及时归档；</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④项目实施的人员条件、场地设备、信息支撑等是否落实到位。</w:t>
            </w:r>
          </w:p>
        </w:tc>
      </w:tr>
      <w:tr w14:paraId="3F4DC9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14:paraId="3F1D47DC">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产出</w:t>
            </w:r>
          </w:p>
        </w:tc>
        <w:tc>
          <w:tcPr>
            <w:tcW w:w="1199" w:type="dxa"/>
            <w:vMerge w:val="restart"/>
            <w:tcBorders>
              <w:tl2br w:val="nil"/>
              <w:tr2bl w:val="nil"/>
            </w:tcBorders>
            <w:shd w:val="clear" w:color="auto" w:fill="FFFFFF"/>
            <w:vAlign w:val="center"/>
          </w:tcPr>
          <w:p w14:paraId="2827762F">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产出数量</w:t>
            </w:r>
          </w:p>
        </w:tc>
        <w:tc>
          <w:tcPr>
            <w:tcW w:w="1411" w:type="dxa"/>
            <w:tcBorders>
              <w:tl2br w:val="nil"/>
              <w:tr2bl w:val="nil"/>
            </w:tcBorders>
            <w:shd w:val="clear" w:color="auto" w:fill="FFFFFF"/>
          </w:tcPr>
          <w:p w14:paraId="19D3A027">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全年刑事案件立案数</w:t>
            </w:r>
          </w:p>
        </w:tc>
        <w:tc>
          <w:tcPr>
            <w:tcW w:w="2789" w:type="dxa"/>
            <w:vMerge w:val="restart"/>
            <w:tcBorders>
              <w:tl2br w:val="nil"/>
              <w:tr2bl w:val="nil"/>
            </w:tcBorders>
            <w:shd w:val="clear" w:color="000000" w:fill="FFFFFF"/>
            <w:vAlign w:val="center"/>
          </w:tcPr>
          <w:p w14:paraId="2B6374B8">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14:paraId="05F0A5E2">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实际完成率=（实际产出数/计划产出数）×100%。</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实际产出数：一定时期（本年度或项目期）内项目实际产出的产品或提供的服务数量。</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计划产出数：项目绩效目标确定的在一定时期（本年度或项目期）内计划产出的产品或提供的服务数量。</w:t>
            </w:r>
          </w:p>
        </w:tc>
      </w:tr>
      <w:tr w14:paraId="3FAD11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26" w:hRule="atLeast"/>
          <w:jc w:val="center"/>
        </w:trPr>
        <w:tc>
          <w:tcPr>
            <w:tcW w:w="1155" w:type="dxa"/>
            <w:vMerge w:val="continue"/>
            <w:tcBorders>
              <w:tl2br w:val="nil"/>
              <w:tr2bl w:val="nil"/>
            </w:tcBorders>
            <w:shd w:val="clear" w:color="auto" w:fill="FFFFFF"/>
            <w:vAlign w:val="center"/>
          </w:tcPr>
          <w:p w14:paraId="4B242B05">
            <w:pPr>
              <w:ind w:firstLine="440"/>
              <w:jc w:val="center"/>
              <w:rPr>
                <w:rFonts w:ascii="Times New Roman" w:hAnsi="Times New Roman" w:cs="Times New Roman"/>
                <w:color w:val="000000"/>
                <w:kern w:val="0"/>
                <w:sz w:val="22"/>
              </w:rPr>
            </w:pPr>
          </w:p>
        </w:tc>
        <w:tc>
          <w:tcPr>
            <w:tcW w:w="1199" w:type="dxa"/>
            <w:vMerge w:val="continue"/>
            <w:tcBorders>
              <w:tl2br w:val="nil"/>
              <w:tr2bl w:val="nil"/>
            </w:tcBorders>
            <w:shd w:val="clear" w:color="auto" w:fill="FFFFFF"/>
            <w:vAlign w:val="center"/>
          </w:tcPr>
          <w:p w14:paraId="43C5DA47">
            <w:pPr>
              <w:widowControl/>
              <w:ind w:firstLine="0" w:firstLineChars="0"/>
              <w:jc w:val="center"/>
              <w:rPr>
                <w:rFonts w:ascii="Times New Roman" w:hAnsi="Times New Roman" w:cs="Times New Roman"/>
                <w:color w:val="000000"/>
                <w:kern w:val="0"/>
                <w:sz w:val="22"/>
              </w:rPr>
            </w:pPr>
          </w:p>
        </w:tc>
        <w:tc>
          <w:tcPr>
            <w:tcW w:w="1411" w:type="dxa"/>
            <w:tcBorders>
              <w:tl2br w:val="nil"/>
              <w:tr2bl w:val="nil"/>
            </w:tcBorders>
            <w:shd w:val="clear" w:color="auto" w:fill="FFFFFF"/>
          </w:tcPr>
          <w:p w14:paraId="7DE6A10B">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执法装</w:t>
            </w:r>
            <w:r>
              <w:rPr>
                <w:rFonts w:hint="eastAsia" w:ascii="Times New Roman" w:hAnsi="Times New Roman" w:cs="Times New Roman"/>
                <w:color w:val="000000"/>
                <w:kern w:val="0"/>
                <w:sz w:val="22"/>
              </w:rPr>
              <w:t>备购置种类</w:t>
            </w:r>
          </w:p>
        </w:tc>
        <w:tc>
          <w:tcPr>
            <w:tcW w:w="2789" w:type="dxa"/>
            <w:vMerge w:val="continue"/>
            <w:tcBorders>
              <w:tl2br w:val="nil"/>
              <w:tr2bl w:val="nil"/>
            </w:tcBorders>
            <w:shd w:val="clear" w:color="000000" w:fill="FFFFFF"/>
            <w:vAlign w:val="center"/>
          </w:tcPr>
          <w:p w14:paraId="5106D08F">
            <w:pPr>
              <w:widowControl/>
              <w:ind w:firstLine="0" w:firstLineChars="0"/>
              <w:rPr>
                <w:rFonts w:ascii="Times New Roman" w:hAnsi="Times New Roman" w:cs="Times New Roman"/>
                <w:color w:val="000000"/>
                <w:kern w:val="0"/>
                <w:sz w:val="22"/>
              </w:rPr>
            </w:pPr>
          </w:p>
        </w:tc>
        <w:tc>
          <w:tcPr>
            <w:tcW w:w="7341" w:type="dxa"/>
            <w:vMerge w:val="continue"/>
            <w:tcBorders>
              <w:tl2br w:val="nil"/>
              <w:tr2bl w:val="nil"/>
            </w:tcBorders>
            <w:shd w:val="clear" w:color="000000" w:fill="FFFFFF"/>
            <w:vAlign w:val="center"/>
          </w:tcPr>
          <w:p w14:paraId="5A4A69FD">
            <w:pPr>
              <w:widowControl/>
              <w:ind w:firstLine="0" w:firstLineChars="0"/>
              <w:rPr>
                <w:rFonts w:ascii="Times New Roman" w:hAnsi="Times New Roman" w:cs="Times New Roman"/>
                <w:color w:val="000000"/>
                <w:kern w:val="0"/>
                <w:sz w:val="22"/>
              </w:rPr>
            </w:pPr>
          </w:p>
        </w:tc>
      </w:tr>
      <w:tr w14:paraId="498F9F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00" w:hRule="atLeast"/>
          <w:jc w:val="center"/>
        </w:trPr>
        <w:tc>
          <w:tcPr>
            <w:tcW w:w="1155" w:type="dxa"/>
            <w:vMerge w:val="continue"/>
            <w:tcBorders>
              <w:tl2br w:val="nil"/>
              <w:tr2bl w:val="nil"/>
            </w:tcBorders>
            <w:shd w:val="clear" w:color="auto" w:fill="FFFFFF"/>
            <w:vAlign w:val="center"/>
          </w:tcPr>
          <w:p w14:paraId="5C5514CB">
            <w:pPr>
              <w:widowControl/>
              <w:ind w:firstLine="0" w:firstLineChars="0"/>
              <w:jc w:val="center"/>
              <w:rPr>
                <w:rFonts w:ascii="Times New Roman" w:hAnsi="Times New Roman" w:cs="Times New Roman"/>
                <w:color w:val="000000"/>
                <w:kern w:val="0"/>
                <w:sz w:val="22"/>
              </w:rPr>
            </w:pPr>
          </w:p>
        </w:tc>
        <w:tc>
          <w:tcPr>
            <w:tcW w:w="1199" w:type="dxa"/>
            <w:vMerge w:val="restart"/>
            <w:tcBorders>
              <w:tl2br w:val="nil"/>
              <w:tr2bl w:val="nil"/>
            </w:tcBorders>
            <w:shd w:val="clear" w:color="auto" w:fill="FFFFFF"/>
            <w:vAlign w:val="center"/>
          </w:tcPr>
          <w:p w14:paraId="0A0C3AC3">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产出质量</w:t>
            </w:r>
          </w:p>
        </w:tc>
        <w:tc>
          <w:tcPr>
            <w:tcW w:w="1411" w:type="dxa"/>
            <w:tcBorders>
              <w:bottom w:val="single" w:color="auto" w:sz="4" w:space="0"/>
              <w:tl2br w:val="nil"/>
              <w:tr2bl w:val="nil"/>
            </w:tcBorders>
            <w:shd w:val="clear" w:color="auto" w:fill="FFFFFF"/>
            <w:vAlign w:val="center"/>
          </w:tcPr>
          <w:p w14:paraId="55AE377D">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刑事案件破案率</w:t>
            </w:r>
          </w:p>
        </w:tc>
        <w:tc>
          <w:tcPr>
            <w:tcW w:w="2789" w:type="dxa"/>
            <w:vMerge w:val="restart"/>
            <w:tcBorders>
              <w:tl2br w:val="nil"/>
              <w:tr2bl w:val="nil"/>
            </w:tcBorders>
            <w:shd w:val="clear" w:color="000000" w:fill="FFFFFF"/>
            <w:vAlign w:val="center"/>
          </w:tcPr>
          <w:p w14:paraId="303F6BDE">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14:paraId="727D3CF2">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质量达标率=（质量达标产出数/实际产出数）×100%。</w:t>
            </w:r>
          </w:p>
          <w:p w14:paraId="6E976A8B">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44F209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0" w:hRule="atLeast"/>
          <w:jc w:val="center"/>
        </w:trPr>
        <w:tc>
          <w:tcPr>
            <w:tcW w:w="1155" w:type="dxa"/>
            <w:vMerge w:val="continue"/>
            <w:tcBorders>
              <w:tl2br w:val="nil"/>
              <w:tr2bl w:val="nil"/>
            </w:tcBorders>
            <w:shd w:val="clear" w:color="auto" w:fill="FFFFFF"/>
            <w:vAlign w:val="center"/>
          </w:tcPr>
          <w:p w14:paraId="42FD72D4">
            <w:pPr>
              <w:widowControl/>
              <w:ind w:firstLine="0" w:firstLineChars="0"/>
              <w:jc w:val="center"/>
              <w:rPr>
                <w:rFonts w:ascii="Times New Roman" w:hAnsi="Times New Roman" w:cs="Times New Roman"/>
                <w:color w:val="000000"/>
                <w:kern w:val="0"/>
                <w:sz w:val="22"/>
              </w:rPr>
            </w:pPr>
          </w:p>
        </w:tc>
        <w:tc>
          <w:tcPr>
            <w:tcW w:w="1199" w:type="dxa"/>
            <w:vMerge w:val="continue"/>
            <w:tcBorders>
              <w:tl2br w:val="nil"/>
              <w:tr2bl w:val="nil"/>
            </w:tcBorders>
            <w:shd w:val="clear" w:color="auto" w:fill="FFFFFF"/>
            <w:vAlign w:val="center"/>
          </w:tcPr>
          <w:p w14:paraId="45F17388">
            <w:pPr>
              <w:widowControl/>
              <w:ind w:firstLine="0" w:firstLineChars="0"/>
              <w:jc w:val="center"/>
              <w:rPr>
                <w:rFonts w:ascii="Times New Roman" w:hAnsi="Times New Roman" w:cs="Times New Roman"/>
                <w:color w:val="000000"/>
                <w:kern w:val="0"/>
                <w:sz w:val="22"/>
              </w:rPr>
            </w:pPr>
          </w:p>
        </w:tc>
        <w:tc>
          <w:tcPr>
            <w:tcW w:w="1411" w:type="dxa"/>
            <w:tcBorders>
              <w:top w:val="single" w:color="auto" w:sz="4" w:space="0"/>
              <w:tl2br w:val="nil"/>
              <w:tr2bl w:val="nil"/>
            </w:tcBorders>
            <w:shd w:val="clear" w:color="auto" w:fill="FFFFFF"/>
            <w:vAlign w:val="center"/>
          </w:tcPr>
          <w:p w14:paraId="4BAD2D04">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购置装备质量合格率</w:t>
            </w:r>
          </w:p>
        </w:tc>
        <w:tc>
          <w:tcPr>
            <w:tcW w:w="2789" w:type="dxa"/>
            <w:vMerge w:val="continue"/>
            <w:tcBorders>
              <w:tl2br w:val="nil"/>
              <w:tr2bl w:val="nil"/>
            </w:tcBorders>
            <w:shd w:val="clear" w:color="000000" w:fill="FFFFFF"/>
            <w:vAlign w:val="center"/>
          </w:tcPr>
          <w:p w14:paraId="45F02FAA">
            <w:pPr>
              <w:widowControl/>
              <w:ind w:firstLine="0" w:firstLineChars="0"/>
              <w:rPr>
                <w:rFonts w:ascii="Times New Roman" w:hAnsi="Times New Roman" w:cs="Times New Roman"/>
                <w:color w:val="000000"/>
                <w:kern w:val="0"/>
                <w:sz w:val="22"/>
              </w:rPr>
            </w:pPr>
          </w:p>
        </w:tc>
        <w:tc>
          <w:tcPr>
            <w:tcW w:w="7341" w:type="dxa"/>
            <w:vMerge w:val="continue"/>
            <w:tcBorders>
              <w:tl2br w:val="nil"/>
              <w:tr2bl w:val="nil"/>
            </w:tcBorders>
            <w:shd w:val="clear" w:color="000000" w:fill="FFFFFF"/>
            <w:vAlign w:val="center"/>
          </w:tcPr>
          <w:p w14:paraId="13E77A49">
            <w:pPr>
              <w:widowControl/>
              <w:ind w:firstLine="0" w:firstLineChars="0"/>
              <w:rPr>
                <w:rFonts w:ascii="Times New Roman" w:hAnsi="Times New Roman" w:cs="Times New Roman"/>
                <w:color w:val="000000"/>
                <w:kern w:val="0"/>
                <w:sz w:val="22"/>
              </w:rPr>
            </w:pPr>
          </w:p>
        </w:tc>
      </w:tr>
      <w:tr w14:paraId="4AC0F9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14:paraId="1AF47D13">
            <w:pPr>
              <w:widowControl/>
              <w:ind w:firstLine="0" w:firstLineChars="0"/>
              <w:jc w:val="center"/>
              <w:rPr>
                <w:rFonts w:ascii="Times New Roman" w:hAnsi="Times New Roman" w:cs="Times New Roman"/>
                <w:color w:val="000000"/>
                <w:kern w:val="0"/>
                <w:sz w:val="22"/>
              </w:rPr>
            </w:pPr>
          </w:p>
        </w:tc>
        <w:tc>
          <w:tcPr>
            <w:tcW w:w="1199" w:type="dxa"/>
            <w:tcBorders>
              <w:tl2br w:val="nil"/>
              <w:tr2bl w:val="nil"/>
            </w:tcBorders>
            <w:shd w:val="clear" w:color="auto" w:fill="FFFFFF"/>
            <w:vAlign w:val="center"/>
          </w:tcPr>
          <w:p w14:paraId="5C903C67">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产出时效</w:t>
            </w:r>
          </w:p>
        </w:tc>
        <w:tc>
          <w:tcPr>
            <w:tcW w:w="1411" w:type="dxa"/>
            <w:tcBorders>
              <w:tl2br w:val="nil"/>
              <w:tr2bl w:val="nil"/>
            </w:tcBorders>
            <w:shd w:val="clear" w:color="auto" w:fill="FFFFFF"/>
            <w:vAlign w:val="center"/>
          </w:tcPr>
          <w:p w14:paraId="0253264A">
            <w:pPr>
              <w:widowControl/>
              <w:ind w:firstLine="0" w:firstLineChars="0"/>
              <w:rPr>
                <w:rFonts w:ascii="Times New Roman" w:hAnsi="Times New Roman" w:cs="Times New Roman"/>
                <w:color w:val="000000"/>
                <w:kern w:val="0"/>
                <w:sz w:val="22"/>
              </w:rPr>
            </w:pPr>
            <w:r>
              <w:rPr>
                <w:rFonts w:hint="eastAsia" w:ascii="Times New Roman" w:hAnsi="Times New Roman" w:cs="Times New Roman"/>
                <w:color w:val="000000"/>
                <w:kern w:val="0"/>
                <w:sz w:val="22"/>
              </w:rPr>
              <w:t>资金支付及时率</w:t>
            </w:r>
          </w:p>
        </w:tc>
        <w:tc>
          <w:tcPr>
            <w:tcW w:w="2789" w:type="dxa"/>
            <w:tcBorders>
              <w:tl2br w:val="nil"/>
              <w:tr2bl w:val="nil"/>
            </w:tcBorders>
            <w:shd w:val="clear" w:color="000000" w:fill="FFFFFF"/>
            <w:vAlign w:val="center"/>
          </w:tcPr>
          <w:p w14:paraId="1032EAED">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4150C04C">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实际完成时间：项目实施单位完成该项目实际所耗用的时间。</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计划完成时间：按照项目实施计划或相关规定完成该项目所需的时间。</w:t>
            </w:r>
          </w:p>
        </w:tc>
      </w:tr>
      <w:tr w14:paraId="1F452D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85" w:hRule="atLeast"/>
          <w:jc w:val="center"/>
        </w:trPr>
        <w:tc>
          <w:tcPr>
            <w:tcW w:w="1155" w:type="dxa"/>
            <w:vMerge w:val="continue"/>
            <w:tcBorders>
              <w:tl2br w:val="nil"/>
              <w:tr2bl w:val="nil"/>
            </w:tcBorders>
            <w:shd w:val="clear" w:color="auto" w:fill="FFFFFF"/>
            <w:vAlign w:val="center"/>
          </w:tcPr>
          <w:p w14:paraId="66646131">
            <w:pPr>
              <w:widowControl/>
              <w:ind w:firstLine="0" w:firstLineChars="0"/>
              <w:jc w:val="center"/>
              <w:rPr>
                <w:rFonts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14:paraId="29FEBC89">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产出成本</w:t>
            </w:r>
          </w:p>
        </w:tc>
        <w:tc>
          <w:tcPr>
            <w:tcW w:w="1411" w:type="dxa"/>
            <w:tcBorders>
              <w:bottom w:val="single" w:color="auto" w:sz="4" w:space="0"/>
              <w:tl2br w:val="nil"/>
              <w:tr2bl w:val="nil"/>
            </w:tcBorders>
            <w:shd w:val="clear" w:color="auto" w:fill="FFFFFF"/>
            <w:vAlign w:val="center"/>
          </w:tcPr>
          <w:p w14:paraId="2B1F4AEE">
            <w:pPr>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办案业务经费</w:t>
            </w:r>
          </w:p>
        </w:tc>
        <w:tc>
          <w:tcPr>
            <w:tcW w:w="2789" w:type="dxa"/>
            <w:vMerge w:val="restart"/>
            <w:tcBorders>
              <w:tl2br w:val="nil"/>
              <w:tr2bl w:val="nil"/>
            </w:tcBorders>
            <w:shd w:val="clear" w:color="000000" w:fill="FFFFFF"/>
            <w:vAlign w:val="center"/>
          </w:tcPr>
          <w:p w14:paraId="04ACF5E1">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14:paraId="0AEB12AE">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br w:type="textWrapping"/>
            </w:r>
            <w:r>
              <w:rPr>
                <w:rFonts w:ascii="Times New Roman" w:hAnsi="Times New Roman" w:cs="Times New Roman"/>
                <w:color w:val="000000"/>
                <w:kern w:val="0"/>
                <w:sz w:val="22"/>
              </w:rPr>
              <w:t>成本节约率=[（计划成本-实际成本）/计划成本]×100%。</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实际成本：项目实施单位如期、保质、保量完成既定工作目标实际所耗费的支出。</w:t>
            </w:r>
            <w:r>
              <w:rPr>
                <w:rFonts w:ascii="Times New Roman" w:hAnsi="Times New Roman" w:cs="Times New Roman"/>
                <w:color w:val="000000"/>
                <w:kern w:val="0"/>
                <w:sz w:val="22"/>
              </w:rPr>
              <w:br w:type="textWrapping"/>
            </w:r>
            <w:r>
              <w:rPr>
                <w:rFonts w:ascii="Times New Roman" w:hAnsi="Times New Roman" w:cs="Times New Roman"/>
                <w:color w:val="000000"/>
                <w:kern w:val="0"/>
                <w:sz w:val="22"/>
              </w:rPr>
              <w:t>计划成本：项目实施单位为完成工作目标计划安排的支出，一般以项目预算为参考。</w:t>
            </w:r>
          </w:p>
        </w:tc>
      </w:tr>
      <w:tr w14:paraId="1ABEEF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5" w:hRule="atLeast"/>
          <w:jc w:val="center"/>
        </w:trPr>
        <w:tc>
          <w:tcPr>
            <w:tcW w:w="1155" w:type="dxa"/>
            <w:vMerge w:val="continue"/>
            <w:tcBorders>
              <w:tl2br w:val="nil"/>
              <w:tr2bl w:val="nil"/>
            </w:tcBorders>
            <w:shd w:val="clear" w:color="auto" w:fill="FFFFFF"/>
            <w:vAlign w:val="center"/>
          </w:tcPr>
          <w:p w14:paraId="2345596D">
            <w:pPr>
              <w:widowControl/>
              <w:ind w:firstLine="0" w:firstLineChars="0"/>
              <w:jc w:val="center"/>
              <w:rPr>
                <w:rFonts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14:paraId="0E8A6C39">
            <w:pPr>
              <w:widowControl/>
              <w:ind w:firstLine="0" w:firstLineChars="0"/>
              <w:jc w:val="center"/>
              <w:rPr>
                <w:rFonts w:ascii="Times New Roman" w:hAnsi="Times New Roman" w:cs="Times New Roman"/>
                <w:color w:val="000000"/>
                <w:kern w:val="0"/>
                <w:sz w:val="22"/>
              </w:rPr>
            </w:pPr>
          </w:p>
        </w:tc>
        <w:tc>
          <w:tcPr>
            <w:tcW w:w="1411" w:type="dxa"/>
            <w:tcBorders>
              <w:top w:val="single" w:color="auto" w:sz="4" w:space="0"/>
              <w:tl2br w:val="nil"/>
              <w:tr2bl w:val="nil"/>
            </w:tcBorders>
            <w:shd w:val="clear" w:color="auto" w:fill="FFFFFF"/>
            <w:vAlign w:val="center"/>
          </w:tcPr>
          <w:p w14:paraId="1ECD1EAC">
            <w:pPr>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装备经费</w:t>
            </w:r>
          </w:p>
        </w:tc>
        <w:tc>
          <w:tcPr>
            <w:tcW w:w="2789" w:type="dxa"/>
            <w:vMerge w:val="continue"/>
            <w:tcBorders>
              <w:tl2br w:val="nil"/>
              <w:tr2bl w:val="nil"/>
            </w:tcBorders>
            <w:shd w:val="clear" w:color="000000" w:fill="FFFFFF"/>
            <w:vAlign w:val="center"/>
          </w:tcPr>
          <w:p w14:paraId="6FC9EFA6">
            <w:pPr>
              <w:widowControl/>
              <w:ind w:firstLine="0" w:firstLineChars="0"/>
              <w:rPr>
                <w:rFonts w:ascii="Times New Roman" w:hAnsi="Times New Roman" w:cs="Times New Roman"/>
                <w:color w:val="000000"/>
                <w:kern w:val="0"/>
                <w:sz w:val="22"/>
              </w:rPr>
            </w:pPr>
          </w:p>
        </w:tc>
        <w:tc>
          <w:tcPr>
            <w:tcW w:w="7341" w:type="dxa"/>
            <w:vMerge w:val="continue"/>
            <w:tcBorders>
              <w:tl2br w:val="nil"/>
              <w:tr2bl w:val="nil"/>
            </w:tcBorders>
            <w:shd w:val="clear" w:color="000000" w:fill="FFFFFF"/>
            <w:vAlign w:val="center"/>
          </w:tcPr>
          <w:p w14:paraId="7BF5B146">
            <w:pPr>
              <w:widowControl/>
              <w:ind w:firstLine="0" w:firstLineChars="0"/>
              <w:rPr>
                <w:rFonts w:ascii="Times New Roman" w:hAnsi="Times New Roman" w:cs="Times New Roman"/>
                <w:color w:val="000000"/>
                <w:kern w:val="0"/>
                <w:sz w:val="22"/>
              </w:rPr>
            </w:pPr>
          </w:p>
        </w:tc>
      </w:tr>
      <w:tr w14:paraId="147CB2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14:paraId="08753339">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效益</w:t>
            </w:r>
          </w:p>
        </w:tc>
        <w:tc>
          <w:tcPr>
            <w:tcW w:w="1199" w:type="dxa"/>
            <w:tcBorders>
              <w:tl2br w:val="nil"/>
              <w:tr2bl w:val="nil"/>
            </w:tcBorders>
            <w:shd w:val="clear" w:color="auto" w:fill="FFFFFF"/>
            <w:vAlign w:val="center"/>
          </w:tcPr>
          <w:p w14:paraId="520DB12B">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社会效益指标</w:t>
            </w:r>
          </w:p>
        </w:tc>
        <w:tc>
          <w:tcPr>
            <w:tcW w:w="1411" w:type="dxa"/>
            <w:tcBorders>
              <w:tl2br w:val="nil"/>
              <w:tr2bl w:val="nil"/>
            </w:tcBorders>
            <w:shd w:val="clear" w:color="auto" w:fill="FFFFFF"/>
            <w:vAlign w:val="center"/>
          </w:tcPr>
          <w:p w14:paraId="0136DDB5">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有效维护辖区社会治安稳定</w:t>
            </w:r>
          </w:p>
        </w:tc>
        <w:tc>
          <w:tcPr>
            <w:tcW w:w="2789" w:type="dxa"/>
            <w:tcBorders>
              <w:tl2br w:val="nil"/>
              <w:tr2bl w:val="nil"/>
            </w:tcBorders>
            <w:shd w:val="clear" w:color="auto" w:fill="FFFFFF"/>
            <w:vAlign w:val="center"/>
          </w:tcPr>
          <w:p w14:paraId="3ADB8DC4">
            <w:pPr>
              <w:widowControl/>
              <w:ind w:firstLine="0" w:firstLineChars="0"/>
              <w:jc w:val="left"/>
              <w:rPr>
                <w:rFonts w:ascii="Times New Roman" w:hAnsi="Times New Roman" w:cs="Times New Roman"/>
                <w:color w:val="000000"/>
                <w:kern w:val="0"/>
                <w:sz w:val="22"/>
              </w:rPr>
            </w:pPr>
            <w:r>
              <w:rPr>
                <w:rFonts w:ascii="Times New Roman" w:hAnsi="Times New Roman" w:cs="Times New Roman"/>
                <w:color w:val="000000"/>
                <w:kern w:val="0"/>
                <w:sz w:val="22"/>
              </w:rPr>
              <w:t>项目实施所产生的效益。</w:t>
            </w:r>
          </w:p>
        </w:tc>
        <w:tc>
          <w:tcPr>
            <w:tcW w:w="7341" w:type="dxa"/>
            <w:tcBorders>
              <w:tl2br w:val="nil"/>
              <w:tr2bl w:val="nil"/>
            </w:tcBorders>
            <w:shd w:val="clear" w:color="auto" w:fill="FFFFFF"/>
            <w:vAlign w:val="center"/>
          </w:tcPr>
          <w:p w14:paraId="0D21FD20">
            <w:pPr>
              <w:widowControl/>
              <w:ind w:firstLine="0" w:firstLineChars="0"/>
              <w:rPr>
                <w:rFonts w:ascii="Times New Roman" w:hAnsi="Times New Roman" w:cs="Times New Roman"/>
                <w:color w:val="000000"/>
                <w:kern w:val="0"/>
                <w:sz w:val="22"/>
              </w:rPr>
            </w:pPr>
            <w:r>
              <w:rPr>
                <w:rFonts w:ascii="Times New Roman" w:hAnsi="Times New Roman" w:cs="Times New Roman"/>
                <w:color w:val="000000"/>
                <w:kern w:val="0"/>
                <w:sz w:val="22"/>
              </w:rPr>
              <w:t>项目实施所产生的社会效益、经济效益、生态效益、可持续影响等。可根据项目实际情况有选择地设置和细化。</w:t>
            </w:r>
          </w:p>
        </w:tc>
      </w:tr>
    </w:tbl>
    <w:p w14:paraId="0AA98780">
      <w:pPr>
        <w:ind w:firstLine="0" w:firstLineChars="0"/>
        <w:jc w:val="center"/>
        <w:rPr>
          <w:rFonts w:ascii="Times New Roman" w:hAnsi="Times New Roman" w:cs="Times New Roman"/>
        </w:rPr>
      </w:pPr>
    </w:p>
    <w:p w14:paraId="44C48B4B">
      <w:pPr>
        <w:ind w:firstLine="0" w:firstLineChars="0"/>
        <w:jc w:val="center"/>
        <w:rPr>
          <w:rFonts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14:paraId="746B867E">
      <w:pPr>
        <w:pStyle w:val="4"/>
        <w:spacing w:before="0" w:after="0" w:line="560" w:lineRule="exact"/>
        <w:ind w:firstLine="643"/>
        <w:rPr>
          <w:rFonts w:ascii="Times New Roman" w:hAnsi="Times New Roman" w:cs="Times New Roman"/>
        </w:rPr>
      </w:pPr>
      <w:bookmarkStart w:id="22" w:name="_Toc17754"/>
      <w:bookmarkStart w:id="23" w:name="_Hlk67586038"/>
      <w:r>
        <w:rPr>
          <w:rFonts w:ascii="Times New Roman" w:hAnsi="Times New Roman" w:cs="Times New Roman"/>
        </w:rPr>
        <w:t>3. 评价方法</w:t>
      </w:r>
      <w:bookmarkEnd w:id="22"/>
    </w:p>
    <w:bookmarkEnd w:id="23"/>
    <w:p w14:paraId="0EF72E2E">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《关于印发&lt;项目支出绩效评价管理办法&gt;的通知》（财预〔2020〕10号）文件指出部门评价的方法主要</w:t>
      </w:r>
      <w:r>
        <w:rPr>
          <w:rFonts w:hint="eastAsia" w:ascii="Times New Roman" w:hAnsi="Times New Roman" w:cs="Times New Roman"/>
          <w:spacing w:val="8"/>
          <w:sz w:val="32"/>
          <w:szCs w:val="32"/>
        </w:rPr>
        <w:t>是</w:t>
      </w:r>
      <w:r>
        <w:rPr>
          <w:rFonts w:ascii="Times New Roman" w:hAnsi="Times New Roman" w:cs="Times New Roman"/>
          <w:spacing w:val="8"/>
          <w:sz w:val="32"/>
          <w:szCs w:val="32"/>
        </w:rPr>
        <w:t>比较法。</w:t>
      </w:r>
    </w:p>
    <w:p w14:paraId="2A3E31F5">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w:t>
      </w:r>
      <w:r>
        <w:rPr>
          <w:rFonts w:hint="eastAsia" w:ascii="Times New Roman" w:hAnsi="Times New Roman" w:cs="Times New Roman"/>
          <w:spacing w:val="8"/>
          <w:sz w:val="32"/>
          <w:szCs w:val="32"/>
        </w:rPr>
        <w:t>1</w:t>
      </w:r>
      <w:r>
        <w:rPr>
          <w:rFonts w:ascii="Times New Roman" w:hAnsi="Times New Roman" w:cs="Times New Roman"/>
          <w:spacing w:val="8"/>
          <w:sz w:val="32"/>
          <w:szCs w:val="32"/>
        </w:rPr>
        <w:t>）比较法。是指将实施情况与绩效目标、历史情况、不同部门和地区同类支出情况进行比较的方法。</w:t>
      </w:r>
    </w:p>
    <w:p w14:paraId="4520E11B">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根据本项目</w:t>
      </w:r>
      <w:r>
        <w:rPr>
          <w:rFonts w:hint="eastAsia" w:ascii="Times New Roman" w:hAnsi="Times New Roman" w:cs="Times New Roman"/>
          <w:spacing w:val="8"/>
          <w:sz w:val="32"/>
          <w:szCs w:val="32"/>
        </w:rPr>
        <w:t>乌财行【2022】199号关于提前下达2023年中央政法纪检监察转移支付资金预算的通知</w:t>
      </w:r>
      <w:r>
        <w:rPr>
          <w:rFonts w:ascii="Times New Roman" w:hAnsi="Times New Roman" w:cs="Times New Roman"/>
          <w:spacing w:val="8"/>
          <w:sz w:val="32"/>
          <w:szCs w:val="32"/>
        </w:rPr>
        <w:t>的特点，本次评价主要采用比较法</w:t>
      </w:r>
      <w:r>
        <w:rPr>
          <w:rFonts w:ascii="Times New Roman" w:hAnsi="Times New Roman" w:cs="Times New Roman"/>
          <w:color w:val="FF0000"/>
          <w:spacing w:val="8"/>
          <w:sz w:val="32"/>
          <w:szCs w:val="32"/>
        </w:rPr>
        <w:t>，</w:t>
      </w:r>
      <w:r>
        <w:rPr>
          <w:rFonts w:ascii="Times New Roman" w:hAnsi="Times New Roman" w:cs="Times New Roman"/>
          <w:spacing w:val="8"/>
          <w:sz w:val="32"/>
          <w:szCs w:val="32"/>
        </w:rPr>
        <w:t>对项目总预算和明细预算的内容、标准、计划是否经济合理进行深入分析，以考察实际产出和效益是否达到预期。</w:t>
      </w:r>
    </w:p>
    <w:p w14:paraId="0D3DE895">
      <w:pPr>
        <w:pStyle w:val="4"/>
        <w:spacing w:before="0" w:after="0" w:line="560" w:lineRule="exact"/>
        <w:ind w:firstLine="643"/>
        <w:rPr>
          <w:rFonts w:ascii="Times New Roman" w:hAnsi="Times New Roman" w:cs="Times New Roman"/>
        </w:rPr>
      </w:pPr>
      <w:bookmarkStart w:id="24" w:name="_Toc10851"/>
      <w:r>
        <w:rPr>
          <w:rFonts w:ascii="Times New Roman" w:hAnsi="Times New Roman" w:cs="Times New Roman"/>
        </w:rPr>
        <w:t>4. 评价标准</w:t>
      </w:r>
      <w:bookmarkEnd w:id="24"/>
    </w:p>
    <w:p w14:paraId="1F9691B5">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绩效评价标准主要包括计划标准、行业标准、历史标准等，用于对绩效指标完成情况进行比较。</w:t>
      </w:r>
    </w:p>
    <w:p w14:paraId="4B492C69">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（1）计划标准。指以预先制定的目标、计划、预算、定额等作为评价标准。</w:t>
      </w:r>
    </w:p>
    <w:p w14:paraId="3AC21E62">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（2）行业标准。指参照国家公布的行业指标数据制定的评价标准。</w:t>
      </w:r>
    </w:p>
    <w:p w14:paraId="52649F14">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（3）历史标准。指参照历史数据制定的评价标准，为体现绩效改进的原则，在可实现的条件下应当确定相对较高的评价标准。</w:t>
      </w:r>
    </w:p>
    <w:p w14:paraId="388DBFA9">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在上述评价标准的基础上，本次评价依据以下文件为重要指导和准绳：</w:t>
      </w:r>
    </w:p>
    <w:p w14:paraId="0777870D">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·《中共中央国务院关于全面实施预算绩效管理的意见》（中发〔2018〕34号）</w:t>
      </w:r>
    </w:p>
    <w:p w14:paraId="3784A865">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·《关于印发&lt;乌鲁木齐市本级部门预算绩效目标管理暂行办法&gt;的通知》（乌财预〔2018〕56号）</w:t>
      </w:r>
    </w:p>
    <w:p w14:paraId="213BD6CC">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·《关于做好2019年部门预算项目支出绩效目标管理有关事宜的通知》（乌财预〔2018〕76号）</w:t>
      </w:r>
    </w:p>
    <w:p w14:paraId="684240CF">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·《项目支出绩效评价管理办法》（财预〔2020〕10号）</w:t>
      </w:r>
    </w:p>
    <w:p w14:paraId="6B1BB913">
      <w:pPr>
        <w:spacing w:line="560" w:lineRule="exact"/>
        <w:ind w:firstLine="672"/>
        <w:rPr>
          <w:rFonts w:hint="eastAsia" w:ascii="Times New Roman" w:hAnsi="Times New Roman" w:cs="Times New Roman"/>
          <w:spacing w:val="8"/>
          <w:sz w:val="32"/>
          <w:szCs w:val="32"/>
        </w:rPr>
      </w:pPr>
      <w:r>
        <w:rPr>
          <w:rFonts w:ascii="Times New Roman" w:hAnsi="Times New Roman" w:cs="Times New Roman"/>
          <w:spacing w:val="8"/>
          <w:sz w:val="32"/>
          <w:szCs w:val="32"/>
        </w:rPr>
        <w:t>·</w:t>
      </w:r>
      <w:r>
        <w:rPr>
          <w:rFonts w:hint="eastAsia" w:ascii="Times New Roman" w:hAnsi="Times New Roman" w:cs="Times New Roman"/>
          <w:spacing w:val="8"/>
          <w:sz w:val="32"/>
          <w:szCs w:val="32"/>
        </w:rPr>
        <w:t>《新疆维吾尔自治区公安机关转移支付资金奖惩办法》</w:t>
      </w:r>
    </w:p>
    <w:p w14:paraId="5AE3C41B">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w:t>
      </w:r>
      <w:r>
        <w:rPr>
          <w:rFonts w:hint="eastAsia" w:ascii="Times New Roman" w:hAnsi="Times New Roman" w:cs="Times New Roman"/>
          <w:spacing w:val="8"/>
          <w:sz w:val="32"/>
          <w:szCs w:val="32"/>
        </w:rPr>
        <w:t>厅字</w:t>
      </w:r>
      <w:r>
        <w:rPr>
          <w:rFonts w:ascii="Times New Roman" w:hAnsi="Times New Roman" w:cs="Times New Roman"/>
          <w:spacing w:val="8"/>
          <w:sz w:val="32"/>
          <w:szCs w:val="32"/>
        </w:rPr>
        <w:t>〔</w:t>
      </w:r>
      <w:r>
        <w:rPr>
          <w:rFonts w:hint="eastAsia" w:ascii="Times New Roman" w:hAnsi="Times New Roman" w:cs="Times New Roman"/>
          <w:spacing w:val="8"/>
          <w:sz w:val="32"/>
          <w:szCs w:val="32"/>
        </w:rPr>
        <w:t>2009</w:t>
      </w:r>
      <w:r>
        <w:rPr>
          <w:rFonts w:ascii="Times New Roman" w:hAnsi="Times New Roman" w:cs="Times New Roman"/>
          <w:spacing w:val="8"/>
          <w:sz w:val="32"/>
          <w:szCs w:val="32"/>
        </w:rPr>
        <w:t>〕</w:t>
      </w:r>
      <w:r>
        <w:rPr>
          <w:rFonts w:hint="eastAsia" w:ascii="Times New Roman" w:hAnsi="Times New Roman" w:cs="Times New Roman"/>
          <w:spacing w:val="8"/>
          <w:sz w:val="32"/>
          <w:szCs w:val="32"/>
        </w:rPr>
        <w:t>32号《关于加强政法经费保障工作的意见》</w:t>
      </w:r>
    </w:p>
    <w:p w14:paraId="7EFA5BB9">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w:t>
      </w:r>
      <w:r>
        <w:rPr>
          <w:rFonts w:hint="eastAsia" w:ascii="Times New Roman" w:hAnsi="Times New Roman" w:cs="Times New Roman"/>
          <w:spacing w:val="8"/>
          <w:sz w:val="32"/>
          <w:szCs w:val="32"/>
        </w:rPr>
        <w:t>公通字</w:t>
      </w:r>
      <w:r>
        <w:rPr>
          <w:rFonts w:ascii="Times New Roman" w:hAnsi="Times New Roman" w:cs="Times New Roman"/>
          <w:spacing w:val="8"/>
          <w:sz w:val="32"/>
          <w:szCs w:val="32"/>
        </w:rPr>
        <w:t>〔</w:t>
      </w:r>
      <w:r>
        <w:rPr>
          <w:rFonts w:hint="eastAsia" w:ascii="Times New Roman" w:hAnsi="Times New Roman" w:cs="Times New Roman"/>
          <w:spacing w:val="8"/>
          <w:sz w:val="32"/>
          <w:szCs w:val="32"/>
        </w:rPr>
        <w:t>2010</w:t>
      </w:r>
      <w:r>
        <w:rPr>
          <w:rFonts w:ascii="Times New Roman" w:hAnsi="Times New Roman" w:cs="Times New Roman"/>
          <w:spacing w:val="8"/>
          <w:sz w:val="32"/>
          <w:szCs w:val="32"/>
        </w:rPr>
        <w:t>〕</w:t>
      </w:r>
      <w:r>
        <w:rPr>
          <w:rFonts w:hint="eastAsia" w:ascii="Times New Roman" w:hAnsi="Times New Roman" w:cs="Times New Roman"/>
          <w:spacing w:val="8"/>
          <w:sz w:val="32"/>
          <w:szCs w:val="32"/>
        </w:rPr>
        <w:t>22号《关于加强公安转移支付资金使用管理的意见》</w:t>
      </w:r>
    </w:p>
    <w:p w14:paraId="031852C0">
      <w:pPr>
        <w:pStyle w:val="3"/>
        <w:spacing w:before="0" w:after="0" w:line="560" w:lineRule="exact"/>
        <w:ind w:firstLine="643"/>
        <w:rPr>
          <w:rFonts w:ascii="Times New Roman" w:hAnsi="Times New Roman" w:eastAsia="楷体" w:cs="Times New Roman"/>
          <w:bCs w:val="0"/>
        </w:rPr>
      </w:pPr>
      <w:bookmarkStart w:id="25" w:name="_Toc28061"/>
      <w:bookmarkStart w:id="26" w:name="_Toc67911607"/>
      <w:r>
        <w:rPr>
          <w:rFonts w:ascii="Times New Roman" w:hAnsi="Times New Roman" w:eastAsia="楷体" w:cs="Times New Roman"/>
          <w:bCs w:val="0"/>
        </w:rPr>
        <w:t>（三）绩效评价工作过程</w:t>
      </w:r>
      <w:bookmarkEnd w:id="25"/>
      <w:bookmarkEnd w:id="26"/>
    </w:p>
    <w:p w14:paraId="3FD7485E">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ascii="Times New Roman" w:hAnsi="Times New Roman" w:cs="Times New Roman"/>
          <w:spacing w:val="8"/>
          <w:sz w:val="32"/>
          <w:szCs w:val="32"/>
        </w:rPr>
        <w:footnoteReference w:id="0"/>
      </w:r>
      <w:r>
        <w:rPr>
          <w:rFonts w:ascii="Times New Roman" w:hAnsi="Times New Roman" w:cs="Times New Roman"/>
          <w:spacing w:val="8"/>
          <w:sz w:val="32"/>
          <w:szCs w:val="32"/>
        </w:rPr>
        <w:t>、材料审核分析、现场核查评价、综合分析评价及报告撰写，评价项目实施情况，展现资金使用效益。</w:t>
      </w:r>
    </w:p>
    <w:p w14:paraId="74A726C8">
      <w:pPr>
        <w:pStyle w:val="2"/>
        <w:spacing w:before="0" w:after="0" w:line="560" w:lineRule="exact"/>
        <w:ind w:firstLine="672"/>
        <w:jc w:val="left"/>
        <w:rPr>
          <w:rFonts w:ascii="Times New Roman" w:hAnsi="Times New Roman" w:eastAsia="黑体" w:cs="Times New Roman"/>
          <w:b w:val="0"/>
          <w:bCs w:val="0"/>
          <w:color w:val="000000"/>
          <w:spacing w:val="8"/>
          <w:kern w:val="0"/>
          <w:sz w:val="32"/>
          <w:szCs w:val="32"/>
        </w:rPr>
      </w:pPr>
      <w:bookmarkStart w:id="27" w:name="_Toc67911608"/>
      <w:bookmarkStart w:id="28" w:name="_Toc735"/>
      <w:r>
        <w:rPr>
          <w:rFonts w:ascii="Times New Roman" w:hAnsi="Times New Roman" w:eastAsia="黑体" w:cs="Times New Roman"/>
          <w:b w:val="0"/>
          <w:bCs w:val="0"/>
          <w:color w:val="000000"/>
          <w:spacing w:val="8"/>
          <w:kern w:val="0"/>
          <w:sz w:val="32"/>
          <w:szCs w:val="32"/>
        </w:rPr>
        <w:t>三、综合评价情况及评价结论</w:t>
      </w:r>
      <w:bookmarkEnd w:id="27"/>
      <w:bookmarkEnd w:id="28"/>
    </w:p>
    <w:p w14:paraId="11FF8ADE">
      <w:pPr>
        <w:pStyle w:val="3"/>
        <w:spacing w:before="0" w:after="0" w:line="560" w:lineRule="exact"/>
        <w:ind w:firstLine="643"/>
        <w:rPr>
          <w:rFonts w:ascii="Times New Roman" w:hAnsi="Times New Roman" w:eastAsia="楷体" w:cs="Times New Roman"/>
          <w:color w:val="000000"/>
          <w:kern w:val="0"/>
        </w:rPr>
      </w:pPr>
      <w:bookmarkStart w:id="29" w:name="_Toc17524"/>
      <w:bookmarkStart w:id="30" w:name="_Toc67911609"/>
      <w:r>
        <w:rPr>
          <w:rFonts w:ascii="Times New Roman" w:hAnsi="Times New Roman" w:eastAsia="楷体" w:cs="Times New Roman"/>
          <w:color w:val="000000"/>
          <w:kern w:val="0"/>
        </w:rPr>
        <w:t>（一）评价结论</w:t>
      </w:r>
      <w:bookmarkEnd w:id="29"/>
      <w:bookmarkEnd w:id="30"/>
    </w:p>
    <w:p w14:paraId="266DFB9B">
      <w:pPr>
        <w:spacing w:line="560" w:lineRule="exact"/>
        <w:ind w:firstLine="672"/>
        <w:rPr>
          <w:rFonts w:ascii="Times New Roman" w:hAnsi="Times New Roman" w:cs="Times New Roman"/>
          <w:spacing w:val="8"/>
          <w:sz w:val="32"/>
          <w:szCs w:val="32"/>
        </w:rPr>
      </w:pPr>
      <w:r>
        <w:rPr>
          <w:rFonts w:ascii="Times New Roman" w:hAnsi="Times New Roman" w:cs="Times New Roman"/>
          <w:spacing w:val="8"/>
          <w:sz w:val="32"/>
          <w:szCs w:val="32"/>
        </w:rPr>
        <w:t>结合项目特点，制定符合项目实际的绩效评价指标体系及评分标准，通过数据采集、问卷调查及访谈等形式，对2023年</w:t>
      </w:r>
      <w:r>
        <w:rPr>
          <w:rFonts w:hint="eastAsia" w:ascii="Times New Roman" w:hAnsi="Times New Roman" w:cs="Times New Roman"/>
          <w:spacing w:val="8"/>
          <w:sz w:val="32"/>
          <w:szCs w:val="32"/>
        </w:rPr>
        <w:t>中央转移支付资金</w:t>
      </w:r>
      <w:r>
        <w:rPr>
          <w:rFonts w:ascii="Times New Roman" w:hAnsi="Times New Roman" w:cs="Times New Roman"/>
          <w:spacing w:val="8"/>
          <w:sz w:val="32"/>
          <w:szCs w:val="32"/>
        </w:rPr>
        <w:t>进行客观评价，最终评分结果为：总分为</w:t>
      </w:r>
      <w:r>
        <w:rPr>
          <w:rFonts w:hint="eastAsia" w:ascii="Times New Roman" w:hAnsi="Times New Roman" w:cs="Times New Roman"/>
          <w:spacing w:val="8"/>
          <w:sz w:val="32"/>
          <w:szCs w:val="32"/>
        </w:rPr>
        <w:t>90.14</w:t>
      </w:r>
      <w:r>
        <w:rPr>
          <w:rFonts w:ascii="Times New Roman" w:hAnsi="Times New Roman" w:cs="Times New Roman"/>
          <w:spacing w:val="8"/>
          <w:sz w:val="32"/>
          <w:szCs w:val="32"/>
        </w:rPr>
        <w:t>分，绩效评级为“</w:t>
      </w:r>
      <w:r>
        <w:rPr>
          <w:rFonts w:hint="eastAsia" w:ascii="Times New Roman" w:hAnsi="Times New Roman" w:cs="Times New Roman"/>
          <w:spacing w:val="8"/>
          <w:sz w:val="32"/>
          <w:szCs w:val="32"/>
        </w:rPr>
        <w:t>优</w:t>
      </w:r>
      <w:r>
        <w:rPr>
          <w:rFonts w:ascii="Times New Roman" w:hAnsi="Times New Roman" w:cs="Times New Roman"/>
          <w:spacing w:val="8"/>
          <w:sz w:val="32"/>
          <w:szCs w:val="32"/>
        </w:rPr>
        <w:t>”</w:t>
      </w:r>
      <w:r>
        <w:rPr>
          <w:rStyle w:val="20"/>
          <w:rFonts w:ascii="Times New Roman" w:hAnsi="Times New Roman" w:cs="Times New Roman"/>
          <w:spacing w:val="8"/>
          <w:sz w:val="32"/>
          <w:szCs w:val="32"/>
        </w:rPr>
        <w:footnoteReference w:id="1"/>
      </w:r>
      <w:r>
        <w:rPr>
          <w:rFonts w:ascii="Times New Roman" w:hAnsi="Times New Roman" w:cs="Times New Roman"/>
          <w:spacing w:val="8"/>
          <w:sz w:val="32"/>
          <w:szCs w:val="32"/>
        </w:rPr>
        <w:t>。</w:t>
      </w:r>
    </w:p>
    <w:p w14:paraId="602E3F0E">
      <w:pPr>
        <w:spacing w:line="560" w:lineRule="exact"/>
        <w:ind w:firstLine="672"/>
        <w:rPr>
          <w:rFonts w:ascii="Times New Roman" w:hAnsi="Times New Roman" w:cs="Times New Roman"/>
          <w:spacing w:val="8"/>
          <w:sz w:val="32"/>
          <w:szCs w:val="32"/>
        </w:rPr>
      </w:pPr>
      <w:r>
        <w:rPr>
          <w:rFonts w:hint="eastAsia" w:ascii="Times New Roman" w:hAnsi="Times New Roman" w:cs="Times New Roman"/>
          <w:spacing w:val="8"/>
          <w:sz w:val="32"/>
          <w:szCs w:val="32"/>
        </w:rPr>
        <w:t>中央政法纪检监察转移支付资金</w:t>
      </w:r>
      <w:r>
        <w:rPr>
          <w:rFonts w:ascii="Times New Roman" w:hAnsi="Times New Roman" w:cs="Times New Roman"/>
          <w:spacing w:val="8"/>
          <w:sz w:val="32"/>
          <w:szCs w:val="32"/>
        </w:rPr>
        <w:t>各部分权重和绩效分值如表3-1所示：</w:t>
      </w:r>
    </w:p>
    <w:p w14:paraId="702DEFFF">
      <w:pPr>
        <w:adjustRightInd w:val="0"/>
        <w:spacing w:line="560" w:lineRule="exact"/>
        <w:ind w:firstLine="0" w:firstLineChars="0"/>
        <w:jc w:val="center"/>
        <w:rPr>
          <w:rFonts w:ascii="Times New Roman" w:hAnsi="Times New Roman" w:cs="Times New Roman"/>
          <w:b/>
          <w:bCs/>
          <w:sz w:val="24"/>
          <w:szCs w:val="24"/>
        </w:rPr>
      </w:pPr>
      <w:r>
        <w:rPr>
          <w:rFonts w:ascii="Times New Roman" w:hAnsi="Times New Roman" w:cs="Times New Roman"/>
          <w:b/>
          <w:bCs/>
          <w:sz w:val="24"/>
          <w:szCs w:val="24"/>
        </w:rPr>
        <w:t>表3-1 项目各部分权重和绩效分值</w:t>
      </w:r>
    </w:p>
    <w:tbl>
      <w:tblPr>
        <w:tblStyle w:val="15"/>
        <w:tblW w:w="852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458"/>
        <w:gridCol w:w="1865"/>
        <w:gridCol w:w="2739"/>
        <w:gridCol w:w="638"/>
        <w:gridCol w:w="845"/>
        <w:gridCol w:w="977"/>
      </w:tblGrid>
      <w:tr w14:paraId="4DA80F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458" w:type="dxa"/>
            <w:tcBorders>
              <w:tl2br w:val="nil"/>
              <w:tr2bl w:val="nil"/>
            </w:tcBorders>
            <w:shd w:val="clear" w:color="auto" w:fill="D0CECE" w:themeFill="background2" w:themeFillShade="E6"/>
            <w:vAlign w:val="center"/>
          </w:tcPr>
          <w:p w14:paraId="6133825C">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一级指标</w:t>
            </w:r>
          </w:p>
        </w:tc>
        <w:tc>
          <w:tcPr>
            <w:tcW w:w="1865" w:type="dxa"/>
            <w:tcBorders>
              <w:tl2br w:val="nil"/>
              <w:tr2bl w:val="nil"/>
            </w:tcBorders>
            <w:shd w:val="clear" w:color="auto" w:fill="D0CECE" w:themeFill="background2" w:themeFillShade="E6"/>
            <w:vAlign w:val="center"/>
          </w:tcPr>
          <w:p w14:paraId="6D2273B0">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二级指标</w:t>
            </w:r>
          </w:p>
        </w:tc>
        <w:tc>
          <w:tcPr>
            <w:tcW w:w="2739" w:type="dxa"/>
            <w:tcBorders>
              <w:tl2br w:val="nil"/>
              <w:tr2bl w:val="nil"/>
            </w:tcBorders>
            <w:shd w:val="clear" w:color="auto" w:fill="D0CECE" w:themeFill="background2" w:themeFillShade="E6"/>
            <w:vAlign w:val="center"/>
          </w:tcPr>
          <w:p w14:paraId="481D254D">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三级指标</w:t>
            </w:r>
          </w:p>
        </w:tc>
        <w:tc>
          <w:tcPr>
            <w:tcW w:w="638" w:type="dxa"/>
            <w:tcBorders>
              <w:tl2br w:val="nil"/>
              <w:tr2bl w:val="nil"/>
            </w:tcBorders>
            <w:shd w:val="clear" w:color="auto" w:fill="D0CECE" w:themeFill="background2" w:themeFillShade="E6"/>
            <w:vAlign w:val="center"/>
          </w:tcPr>
          <w:p w14:paraId="771149D2">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分值</w:t>
            </w:r>
          </w:p>
        </w:tc>
        <w:tc>
          <w:tcPr>
            <w:tcW w:w="845" w:type="dxa"/>
            <w:tcBorders>
              <w:tl2br w:val="nil"/>
              <w:tr2bl w:val="nil"/>
            </w:tcBorders>
            <w:shd w:val="clear" w:color="auto" w:fill="D0CECE" w:themeFill="background2" w:themeFillShade="E6"/>
            <w:vAlign w:val="center"/>
          </w:tcPr>
          <w:p w14:paraId="1EE1CB18">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得分</w:t>
            </w:r>
          </w:p>
        </w:tc>
        <w:tc>
          <w:tcPr>
            <w:tcW w:w="977" w:type="dxa"/>
            <w:tcBorders>
              <w:tl2br w:val="nil"/>
              <w:tr2bl w:val="nil"/>
            </w:tcBorders>
            <w:shd w:val="clear" w:color="auto" w:fill="D0CECE" w:themeFill="background2" w:themeFillShade="E6"/>
            <w:vAlign w:val="center"/>
          </w:tcPr>
          <w:p w14:paraId="65C5EDD5">
            <w:pPr>
              <w:widowControl/>
              <w:ind w:firstLine="0" w:firstLineChars="0"/>
              <w:jc w:val="center"/>
              <w:rPr>
                <w:rFonts w:ascii="Times New Roman" w:hAnsi="Times New Roman" w:eastAsia="黑体" w:cs="Times New Roman"/>
                <w:kern w:val="0"/>
                <w:sz w:val="22"/>
              </w:rPr>
            </w:pPr>
            <w:r>
              <w:rPr>
                <w:rFonts w:ascii="Times New Roman" w:hAnsi="Times New Roman" w:eastAsia="黑体" w:cs="Times New Roman"/>
                <w:kern w:val="0"/>
                <w:sz w:val="22"/>
              </w:rPr>
              <w:t>得分率</w:t>
            </w:r>
          </w:p>
        </w:tc>
      </w:tr>
      <w:tr w14:paraId="6BA946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restart"/>
            <w:tcBorders>
              <w:tl2br w:val="nil"/>
              <w:tr2bl w:val="nil"/>
            </w:tcBorders>
            <w:shd w:val="clear" w:color="auto" w:fill="FFFFFF"/>
            <w:vAlign w:val="center"/>
          </w:tcPr>
          <w:p w14:paraId="6C7A28FE">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决策</w:t>
            </w:r>
          </w:p>
        </w:tc>
        <w:tc>
          <w:tcPr>
            <w:tcW w:w="1865" w:type="dxa"/>
            <w:vMerge w:val="restart"/>
            <w:tcBorders>
              <w:tl2br w:val="nil"/>
              <w:tr2bl w:val="nil"/>
            </w:tcBorders>
            <w:shd w:val="clear" w:color="auto" w:fill="FFFFFF"/>
            <w:vAlign w:val="center"/>
          </w:tcPr>
          <w:p w14:paraId="5F9862EE">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项目立项</w:t>
            </w:r>
          </w:p>
        </w:tc>
        <w:tc>
          <w:tcPr>
            <w:tcW w:w="2739" w:type="dxa"/>
            <w:tcBorders>
              <w:tl2br w:val="nil"/>
              <w:tr2bl w:val="nil"/>
            </w:tcBorders>
            <w:shd w:val="clear" w:color="auto" w:fill="FFFFFF"/>
            <w:vAlign w:val="center"/>
          </w:tcPr>
          <w:p w14:paraId="62E98C1E">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立项依据充分性</w:t>
            </w:r>
          </w:p>
        </w:tc>
        <w:tc>
          <w:tcPr>
            <w:tcW w:w="638" w:type="dxa"/>
            <w:tcBorders>
              <w:tl2br w:val="nil"/>
              <w:tr2bl w:val="nil"/>
            </w:tcBorders>
            <w:shd w:val="clear" w:color="auto" w:fill="FFFFFF"/>
            <w:vAlign w:val="center"/>
          </w:tcPr>
          <w:p w14:paraId="7D2F061A">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4</w:t>
            </w:r>
          </w:p>
        </w:tc>
        <w:tc>
          <w:tcPr>
            <w:tcW w:w="845" w:type="dxa"/>
            <w:tcBorders>
              <w:tl2br w:val="nil"/>
              <w:tr2bl w:val="nil"/>
            </w:tcBorders>
            <w:shd w:val="clear" w:color="auto" w:fill="FFFFFF"/>
            <w:vAlign w:val="center"/>
          </w:tcPr>
          <w:p w14:paraId="285A1172">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4</w:t>
            </w:r>
          </w:p>
        </w:tc>
        <w:tc>
          <w:tcPr>
            <w:tcW w:w="977" w:type="dxa"/>
            <w:tcBorders>
              <w:tl2br w:val="nil"/>
              <w:tr2bl w:val="nil"/>
            </w:tcBorders>
            <w:shd w:val="clear" w:color="auto" w:fill="FFFFFF"/>
            <w:vAlign w:val="center"/>
          </w:tcPr>
          <w:p w14:paraId="051A7474">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137EF2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1EC488DE">
            <w:pPr>
              <w:ind w:firstLine="44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132E6C51">
            <w:pPr>
              <w:widowControl/>
              <w:ind w:firstLine="0" w:firstLineChars="0"/>
              <w:jc w:val="center"/>
              <w:rPr>
                <w:rFonts w:ascii="Times New Roman" w:hAnsi="Times New Roman" w:cs="Times New Roman"/>
                <w:kern w:val="0"/>
                <w:sz w:val="22"/>
              </w:rPr>
            </w:pPr>
          </w:p>
        </w:tc>
        <w:tc>
          <w:tcPr>
            <w:tcW w:w="2739" w:type="dxa"/>
            <w:tcBorders>
              <w:tl2br w:val="nil"/>
              <w:tr2bl w:val="nil"/>
            </w:tcBorders>
            <w:shd w:val="clear" w:color="auto" w:fill="FFFFFF"/>
            <w:vAlign w:val="center"/>
          </w:tcPr>
          <w:p w14:paraId="0BBF3C21">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立项程序规范性</w:t>
            </w:r>
          </w:p>
        </w:tc>
        <w:tc>
          <w:tcPr>
            <w:tcW w:w="638" w:type="dxa"/>
            <w:tcBorders>
              <w:tl2br w:val="nil"/>
              <w:tr2bl w:val="nil"/>
            </w:tcBorders>
            <w:shd w:val="clear" w:color="auto" w:fill="FFFFFF"/>
            <w:vAlign w:val="center"/>
          </w:tcPr>
          <w:p w14:paraId="0EDB8A97">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4</w:t>
            </w:r>
          </w:p>
        </w:tc>
        <w:tc>
          <w:tcPr>
            <w:tcW w:w="845" w:type="dxa"/>
            <w:tcBorders>
              <w:tl2br w:val="nil"/>
              <w:tr2bl w:val="nil"/>
            </w:tcBorders>
            <w:shd w:val="clear" w:color="auto" w:fill="FFFFFF"/>
            <w:vAlign w:val="center"/>
          </w:tcPr>
          <w:p w14:paraId="40EA90D1">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4</w:t>
            </w:r>
          </w:p>
        </w:tc>
        <w:tc>
          <w:tcPr>
            <w:tcW w:w="977" w:type="dxa"/>
            <w:tcBorders>
              <w:tl2br w:val="nil"/>
              <w:tr2bl w:val="nil"/>
            </w:tcBorders>
            <w:shd w:val="clear" w:color="auto" w:fill="FFFFFF"/>
            <w:vAlign w:val="center"/>
          </w:tcPr>
          <w:p w14:paraId="57F25E3A">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1AB51F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6820427D">
            <w:pPr>
              <w:ind w:firstLine="440"/>
              <w:jc w:val="center"/>
              <w:rPr>
                <w:rFonts w:ascii="Times New Roman" w:hAnsi="Times New Roman" w:cs="Times New Roman"/>
                <w:kern w:val="0"/>
                <w:sz w:val="22"/>
              </w:rPr>
            </w:pPr>
          </w:p>
        </w:tc>
        <w:tc>
          <w:tcPr>
            <w:tcW w:w="1865" w:type="dxa"/>
            <w:vMerge w:val="restart"/>
            <w:tcBorders>
              <w:tl2br w:val="nil"/>
              <w:tr2bl w:val="nil"/>
            </w:tcBorders>
            <w:shd w:val="clear" w:color="auto" w:fill="FFFFFF"/>
            <w:vAlign w:val="center"/>
          </w:tcPr>
          <w:p w14:paraId="5031E115">
            <w:pPr>
              <w:ind w:firstLine="0" w:firstLineChars="0"/>
              <w:jc w:val="center"/>
              <w:rPr>
                <w:rFonts w:ascii="Times New Roman" w:hAnsi="Times New Roman" w:cs="Times New Roman"/>
                <w:kern w:val="0"/>
                <w:sz w:val="22"/>
              </w:rPr>
            </w:pPr>
            <w:r>
              <w:rPr>
                <w:rFonts w:ascii="Times New Roman" w:hAnsi="Times New Roman" w:cs="Times New Roman"/>
                <w:kern w:val="0"/>
                <w:sz w:val="22"/>
              </w:rPr>
              <w:t>绩效目标</w:t>
            </w:r>
          </w:p>
        </w:tc>
        <w:tc>
          <w:tcPr>
            <w:tcW w:w="2739" w:type="dxa"/>
            <w:tcBorders>
              <w:tl2br w:val="nil"/>
              <w:tr2bl w:val="nil"/>
            </w:tcBorders>
            <w:shd w:val="clear" w:color="auto" w:fill="FFFFFF"/>
            <w:vAlign w:val="center"/>
          </w:tcPr>
          <w:p w14:paraId="0F7743CC">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绩效目标合理性</w:t>
            </w:r>
          </w:p>
        </w:tc>
        <w:tc>
          <w:tcPr>
            <w:tcW w:w="638" w:type="dxa"/>
            <w:tcBorders>
              <w:tl2br w:val="nil"/>
              <w:tr2bl w:val="nil"/>
            </w:tcBorders>
            <w:shd w:val="clear" w:color="000000" w:fill="FFFFFF"/>
            <w:vAlign w:val="center"/>
          </w:tcPr>
          <w:p w14:paraId="2E47B3A7">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000000" w:fill="FFFFFF"/>
            <w:vAlign w:val="center"/>
          </w:tcPr>
          <w:p w14:paraId="6B3B1CE8">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tcBorders>
              <w:tl2br w:val="nil"/>
              <w:tr2bl w:val="nil"/>
            </w:tcBorders>
            <w:shd w:val="clear" w:color="000000" w:fill="FFFFFF"/>
            <w:vAlign w:val="center"/>
          </w:tcPr>
          <w:p w14:paraId="4A435A6D">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23092A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264137ED">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2810FECA">
            <w:pPr>
              <w:widowControl/>
              <w:ind w:firstLine="0" w:firstLineChars="0"/>
              <w:jc w:val="center"/>
              <w:rPr>
                <w:rFonts w:ascii="Times New Roman" w:hAnsi="Times New Roman" w:cs="Times New Roman"/>
                <w:kern w:val="0"/>
                <w:sz w:val="22"/>
              </w:rPr>
            </w:pPr>
          </w:p>
        </w:tc>
        <w:tc>
          <w:tcPr>
            <w:tcW w:w="2739" w:type="dxa"/>
            <w:tcBorders>
              <w:tl2br w:val="nil"/>
              <w:tr2bl w:val="nil"/>
            </w:tcBorders>
            <w:shd w:val="clear" w:color="auto" w:fill="FFFFFF"/>
            <w:vAlign w:val="center"/>
          </w:tcPr>
          <w:p w14:paraId="15B6DBB2">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绩效指标明确性</w:t>
            </w:r>
          </w:p>
        </w:tc>
        <w:tc>
          <w:tcPr>
            <w:tcW w:w="638" w:type="dxa"/>
            <w:tcBorders>
              <w:tl2br w:val="nil"/>
              <w:tr2bl w:val="nil"/>
            </w:tcBorders>
            <w:shd w:val="clear" w:color="000000" w:fill="FFFFFF"/>
            <w:vAlign w:val="center"/>
          </w:tcPr>
          <w:p w14:paraId="4CDD3518">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000000" w:fill="FFFFFF"/>
            <w:vAlign w:val="center"/>
          </w:tcPr>
          <w:p w14:paraId="035E0A5A">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tcBorders>
              <w:tl2br w:val="nil"/>
              <w:tr2bl w:val="nil"/>
            </w:tcBorders>
            <w:shd w:val="clear" w:color="000000" w:fill="FFFFFF"/>
            <w:vAlign w:val="center"/>
          </w:tcPr>
          <w:p w14:paraId="373928F8">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75B0E2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68FA28AD">
            <w:pPr>
              <w:ind w:firstLine="0" w:firstLineChars="0"/>
              <w:jc w:val="center"/>
              <w:rPr>
                <w:rFonts w:ascii="Times New Roman" w:hAnsi="Times New Roman" w:cs="Times New Roman"/>
                <w:kern w:val="0"/>
                <w:sz w:val="22"/>
              </w:rPr>
            </w:pPr>
          </w:p>
        </w:tc>
        <w:tc>
          <w:tcPr>
            <w:tcW w:w="1865" w:type="dxa"/>
            <w:vMerge w:val="restart"/>
            <w:tcBorders>
              <w:tl2br w:val="nil"/>
              <w:tr2bl w:val="nil"/>
            </w:tcBorders>
            <w:shd w:val="clear" w:color="auto" w:fill="FFFFFF"/>
            <w:vAlign w:val="center"/>
          </w:tcPr>
          <w:p w14:paraId="62571BBC">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资金投入</w:t>
            </w:r>
          </w:p>
        </w:tc>
        <w:tc>
          <w:tcPr>
            <w:tcW w:w="2739" w:type="dxa"/>
            <w:tcBorders>
              <w:tl2br w:val="nil"/>
              <w:tr2bl w:val="nil"/>
            </w:tcBorders>
            <w:shd w:val="clear" w:color="auto" w:fill="FFFFFF"/>
            <w:vAlign w:val="center"/>
          </w:tcPr>
          <w:p w14:paraId="304CF5A5">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预算编制科学性</w:t>
            </w:r>
          </w:p>
        </w:tc>
        <w:tc>
          <w:tcPr>
            <w:tcW w:w="638" w:type="dxa"/>
            <w:tcBorders>
              <w:tl2br w:val="nil"/>
              <w:tr2bl w:val="nil"/>
            </w:tcBorders>
            <w:shd w:val="clear" w:color="auto" w:fill="FFFFFF"/>
            <w:vAlign w:val="center"/>
          </w:tcPr>
          <w:p w14:paraId="398542F2">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auto" w:fill="FFFFFF"/>
            <w:vAlign w:val="center"/>
          </w:tcPr>
          <w:p w14:paraId="20B7D45A">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tcBorders>
              <w:tl2br w:val="nil"/>
              <w:tr2bl w:val="nil"/>
            </w:tcBorders>
            <w:shd w:val="clear" w:color="auto" w:fill="FFFFFF"/>
            <w:vAlign w:val="center"/>
          </w:tcPr>
          <w:p w14:paraId="4DCAE971">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00701D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6AE0345E">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18EE2E7D">
            <w:pPr>
              <w:widowControl/>
              <w:ind w:firstLine="0" w:firstLineChars="0"/>
              <w:jc w:val="center"/>
              <w:rPr>
                <w:rFonts w:ascii="Times New Roman" w:hAnsi="Times New Roman" w:cs="Times New Roman"/>
                <w:kern w:val="0"/>
                <w:sz w:val="22"/>
              </w:rPr>
            </w:pPr>
          </w:p>
        </w:tc>
        <w:tc>
          <w:tcPr>
            <w:tcW w:w="2739" w:type="dxa"/>
            <w:tcBorders>
              <w:tl2br w:val="nil"/>
              <w:tr2bl w:val="nil"/>
            </w:tcBorders>
            <w:shd w:val="clear" w:color="auto" w:fill="FFFFFF"/>
            <w:vAlign w:val="center"/>
          </w:tcPr>
          <w:p w14:paraId="2DB1C474">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资金分配合理性</w:t>
            </w:r>
          </w:p>
        </w:tc>
        <w:tc>
          <w:tcPr>
            <w:tcW w:w="638" w:type="dxa"/>
            <w:tcBorders>
              <w:tl2br w:val="nil"/>
              <w:tr2bl w:val="nil"/>
            </w:tcBorders>
            <w:shd w:val="clear" w:color="auto" w:fill="FFFFFF"/>
            <w:vAlign w:val="center"/>
          </w:tcPr>
          <w:p w14:paraId="436BEB3A">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auto" w:fill="FFFFFF"/>
            <w:vAlign w:val="center"/>
          </w:tcPr>
          <w:p w14:paraId="1D4BDE7C">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tcBorders>
              <w:tl2br w:val="nil"/>
              <w:tr2bl w:val="nil"/>
            </w:tcBorders>
            <w:shd w:val="clear" w:color="auto" w:fill="FFFFFF"/>
            <w:vAlign w:val="center"/>
          </w:tcPr>
          <w:p w14:paraId="77124FAC">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1EBC9E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restart"/>
            <w:tcBorders>
              <w:tl2br w:val="nil"/>
              <w:tr2bl w:val="nil"/>
            </w:tcBorders>
            <w:shd w:val="clear" w:color="auto" w:fill="FFFFFF"/>
            <w:vAlign w:val="center"/>
          </w:tcPr>
          <w:p w14:paraId="1D51C73A">
            <w:pPr>
              <w:ind w:firstLine="0" w:firstLineChars="0"/>
              <w:jc w:val="center"/>
              <w:rPr>
                <w:rFonts w:ascii="Times New Roman" w:hAnsi="Times New Roman" w:cs="Times New Roman"/>
                <w:kern w:val="0"/>
                <w:sz w:val="22"/>
              </w:rPr>
            </w:pPr>
            <w:r>
              <w:rPr>
                <w:rFonts w:ascii="Times New Roman" w:hAnsi="Times New Roman" w:cs="Times New Roman"/>
                <w:kern w:val="0"/>
                <w:sz w:val="22"/>
              </w:rPr>
              <w:t>过程</w:t>
            </w:r>
          </w:p>
        </w:tc>
        <w:tc>
          <w:tcPr>
            <w:tcW w:w="1865" w:type="dxa"/>
            <w:vMerge w:val="restart"/>
            <w:tcBorders>
              <w:tl2br w:val="nil"/>
              <w:tr2bl w:val="nil"/>
            </w:tcBorders>
            <w:shd w:val="clear" w:color="auto" w:fill="FFFFFF"/>
            <w:vAlign w:val="center"/>
          </w:tcPr>
          <w:p w14:paraId="56880FAA">
            <w:pPr>
              <w:ind w:firstLine="0" w:firstLineChars="0"/>
              <w:jc w:val="center"/>
              <w:rPr>
                <w:rFonts w:ascii="Times New Roman" w:hAnsi="Times New Roman" w:cs="Times New Roman"/>
                <w:kern w:val="0"/>
                <w:sz w:val="22"/>
              </w:rPr>
            </w:pPr>
            <w:r>
              <w:rPr>
                <w:rFonts w:ascii="Times New Roman" w:hAnsi="Times New Roman" w:cs="Times New Roman"/>
                <w:kern w:val="0"/>
                <w:sz w:val="22"/>
              </w:rPr>
              <w:t>资金管理</w:t>
            </w:r>
          </w:p>
        </w:tc>
        <w:tc>
          <w:tcPr>
            <w:tcW w:w="2739" w:type="dxa"/>
            <w:tcBorders>
              <w:tl2br w:val="nil"/>
              <w:tr2bl w:val="nil"/>
            </w:tcBorders>
            <w:shd w:val="clear" w:color="auto" w:fill="FFFFFF"/>
            <w:vAlign w:val="center"/>
          </w:tcPr>
          <w:p w14:paraId="0FFE73F6">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资金到位率</w:t>
            </w:r>
          </w:p>
        </w:tc>
        <w:tc>
          <w:tcPr>
            <w:tcW w:w="638" w:type="dxa"/>
            <w:tcBorders>
              <w:tl2br w:val="nil"/>
              <w:tr2bl w:val="nil"/>
            </w:tcBorders>
            <w:shd w:val="clear" w:color="000000" w:fill="FFFFFF"/>
            <w:vAlign w:val="center"/>
          </w:tcPr>
          <w:p w14:paraId="29313C83">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5</w:t>
            </w:r>
          </w:p>
        </w:tc>
        <w:tc>
          <w:tcPr>
            <w:tcW w:w="845" w:type="dxa"/>
            <w:tcBorders>
              <w:tl2br w:val="nil"/>
              <w:tr2bl w:val="nil"/>
            </w:tcBorders>
            <w:shd w:val="clear" w:color="000000" w:fill="FFFFFF"/>
            <w:vAlign w:val="center"/>
          </w:tcPr>
          <w:p w14:paraId="7C4A3F65">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2.02</w:t>
            </w:r>
          </w:p>
        </w:tc>
        <w:tc>
          <w:tcPr>
            <w:tcW w:w="977" w:type="dxa"/>
            <w:tcBorders>
              <w:tl2br w:val="nil"/>
              <w:tr2bl w:val="nil"/>
            </w:tcBorders>
            <w:shd w:val="clear" w:color="000000" w:fill="FFFFFF"/>
            <w:vAlign w:val="center"/>
          </w:tcPr>
          <w:p w14:paraId="381CC6B6">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43.8%</w:t>
            </w:r>
          </w:p>
        </w:tc>
      </w:tr>
      <w:tr w14:paraId="1CE20F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2F062E43">
            <w:pPr>
              <w:ind w:firstLine="44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411BF620">
            <w:pPr>
              <w:ind w:firstLine="440"/>
              <w:jc w:val="center"/>
              <w:rPr>
                <w:rFonts w:ascii="Times New Roman" w:hAnsi="Times New Roman" w:cs="Times New Roman"/>
                <w:kern w:val="0"/>
                <w:sz w:val="22"/>
              </w:rPr>
            </w:pPr>
          </w:p>
        </w:tc>
        <w:tc>
          <w:tcPr>
            <w:tcW w:w="2739" w:type="dxa"/>
            <w:tcBorders>
              <w:tl2br w:val="nil"/>
              <w:tr2bl w:val="nil"/>
            </w:tcBorders>
            <w:shd w:val="clear" w:color="auto" w:fill="FFFFFF"/>
            <w:vAlign w:val="center"/>
          </w:tcPr>
          <w:p w14:paraId="439C3B62">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预算执行率</w:t>
            </w:r>
          </w:p>
        </w:tc>
        <w:tc>
          <w:tcPr>
            <w:tcW w:w="638" w:type="dxa"/>
            <w:tcBorders>
              <w:tl2br w:val="nil"/>
              <w:tr2bl w:val="nil"/>
            </w:tcBorders>
            <w:shd w:val="clear" w:color="auto" w:fill="FFFFFF"/>
            <w:vAlign w:val="center"/>
          </w:tcPr>
          <w:p w14:paraId="4CC483A6">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5</w:t>
            </w:r>
          </w:p>
        </w:tc>
        <w:tc>
          <w:tcPr>
            <w:tcW w:w="845" w:type="dxa"/>
            <w:tcBorders>
              <w:tl2br w:val="nil"/>
              <w:tr2bl w:val="nil"/>
            </w:tcBorders>
            <w:shd w:val="clear" w:color="auto" w:fill="FFFFFF"/>
            <w:vAlign w:val="center"/>
          </w:tcPr>
          <w:p w14:paraId="20A950BB">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5</w:t>
            </w:r>
          </w:p>
        </w:tc>
        <w:tc>
          <w:tcPr>
            <w:tcW w:w="977" w:type="dxa"/>
            <w:tcBorders>
              <w:tl2br w:val="nil"/>
              <w:tr2bl w:val="nil"/>
            </w:tcBorders>
            <w:shd w:val="clear" w:color="auto" w:fill="FFFFFF"/>
            <w:vAlign w:val="center"/>
          </w:tcPr>
          <w:p w14:paraId="2D534B78">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008903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3BFBEDC5">
            <w:pPr>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3639A1A2">
            <w:pPr>
              <w:widowControl/>
              <w:ind w:firstLine="0" w:firstLineChars="0"/>
              <w:jc w:val="center"/>
              <w:rPr>
                <w:rFonts w:ascii="Times New Roman" w:hAnsi="Times New Roman" w:cs="Times New Roman"/>
                <w:kern w:val="0"/>
                <w:sz w:val="22"/>
              </w:rPr>
            </w:pPr>
          </w:p>
        </w:tc>
        <w:tc>
          <w:tcPr>
            <w:tcW w:w="2739" w:type="dxa"/>
            <w:tcBorders>
              <w:tl2br w:val="nil"/>
              <w:tr2bl w:val="nil"/>
            </w:tcBorders>
            <w:shd w:val="clear" w:color="auto" w:fill="FFFFFF"/>
            <w:vAlign w:val="center"/>
          </w:tcPr>
          <w:p w14:paraId="413CE766">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资金使用合规性</w:t>
            </w:r>
          </w:p>
        </w:tc>
        <w:tc>
          <w:tcPr>
            <w:tcW w:w="638" w:type="dxa"/>
            <w:tcBorders>
              <w:tl2br w:val="nil"/>
              <w:tr2bl w:val="nil"/>
            </w:tcBorders>
            <w:shd w:val="clear" w:color="000000" w:fill="FFFFFF"/>
            <w:vAlign w:val="center"/>
          </w:tcPr>
          <w:p w14:paraId="57AE4380">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000000" w:fill="FFFFFF"/>
            <w:vAlign w:val="center"/>
          </w:tcPr>
          <w:p w14:paraId="58758C81">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tcBorders>
              <w:tl2br w:val="nil"/>
              <w:tr2bl w:val="nil"/>
            </w:tcBorders>
            <w:shd w:val="clear" w:color="000000" w:fill="FFFFFF"/>
            <w:vAlign w:val="center"/>
          </w:tcPr>
          <w:p w14:paraId="4B6A3718">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44CE26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260DE6FC">
            <w:pPr>
              <w:ind w:firstLine="0" w:firstLineChars="0"/>
              <w:jc w:val="center"/>
              <w:rPr>
                <w:rFonts w:ascii="Times New Roman" w:hAnsi="Times New Roman" w:cs="Times New Roman"/>
                <w:kern w:val="0"/>
                <w:sz w:val="22"/>
              </w:rPr>
            </w:pPr>
          </w:p>
        </w:tc>
        <w:tc>
          <w:tcPr>
            <w:tcW w:w="1865" w:type="dxa"/>
            <w:vMerge w:val="restart"/>
            <w:tcBorders>
              <w:tl2br w:val="nil"/>
              <w:tr2bl w:val="nil"/>
            </w:tcBorders>
            <w:shd w:val="clear" w:color="auto" w:fill="FFFFFF"/>
            <w:vAlign w:val="center"/>
          </w:tcPr>
          <w:p w14:paraId="631C4E15">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组织实施</w:t>
            </w:r>
          </w:p>
        </w:tc>
        <w:tc>
          <w:tcPr>
            <w:tcW w:w="2739" w:type="dxa"/>
            <w:tcBorders>
              <w:tl2br w:val="nil"/>
              <w:tr2bl w:val="nil"/>
            </w:tcBorders>
            <w:shd w:val="clear" w:color="auto" w:fill="FFFFFF"/>
            <w:vAlign w:val="center"/>
          </w:tcPr>
          <w:p w14:paraId="74D750AD">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管理制度健全性</w:t>
            </w:r>
          </w:p>
        </w:tc>
        <w:tc>
          <w:tcPr>
            <w:tcW w:w="638" w:type="dxa"/>
            <w:tcBorders>
              <w:tl2br w:val="nil"/>
              <w:tr2bl w:val="nil"/>
            </w:tcBorders>
            <w:shd w:val="clear" w:color="000000" w:fill="FFFFFF"/>
            <w:vAlign w:val="center"/>
          </w:tcPr>
          <w:p w14:paraId="6D2BBBED">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3</w:t>
            </w:r>
          </w:p>
        </w:tc>
        <w:tc>
          <w:tcPr>
            <w:tcW w:w="845" w:type="dxa"/>
            <w:tcBorders>
              <w:tl2br w:val="nil"/>
              <w:tr2bl w:val="nil"/>
            </w:tcBorders>
            <w:shd w:val="clear" w:color="000000" w:fill="FFFFFF"/>
            <w:vAlign w:val="center"/>
          </w:tcPr>
          <w:p w14:paraId="5C45B31F">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w:t>
            </w:r>
          </w:p>
        </w:tc>
        <w:tc>
          <w:tcPr>
            <w:tcW w:w="977" w:type="dxa"/>
            <w:tcBorders>
              <w:tl2br w:val="nil"/>
              <w:tr2bl w:val="nil"/>
            </w:tcBorders>
            <w:shd w:val="clear" w:color="000000" w:fill="FFFFFF"/>
            <w:vAlign w:val="center"/>
          </w:tcPr>
          <w:p w14:paraId="3E177057">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1175D8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1CC15EF6">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0A6E10F3">
            <w:pPr>
              <w:widowControl/>
              <w:ind w:firstLine="0" w:firstLineChars="0"/>
              <w:jc w:val="center"/>
              <w:rPr>
                <w:rFonts w:ascii="Times New Roman" w:hAnsi="Times New Roman" w:cs="Times New Roman"/>
                <w:kern w:val="0"/>
                <w:sz w:val="22"/>
              </w:rPr>
            </w:pPr>
          </w:p>
        </w:tc>
        <w:tc>
          <w:tcPr>
            <w:tcW w:w="2739" w:type="dxa"/>
            <w:tcBorders>
              <w:tl2br w:val="nil"/>
              <w:tr2bl w:val="nil"/>
            </w:tcBorders>
            <w:shd w:val="clear" w:color="auto" w:fill="FFFFFF"/>
            <w:vAlign w:val="center"/>
          </w:tcPr>
          <w:p w14:paraId="04831B2E">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制度执行有效性</w:t>
            </w:r>
          </w:p>
        </w:tc>
        <w:tc>
          <w:tcPr>
            <w:tcW w:w="638" w:type="dxa"/>
            <w:tcBorders>
              <w:tl2br w:val="nil"/>
              <w:tr2bl w:val="nil"/>
            </w:tcBorders>
            <w:shd w:val="clear" w:color="000000" w:fill="FFFFFF"/>
            <w:vAlign w:val="center"/>
          </w:tcPr>
          <w:p w14:paraId="2DDC2A85">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4</w:t>
            </w:r>
          </w:p>
        </w:tc>
        <w:tc>
          <w:tcPr>
            <w:tcW w:w="845" w:type="dxa"/>
            <w:tcBorders>
              <w:tl2br w:val="nil"/>
              <w:tr2bl w:val="nil"/>
            </w:tcBorders>
            <w:shd w:val="clear" w:color="000000" w:fill="FFFFFF"/>
            <w:vAlign w:val="center"/>
          </w:tcPr>
          <w:p w14:paraId="56E2926F">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4</w:t>
            </w:r>
          </w:p>
        </w:tc>
        <w:tc>
          <w:tcPr>
            <w:tcW w:w="977" w:type="dxa"/>
            <w:tcBorders>
              <w:tl2br w:val="nil"/>
              <w:tr2bl w:val="nil"/>
            </w:tcBorders>
            <w:shd w:val="clear" w:color="000000" w:fill="FFFFFF"/>
            <w:vAlign w:val="center"/>
          </w:tcPr>
          <w:p w14:paraId="3CB5CB01">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52D1C9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458" w:type="dxa"/>
            <w:vMerge w:val="restart"/>
            <w:tcBorders>
              <w:tl2br w:val="nil"/>
              <w:tr2bl w:val="nil"/>
            </w:tcBorders>
            <w:shd w:val="clear" w:color="auto" w:fill="FFFFFF"/>
            <w:vAlign w:val="center"/>
          </w:tcPr>
          <w:p w14:paraId="7F3C5748">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产出</w:t>
            </w:r>
          </w:p>
        </w:tc>
        <w:tc>
          <w:tcPr>
            <w:tcW w:w="1865" w:type="dxa"/>
            <w:vMerge w:val="restart"/>
            <w:tcBorders>
              <w:tl2br w:val="nil"/>
              <w:tr2bl w:val="nil"/>
            </w:tcBorders>
            <w:shd w:val="clear" w:color="auto" w:fill="FFFFFF"/>
            <w:vAlign w:val="center"/>
          </w:tcPr>
          <w:p w14:paraId="69761B3D">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产出数量</w:t>
            </w:r>
          </w:p>
        </w:tc>
        <w:tc>
          <w:tcPr>
            <w:tcW w:w="2739" w:type="dxa"/>
            <w:tcBorders>
              <w:tl2br w:val="nil"/>
              <w:tr2bl w:val="nil"/>
            </w:tcBorders>
            <w:shd w:val="clear" w:color="auto" w:fill="FFFFFF"/>
            <w:vAlign w:val="center"/>
          </w:tcPr>
          <w:p w14:paraId="4F9438BA">
            <w:pPr>
              <w:widowControl/>
              <w:ind w:firstLine="0" w:firstLineChars="0"/>
              <w:jc w:val="center"/>
              <w:rPr>
                <w:rFonts w:ascii="Times New Roman" w:hAnsi="Times New Roman" w:cs="Times New Roman"/>
                <w:kern w:val="0"/>
                <w:sz w:val="22"/>
              </w:rPr>
            </w:pPr>
            <w:r>
              <w:rPr>
                <w:rFonts w:ascii="Times New Roman" w:hAnsi="Times New Roman" w:cs="Times New Roman"/>
                <w:color w:val="000000"/>
                <w:kern w:val="0"/>
                <w:sz w:val="22"/>
              </w:rPr>
              <w:t>全年刑事案件立案数</w:t>
            </w:r>
          </w:p>
        </w:tc>
        <w:tc>
          <w:tcPr>
            <w:tcW w:w="638" w:type="dxa"/>
            <w:tcBorders>
              <w:tl2br w:val="nil"/>
              <w:tr2bl w:val="nil"/>
            </w:tcBorders>
            <w:shd w:val="clear" w:color="000000" w:fill="FFFFFF"/>
            <w:vAlign w:val="center"/>
          </w:tcPr>
          <w:p w14:paraId="38467332">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5</w:t>
            </w:r>
          </w:p>
        </w:tc>
        <w:tc>
          <w:tcPr>
            <w:tcW w:w="845" w:type="dxa"/>
            <w:tcBorders>
              <w:tl2br w:val="nil"/>
              <w:tr2bl w:val="nil"/>
            </w:tcBorders>
            <w:shd w:val="clear" w:color="000000" w:fill="FFFFFF"/>
            <w:vAlign w:val="center"/>
          </w:tcPr>
          <w:p w14:paraId="18ABC006">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5</w:t>
            </w:r>
          </w:p>
        </w:tc>
        <w:tc>
          <w:tcPr>
            <w:tcW w:w="977" w:type="dxa"/>
            <w:tcBorders>
              <w:top w:val="single" w:color="auto" w:sz="4" w:space="0"/>
              <w:bottom w:val="single" w:color="auto" w:sz="4" w:space="0"/>
              <w:tl2br w:val="nil"/>
              <w:tr2bl w:val="nil"/>
            </w:tcBorders>
            <w:shd w:val="clear" w:color="000000" w:fill="FFFFFF"/>
            <w:vAlign w:val="center"/>
          </w:tcPr>
          <w:p w14:paraId="300C934D">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796091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458" w:type="dxa"/>
            <w:vMerge w:val="continue"/>
            <w:tcBorders>
              <w:tl2br w:val="nil"/>
              <w:tr2bl w:val="nil"/>
            </w:tcBorders>
            <w:shd w:val="clear" w:color="auto" w:fill="FFFFFF"/>
            <w:vAlign w:val="center"/>
          </w:tcPr>
          <w:p w14:paraId="0C7C77D7">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7F1C7FCA">
            <w:pPr>
              <w:widowControl/>
              <w:ind w:firstLine="0" w:firstLineChars="0"/>
              <w:jc w:val="center"/>
              <w:rPr>
                <w:rFonts w:ascii="Times New Roman" w:hAnsi="Times New Roman" w:cs="Times New Roman"/>
                <w:kern w:val="0"/>
                <w:sz w:val="22"/>
              </w:rPr>
            </w:pPr>
          </w:p>
        </w:tc>
        <w:tc>
          <w:tcPr>
            <w:tcW w:w="2739" w:type="dxa"/>
            <w:tcBorders>
              <w:tl2br w:val="nil"/>
              <w:tr2bl w:val="nil"/>
            </w:tcBorders>
            <w:shd w:val="clear" w:color="auto" w:fill="FFFFFF"/>
            <w:vAlign w:val="center"/>
          </w:tcPr>
          <w:p w14:paraId="6068C3B2">
            <w:pPr>
              <w:widowControl/>
              <w:ind w:firstLine="0" w:firstLineChars="0"/>
              <w:jc w:val="center"/>
              <w:rPr>
                <w:rFonts w:ascii="Times New Roman" w:hAnsi="Times New Roman" w:cs="Times New Roman"/>
                <w:kern w:val="0"/>
                <w:sz w:val="22"/>
              </w:rPr>
            </w:pPr>
            <w:r>
              <w:rPr>
                <w:rFonts w:ascii="Times New Roman" w:hAnsi="Times New Roman" w:cs="Times New Roman"/>
                <w:color w:val="000000"/>
                <w:kern w:val="0"/>
                <w:sz w:val="22"/>
              </w:rPr>
              <w:t>执法装备</w:t>
            </w:r>
            <w:r>
              <w:rPr>
                <w:rFonts w:hint="eastAsia" w:ascii="Times New Roman" w:hAnsi="Times New Roman" w:cs="Times New Roman"/>
                <w:color w:val="000000"/>
                <w:kern w:val="0"/>
                <w:sz w:val="22"/>
              </w:rPr>
              <w:t>购置种类</w:t>
            </w:r>
          </w:p>
        </w:tc>
        <w:tc>
          <w:tcPr>
            <w:tcW w:w="638" w:type="dxa"/>
            <w:tcBorders>
              <w:tl2br w:val="nil"/>
              <w:tr2bl w:val="nil"/>
            </w:tcBorders>
            <w:shd w:val="clear" w:color="000000" w:fill="FFFFFF"/>
            <w:vAlign w:val="center"/>
          </w:tcPr>
          <w:p w14:paraId="1AD41E36">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5</w:t>
            </w:r>
          </w:p>
        </w:tc>
        <w:tc>
          <w:tcPr>
            <w:tcW w:w="845" w:type="dxa"/>
            <w:tcBorders>
              <w:right w:val="single" w:color="auto" w:sz="4" w:space="0"/>
              <w:tl2br w:val="nil"/>
              <w:tr2bl w:val="nil"/>
            </w:tcBorders>
            <w:shd w:val="clear" w:color="000000" w:fill="FFFFFF"/>
            <w:vAlign w:val="center"/>
          </w:tcPr>
          <w:p w14:paraId="7A52FAF1">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3.06</w:t>
            </w:r>
          </w:p>
        </w:tc>
        <w:tc>
          <w:tcPr>
            <w:tcW w:w="977" w:type="dxa"/>
            <w:tcBorders>
              <w:top w:val="single" w:color="auto" w:sz="4" w:space="0"/>
              <w:left w:val="single" w:color="auto" w:sz="4" w:space="0"/>
              <w:tl2br w:val="nil"/>
              <w:tr2bl w:val="nil"/>
            </w:tcBorders>
            <w:shd w:val="clear" w:color="000000" w:fill="FFFFFF"/>
            <w:vAlign w:val="center"/>
          </w:tcPr>
          <w:p w14:paraId="6C277FE5">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61.2%</w:t>
            </w:r>
          </w:p>
        </w:tc>
      </w:tr>
      <w:tr w14:paraId="43050E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15A3D0CC">
            <w:pPr>
              <w:widowControl/>
              <w:ind w:firstLine="0" w:firstLineChars="0"/>
              <w:jc w:val="center"/>
              <w:rPr>
                <w:rFonts w:ascii="Times New Roman" w:hAnsi="Times New Roman" w:cs="Times New Roman"/>
                <w:kern w:val="0"/>
                <w:sz w:val="22"/>
              </w:rPr>
            </w:pPr>
          </w:p>
        </w:tc>
        <w:tc>
          <w:tcPr>
            <w:tcW w:w="1865" w:type="dxa"/>
            <w:vMerge w:val="restart"/>
            <w:tcBorders>
              <w:tl2br w:val="nil"/>
              <w:tr2bl w:val="nil"/>
            </w:tcBorders>
            <w:shd w:val="clear" w:color="auto" w:fill="FFFFFF"/>
            <w:vAlign w:val="center"/>
          </w:tcPr>
          <w:p w14:paraId="0A5BBB8D">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产出质量</w:t>
            </w:r>
          </w:p>
        </w:tc>
        <w:tc>
          <w:tcPr>
            <w:tcW w:w="2739" w:type="dxa"/>
            <w:tcBorders>
              <w:tl2br w:val="nil"/>
              <w:tr2bl w:val="nil"/>
            </w:tcBorders>
            <w:shd w:val="clear" w:color="auto" w:fill="FFFFFF"/>
            <w:vAlign w:val="center"/>
          </w:tcPr>
          <w:p w14:paraId="2E825DA1">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刑事案件破案率</w:t>
            </w:r>
          </w:p>
        </w:tc>
        <w:tc>
          <w:tcPr>
            <w:tcW w:w="638" w:type="dxa"/>
            <w:tcBorders>
              <w:tl2br w:val="nil"/>
              <w:tr2bl w:val="nil"/>
            </w:tcBorders>
            <w:shd w:val="clear" w:color="000000" w:fill="FFFFFF"/>
            <w:vAlign w:val="center"/>
          </w:tcPr>
          <w:p w14:paraId="4C2D5255">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5</w:t>
            </w:r>
          </w:p>
        </w:tc>
        <w:tc>
          <w:tcPr>
            <w:tcW w:w="845" w:type="dxa"/>
            <w:tcBorders>
              <w:right w:val="single" w:color="auto" w:sz="4" w:space="0"/>
              <w:tl2br w:val="nil"/>
              <w:tr2bl w:val="nil"/>
            </w:tcBorders>
            <w:shd w:val="clear" w:color="000000" w:fill="FFFFFF"/>
            <w:vAlign w:val="center"/>
          </w:tcPr>
          <w:p w14:paraId="6526A993">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5</w:t>
            </w:r>
          </w:p>
        </w:tc>
        <w:tc>
          <w:tcPr>
            <w:tcW w:w="977" w:type="dxa"/>
            <w:tcBorders>
              <w:left w:val="single" w:color="auto" w:sz="4" w:space="0"/>
              <w:tl2br w:val="nil"/>
              <w:tr2bl w:val="nil"/>
            </w:tcBorders>
            <w:shd w:val="clear" w:color="000000" w:fill="FFFFFF"/>
            <w:vAlign w:val="center"/>
          </w:tcPr>
          <w:p w14:paraId="268FE3A0">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27450B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52895FED">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7175F757">
            <w:pPr>
              <w:widowControl/>
              <w:ind w:firstLine="0" w:firstLineChars="0"/>
              <w:jc w:val="center"/>
              <w:rPr>
                <w:rFonts w:ascii="Times New Roman" w:hAnsi="Times New Roman" w:cs="Times New Roman"/>
                <w:kern w:val="0"/>
                <w:sz w:val="22"/>
              </w:rPr>
            </w:pPr>
          </w:p>
        </w:tc>
        <w:tc>
          <w:tcPr>
            <w:tcW w:w="2739" w:type="dxa"/>
            <w:tcBorders>
              <w:tl2br w:val="nil"/>
              <w:tr2bl w:val="nil"/>
            </w:tcBorders>
            <w:shd w:val="clear" w:color="auto" w:fill="FFFFFF"/>
            <w:vAlign w:val="center"/>
          </w:tcPr>
          <w:p w14:paraId="747B1ED9">
            <w:pPr>
              <w:widowControl/>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购置装备质量合格率</w:t>
            </w:r>
          </w:p>
        </w:tc>
        <w:tc>
          <w:tcPr>
            <w:tcW w:w="638" w:type="dxa"/>
            <w:tcBorders>
              <w:tl2br w:val="nil"/>
              <w:tr2bl w:val="nil"/>
            </w:tcBorders>
            <w:shd w:val="clear" w:color="000000" w:fill="FFFFFF"/>
            <w:vAlign w:val="center"/>
          </w:tcPr>
          <w:p w14:paraId="73D4757A">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5</w:t>
            </w:r>
          </w:p>
        </w:tc>
        <w:tc>
          <w:tcPr>
            <w:tcW w:w="845" w:type="dxa"/>
            <w:tcBorders>
              <w:tl2br w:val="nil"/>
              <w:tr2bl w:val="nil"/>
            </w:tcBorders>
            <w:shd w:val="clear" w:color="000000" w:fill="FFFFFF"/>
            <w:vAlign w:val="center"/>
          </w:tcPr>
          <w:p w14:paraId="39C8BF1A">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5</w:t>
            </w:r>
          </w:p>
        </w:tc>
        <w:tc>
          <w:tcPr>
            <w:tcW w:w="977" w:type="dxa"/>
            <w:tcBorders>
              <w:tl2br w:val="nil"/>
              <w:tr2bl w:val="nil"/>
            </w:tcBorders>
            <w:shd w:val="clear" w:color="000000" w:fill="FFFFFF"/>
            <w:vAlign w:val="center"/>
          </w:tcPr>
          <w:p w14:paraId="08E3435F">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42227F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82" w:hRule="atLeast"/>
          <w:jc w:val="center"/>
        </w:trPr>
        <w:tc>
          <w:tcPr>
            <w:tcW w:w="1458" w:type="dxa"/>
            <w:vMerge w:val="continue"/>
            <w:tcBorders>
              <w:tl2br w:val="nil"/>
              <w:tr2bl w:val="nil"/>
            </w:tcBorders>
            <w:shd w:val="clear" w:color="auto" w:fill="FFFFFF"/>
            <w:vAlign w:val="center"/>
          </w:tcPr>
          <w:p w14:paraId="35EB87A5">
            <w:pPr>
              <w:ind w:firstLine="0" w:firstLineChars="0"/>
              <w:jc w:val="center"/>
              <w:rPr>
                <w:rFonts w:ascii="Times New Roman" w:hAnsi="Times New Roman" w:cs="Times New Roman"/>
                <w:kern w:val="0"/>
                <w:sz w:val="22"/>
              </w:rPr>
            </w:pPr>
          </w:p>
        </w:tc>
        <w:tc>
          <w:tcPr>
            <w:tcW w:w="1865" w:type="dxa"/>
            <w:tcBorders>
              <w:tl2br w:val="nil"/>
              <w:tr2bl w:val="nil"/>
            </w:tcBorders>
            <w:shd w:val="clear" w:color="auto" w:fill="FFFFFF"/>
            <w:vAlign w:val="center"/>
          </w:tcPr>
          <w:p w14:paraId="6BD9FA66">
            <w:pPr>
              <w:ind w:firstLine="0" w:firstLineChars="0"/>
              <w:jc w:val="center"/>
              <w:rPr>
                <w:rFonts w:ascii="Times New Roman" w:hAnsi="Times New Roman" w:cs="Times New Roman"/>
                <w:kern w:val="0"/>
                <w:sz w:val="22"/>
              </w:rPr>
            </w:pPr>
            <w:r>
              <w:rPr>
                <w:rFonts w:ascii="Times New Roman" w:hAnsi="Times New Roman" w:cs="Times New Roman"/>
                <w:kern w:val="0"/>
                <w:sz w:val="22"/>
              </w:rPr>
              <w:t>产出时效</w:t>
            </w:r>
          </w:p>
        </w:tc>
        <w:tc>
          <w:tcPr>
            <w:tcW w:w="2739" w:type="dxa"/>
            <w:tcBorders>
              <w:tl2br w:val="nil"/>
              <w:tr2bl w:val="nil"/>
            </w:tcBorders>
            <w:shd w:val="clear" w:color="auto" w:fill="FFFFFF"/>
            <w:vAlign w:val="center"/>
          </w:tcPr>
          <w:p w14:paraId="1E0FC5AD">
            <w:pPr>
              <w:widowControl/>
              <w:ind w:firstLine="0" w:firstLineChars="0"/>
              <w:jc w:val="center"/>
              <w:rPr>
                <w:rFonts w:ascii="Times New Roman" w:hAnsi="Times New Roman" w:cs="Times New Roman"/>
                <w:color w:val="000000"/>
                <w:kern w:val="0"/>
                <w:sz w:val="22"/>
              </w:rPr>
            </w:pPr>
            <w:r>
              <w:rPr>
                <w:rFonts w:hint="eastAsia" w:ascii="Times New Roman" w:hAnsi="Times New Roman" w:cs="Times New Roman"/>
                <w:color w:val="000000"/>
                <w:kern w:val="0"/>
                <w:sz w:val="22"/>
              </w:rPr>
              <w:t>资金支付及时率</w:t>
            </w:r>
          </w:p>
        </w:tc>
        <w:tc>
          <w:tcPr>
            <w:tcW w:w="638" w:type="dxa"/>
            <w:tcBorders>
              <w:tl2br w:val="nil"/>
              <w:tr2bl w:val="nil"/>
            </w:tcBorders>
            <w:shd w:val="clear" w:color="000000" w:fill="FFFFFF"/>
            <w:vAlign w:val="center"/>
          </w:tcPr>
          <w:p w14:paraId="50DE42D4">
            <w:pPr>
              <w:ind w:firstLine="110" w:firstLineChars="50"/>
              <w:rPr>
                <w:rFonts w:ascii="Times New Roman" w:hAnsi="Times New Roman" w:cs="Times New Roman"/>
                <w:kern w:val="0"/>
                <w:sz w:val="22"/>
              </w:rPr>
            </w:pPr>
            <w:r>
              <w:rPr>
                <w:rFonts w:hint="eastAsia" w:ascii="Times New Roman" w:hAnsi="Times New Roman" w:cs="Times New Roman"/>
                <w:kern w:val="0"/>
                <w:sz w:val="22"/>
              </w:rPr>
              <w:t>10</w:t>
            </w:r>
          </w:p>
        </w:tc>
        <w:tc>
          <w:tcPr>
            <w:tcW w:w="845" w:type="dxa"/>
            <w:tcBorders>
              <w:tl2br w:val="nil"/>
              <w:tr2bl w:val="nil"/>
            </w:tcBorders>
            <w:shd w:val="clear" w:color="000000" w:fill="FFFFFF"/>
            <w:vAlign w:val="center"/>
          </w:tcPr>
          <w:p w14:paraId="727C571E">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5.06</w:t>
            </w:r>
          </w:p>
        </w:tc>
        <w:tc>
          <w:tcPr>
            <w:tcW w:w="977" w:type="dxa"/>
            <w:tcBorders>
              <w:tl2br w:val="nil"/>
              <w:tr2bl w:val="nil"/>
            </w:tcBorders>
            <w:shd w:val="clear" w:color="000000" w:fill="FFFFFF"/>
            <w:vAlign w:val="center"/>
          </w:tcPr>
          <w:p w14:paraId="5229A1D1">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50.6%</w:t>
            </w:r>
          </w:p>
        </w:tc>
      </w:tr>
      <w:tr w14:paraId="181868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50829003">
            <w:pPr>
              <w:widowControl/>
              <w:ind w:firstLine="0" w:firstLineChars="0"/>
              <w:jc w:val="center"/>
              <w:rPr>
                <w:rFonts w:ascii="Times New Roman" w:hAnsi="Times New Roman" w:cs="Times New Roman"/>
                <w:kern w:val="0"/>
                <w:sz w:val="22"/>
              </w:rPr>
            </w:pPr>
          </w:p>
        </w:tc>
        <w:tc>
          <w:tcPr>
            <w:tcW w:w="1865" w:type="dxa"/>
            <w:vMerge w:val="restart"/>
            <w:tcBorders>
              <w:tl2br w:val="nil"/>
              <w:tr2bl w:val="nil"/>
            </w:tcBorders>
            <w:shd w:val="clear" w:color="auto" w:fill="FFFFFF"/>
            <w:vAlign w:val="center"/>
          </w:tcPr>
          <w:p w14:paraId="6F3F9AC3">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产出成本</w:t>
            </w:r>
          </w:p>
        </w:tc>
        <w:tc>
          <w:tcPr>
            <w:tcW w:w="2739" w:type="dxa"/>
            <w:tcBorders>
              <w:tl2br w:val="nil"/>
              <w:tr2bl w:val="nil"/>
            </w:tcBorders>
            <w:shd w:val="clear" w:color="auto" w:fill="FFFFFF"/>
            <w:vAlign w:val="center"/>
          </w:tcPr>
          <w:p w14:paraId="4E22D41D">
            <w:pPr>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办案业务经费</w:t>
            </w:r>
          </w:p>
        </w:tc>
        <w:tc>
          <w:tcPr>
            <w:tcW w:w="638" w:type="dxa"/>
            <w:tcBorders>
              <w:tl2br w:val="nil"/>
              <w:tr2bl w:val="nil"/>
            </w:tcBorders>
            <w:shd w:val="clear" w:color="000000" w:fill="FFFFFF"/>
            <w:vAlign w:val="center"/>
          </w:tcPr>
          <w:p w14:paraId="4DEBCB23">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5</w:t>
            </w:r>
          </w:p>
        </w:tc>
        <w:tc>
          <w:tcPr>
            <w:tcW w:w="845" w:type="dxa"/>
            <w:tcBorders>
              <w:tl2br w:val="nil"/>
              <w:tr2bl w:val="nil"/>
            </w:tcBorders>
            <w:shd w:val="clear" w:color="000000" w:fill="FFFFFF"/>
            <w:vAlign w:val="center"/>
          </w:tcPr>
          <w:p w14:paraId="7050FDED">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5</w:t>
            </w:r>
          </w:p>
        </w:tc>
        <w:tc>
          <w:tcPr>
            <w:tcW w:w="977" w:type="dxa"/>
            <w:tcBorders>
              <w:tl2br w:val="nil"/>
              <w:tr2bl w:val="nil"/>
            </w:tcBorders>
            <w:shd w:val="clear" w:color="000000" w:fill="FFFFFF"/>
            <w:vAlign w:val="center"/>
          </w:tcPr>
          <w:p w14:paraId="691C4E0C">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10EFC5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31" w:hRule="atLeast"/>
          <w:jc w:val="center"/>
        </w:trPr>
        <w:tc>
          <w:tcPr>
            <w:tcW w:w="1458" w:type="dxa"/>
            <w:vMerge w:val="continue"/>
            <w:tcBorders>
              <w:tl2br w:val="nil"/>
              <w:tr2bl w:val="nil"/>
            </w:tcBorders>
            <w:shd w:val="clear" w:color="auto" w:fill="FFFFFF"/>
            <w:vAlign w:val="center"/>
          </w:tcPr>
          <w:p w14:paraId="2E7A02CF">
            <w:pPr>
              <w:widowControl/>
              <w:ind w:firstLine="0" w:firstLineChars="0"/>
              <w:jc w:val="center"/>
              <w:rPr>
                <w:rFonts w:ascii="Times New Roman" w:hAnsi="Times New Roman" w:cs="Times New Roman"/>
                <w:kern w:val="0"/>
                <w:sz w:val="22"/>
              </w:rPr>
            </w:pPr>
          </w:p>
        </w:tc>
        <w:tc>
          <w:tcPr>
            <w:tcW w:w="1865" w:type="dxa"/>
            <w:vMerge w:val="continue"/>
            <w:tcBorders>
              <w:tl2br w:val="nil"/>
              <w:tr2bl w:val="nil"/>
            </w:tcBorders>
            <w:shd w:val="clear" w:color="auto" w:fill="FFFFFF"/>
            <w:vAlign w:val="center"/>
          </w:tcPr>
          <w:p w14:paraId="1CD6F34D">
            <w:pPr>
              <w:widowControl/>
              <w:ind w:firstLine="0" w:firstLineChars="0"/>
              <w:jc w:val="center"/>
              <w:rPr>
                <w:rFonts w:ascii="Times New Roman" w:hAnsi="Times New Roman" w:cs="Times New Roman"/>
                <w:kern w:val="0"/>
                <w:sz w:val="22"/>
              </w:rPr>
            </w:pPr>
          </w:p>
        </w:tc>
        <w:tc>
          <w:tcPr>
            <w:tcW w:w="2739" w:type="dxa"/>
            <w:tcBorders>
              <w:tl2br w:val="nil"/>
              <w:tr2bl w:val="nil"/>
            </w:tcBorders>
            <w:shd w:val="clear" w:color="auto" w:fill="FFFFFF"/>
            <w:vAlign w:val="center"/>
          </w:tcPr>
          <w:p w14:paraId="4FA48CFA">
            <w:pPr>
              <w:ind w:firstLine="0" w:firstLineChars="0"/>
              <w:jc w:val="center"/>
              <w:rPr>
                <w:rFonts w:ascii="Times New Roman" w:hAnsi="Times New Roman" w:cs="Times New Roman"/>
                <w:color w:val="000000"/>
                <w:kern w:val="0"/>
                <w:sz w:val="22"/>
              </w:rPr>
            </w:pPr>
            <w:r>
              <w:rPr>
                <w:rFonts w:ascii="Times New Roman" w:hAnsi="Times New Roman" w:cs="Times New Roman"/>
                <w:color w:val="000000"/>
                <w:kern w:val="0"/>
                <w:sz w:val="22"/>
              </w:rPr>
              <w:t>装备经费</w:t>
            </w:r>
          </w:p>
        </w:tc>
        <w:tc>
          <w:tcPr>
            <w:tcW w:w="638" w:type="dxa"/>
            <w:tcBorders>
              <w:tl2br w:val="nil"/>
              <w:tr2bl w:val="nil"/>
            </w:tcBorders>
            <w:shd w:val="clear" w:color="000000" w:fill="FFFFFF"/>
            <w:vAlign w:val="center"/>
          </w:tcPr>
          <w:p w14:paraId="53014AD3">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5</w:t>
            </w:r>
          </w:p>
        </w:tc>
        <w:tc>
          <w:tcPr>
            <w:tcW w:w="845" w:type="dxa"/>
            <w:tcBorders>
              <w:tl2br w:val="nil"/>
              <w:tr2bl w:val="nil"/>
            </w:tcBorders>
            <w:shd w:val="clear" w:color="000000" w:fill="FFFFFF"/>
            <w:vAlign w:val="center"/>
          </w:tcPr>
          <w:p w14:paraId="06D83BD1">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5</w:t>
            </w:r>
          </w:p>
        </w:tc>
        <w:tc>
          <w:tcPr>
            <w:tcW w:w="977" w:type="dxa"/>
            <w:tcBorders>
              <w:tl2br w:val="nil"/>
              <w:tr2bl w:val="nil"/>
            </w:tcBorders>
            <w:shd w:val="clear" w:color="000000" w:fill="FFFFFF"/>
            <w:vAlign w:val="center"/>
          </w:tcPr>
          <w:p w14:paraId="6F109AEB">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r w14:paraId="7F9215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4" w:hRule="atLeast"/>
          <w:jc w:val="center"/>
        </w:trPr>
        <w:tc>
          <w:tcPr>
            <w:tcW w:w="1458" w:type="dxa"/>
            <w:tcBorders>
              <w:tl2br w:val="nil"/>
              <w:tr2bl w:val="nil"/>
            </w:tcBorders>
            <w:shd w:val="clear" w:color="auto" w:fill="FFFFFF"/>
            <w:vAlign w:val="center"/>
          </w:tcPr>
          <w:p w14:paraId="6B1D4435">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效益</w:t>
            </w:r>
          </w:p>
        </w:tc>
        <w:tc>
          <w:tcPr>
            <w:tcW w:w="1865" w:type="dxa"/>
            <w:tcBorders>
              <w:tl2br w:val="nil"/>
              <w:tr2bl w:val="nil"/>
            </w:tcBorders>
            <w:shd w:val="clear" w:color="auto" w:fill="FFFFFF"/>
            <w:vAlign w:val="center"/>
          </w:tcPr>
          <w:p w14:paraId="58DF2AB4">
            <w:pPr>
              <w:widowControl/>
              <w:ind w:firstLine="0" w:firstLineChars="0"/>
              <w:jc w:val="center"/>
              <w:rPr>
                <w:rFonts w:ascii="Times New Roman" w:hAnsi="Times New Roman" w:cs="Times New Roman"/>
                <w:kern w:val="0"/>
                <w:sz w:val="22"/>
              </w:rPr>
            </w:pPr>
            <w:r>
              <w:rPr>
                <w:rFonts w:ascii="Times New Roman" w:hAnsi="Times New Roman" w:cs="Times New Roman"/>
                <w:kern w:val="0"/>
                <w:sz w:val="22"/>
              </w:rPr>
              <w:t>社会效益指标</w:t>
            </w:r>
          </w:p>
        </w:tc>
        <w:tc>
          <w:tcPr>
            <w:tcW w:w="2739" w:type="dxa"/>
            <w:tcBorders>
              <w:tl2br w:val="nil"/>
              <w:tr2bl w:val="nil"/>
            </w:tcBorders>
            <w:shd w:val="clear" w:color="auto" w:fill="FFFFFF"/>
            <w:vAlign w:val="center"/>
          </w:tcPr>
          <w:p w14:paraId="231EAD8D">
            <w:pPr>
              <w:widowControl/>
              <w:ind w:firstLine="0" w:firstLineChars="0"/>
              <w:jc w:val="center"/>
              <w:rPr>
                <w:rFonts w:ascii="Times New Roman" w:hAnsi="Times New Roman" w:cs="Times New Roman"/>
                <w:kern w:val="0"/>
                <w:sz w:val="22"/>
              </w:rPr>
            </w:pPr>
            <w:r>
              <w:rPr>
                <w:rFonts w:ascii="Times New Roman" w:hAnsi="Times New Roman" w:cs="Times New Roman"/>
                <w:color w:val="000000"/>
                <w:kern w:val="0"/>
                <w:sz w:val="22"/>
              </w:rPr>
              <w:t>有效维护辖区社会治安稳定</w:t>
            </w:r>
          </w:p>
        </w:tc>
        <w:tc>
          <w:tcPr>
            <w:tcW w:w="638" w:type="dxa"/>
            <w:tcBorders>
              <w:tl2br w:val="nil"/>
              <w:tr2bl w:val="nil"/>
            </w:tcBorders>
            <w:shd w:val="clear" w:color="auto" w:fill="FFFFFF"/>
            <w:vAlign w:val="center"/>
          </w:tcPr>
          <w:p w14:paraId="73E02949">
            <w:pPr>
              <w:ind w:firstLine="0" w:firstLineChars="0"/>
              <w:rPr>
                <w:rFonts w:ascii="Times New Roman" w:hAnsi="Times New Roman" w:cs="Times New Roman"/>
                <w:kern w:val="0"/>
                <w:sz w:val="22"/>
              </w:rPr>
            </w:pPr>
            <w:r>
              <w:rPr>
                <w:rFonts w:hint="eastAsia" w:ascii="Times New Roman" w:hAnsi="Times New Roman" w:cs="Times New Roman"/>
                <w:kern w:val="0"/>
                <w:sz w:val="22"/>
              </w:rPr>
              <w:t>20</w:t>
            </w:r>
          </w:p>
        </w:tc>
        <w:tc>
          <w:tcPr>
            <w:tcW w:w="845" w:type="dxa"/>
            <w:tcBorders>
              <w:tl2br w:val="nil"/>
              <w:tr2bl w:val="nil"/>
            </w:tcBorders>
            <w:shd w:val="clear" w:color="auto" w:fill="FFFFFF"/>
            <w:vAlign w:val="center"/>
          </w:tcPr>
          <w:p w14:paraId="35A33861">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20</w:t>
            </w:r>
          </w:p>
        </w:tc>
        <w:tc>
          <w:tcPr>
            <w:tcW w:w="977" w:type="dxa"/>
            <w:tcBorders>
              <w:tl2br w:val="nil"/>
              <w:tr2bl w:val="nil"/>
            </w:tcBorders>
            <w:shd w:val="clear" w:color="auto" w:fill="FFFFFF"/>
            <w:vAlign w:val="center"/>
          </w:tcPr>
          <w:p w14:paraId="5C37E22D">
            <w:pPr>
              <w:widowControl/>
              <w:ind w:firstLine="0" w:firstLineChars="0"/>
              <w:jc w:val="center"/>
              <w:rPr>
                <w:rFonts w:ascii="Times New Roman" w:hAnsi="Times New Roman" w:cs="Times New Roman"/>
                <w:kern w:val="0"/>
                <w:sz w:val="22"/>
              </w:rPr>
            </w:pPr>
            <w:r>
              <w:rPr>
                <w:rFonts w:hint="eastAsia" w:ascii="Times New Roman" w:hAnsi="Times New Roman" w:cs="Times New Roman"/>
                <w:kern w:val="0"/>
                <w:sz w:val="22"/>
              </w:rPr>
              <w:t>100%</w:t>
            </w:r>
          </w:p>
        </w:tc>
      </w:tr>
    </w:tbl>
    <w:p w14:paraId="1EAE2C29">
      <w:pPr>
        <w:pStyle w:val="3"/>
        <w:spacing w:before="0" w:after="0" w:line="560" w:lineRule="exact"/>
        <w:ind w:firstLine="643"/>
        <w:rPr>
          <w:rFonts w:ascii="Times New Roman" w:hAnsi="Times New Roman" w:eastAsia="楷体" w:cs="Times New Roman"/>
          <w:color w:val="000000"/>
          <w:kern w:val="0"/>
        </w:rPr>
      </w:pPr>
      <w:bookmarkStart w:id="31" w:name="_Toc67911610"/>
      <w:bookmarkStart w:id="32" w:name="_Toc24854"/>
      <w:r>
        <w:rPr>
          <w:rFonts w:ascii="Times New Roman" w:hAnsi="Times New Roman" w:eastAsia="楷体" w:cs="Times New Roman"/>
          <w:color w:val="000000"/>
          <w:kern w:val="0"/>
        </w:rPr>
        <w:t>（二）主要绩效</w:t>
      </w:r>
      <w:bookmarkEnd w:id="31"/>
      <w:bookmarkEnd w:id="32"/>
    </w:p>
    <w:p w14:paraId="08B0CB87">
      <w:pPr>
        <w:spacing w:line="360" w:lineRule="auto"/>
        <w:ind w:firstLine="627" w:firstLineChars="196"/>
        <w:rPr>
          <w:rFonts w:ascii="Times New Roman" w:hAnsi="Times New Roman" w:cs="Times New Roman"/>
          <w:color w:val="000000"/>
          <w:kern w:val="0"/>
          <w:sz w:val="32"/>
          <w:szCs w:val="32"/>
        </w:rPr>
      </w:pPr>
      <w:r>
        <w:rPr>
          <w:rFonts w:ascii="Times New Roman" w:hAnsi="Times New Roman" w:cs="Times New Roman"/>
          <w:color w:val="000000"/>
          <w:kern w:val="0"/>
          <w:sz w:val="32"/>
          <w:szCs w:val="32"/>
        </w:rPr>
        <w:t>该项目资金区财政及时拨付，单位在此次评价期间内，在</w:t>
      </w:r>
      <w:r>
        <w:rPr>
          <w:rFonts w:hint="eastAsia" w:ascii="Times New Roman" w:hAnsi="Times New Roman" w:cs="Times New Roman"/>
          <w:color w:val="000000"/>
          <w:kern w:val="0"/>
          <w:sz w:val="32"/>
          <w:szCs w:val="32"/>
        </w:rPr>
        <w:t>各级</w:t>
      </w:r>
      <w:r>
        <w:rPr>
          <w:rFonts w:ascii="Times New Roman" w:hAnsi="Times New Roman" w:cs="Times New Roman"/>
          <w:color w:val="000000"/>
          <w:kern w:val="0"/>
          <w:sz w:val="32"/>
          <w:szCs w:val="32"/>
        </w:rPr>
        <w:t>党委的坚强领导下，牢牢扭住社会稳定和长治久安总目标，坚持总体国家安全观和稳中求进总基调</w:t>
      </w:r>
      <w:r>
        <w:rPr>
          <w:rFonts w:hint="eastAsia" w:ascii="Times New Roman" w:hAnsi="Times New Roman" w:cs="Times New Roman"/>
          <w:color w:val="000000"/>
          <w:kern w:val="0"/>
          <w:sz w:val="32"/>
          <w:szCs w:val="32"/>
        </w:rPr>
        <w:t>，保持了全年社会面大局持续稳定，开创了水区公安工作发展的新局面。圆满完成了全年重要敏感节点和各类安保勤务。社会面管控工作卓有成效，全年刑事案件立案数845起，破案率达到57.87%。全年，分局紧盯命案、抢劫、伤害等暴力犯罪，保持现行命案破案率100%。</w:t>
      </w:r>
      <w:r>
        <w:rPr>
          <w:rFonts w:ascii="Times New Roman" w:hAnsi="Times New Roman" w:cs="Times New Roman"/>
          <w:color w:val="000000"/>
          <w:kern w:val="0"/>
          <w:sz w:val="32"/>
          <w:szCs w:val="32"/>
        </w:rPr>
        <w:t>终立足公安本职工作，坚持以情报信息为引领，以精准打击为核心，以社会稳定、长治久安为目标，紧紧围绕市委系列维稳专项行动，全力打击各类违法犯罪活动</w:t>
      </w:r>
      <w:r>
        <w:rPr>
          <w:rFonts w:hint="eastAsia" w:ascii="Times New Roman" w:hAnsi="Times New Roman" w:cs="Times New Roman"/>
          <w:color w:val="000000"/>
          <w:kern w:val="0"/>
          <w:sz w:val="32"/>
          <w:szCs w:val="32"/>
        </w:rPr>
        <w:t>。</w:t>
      </w:r>
    </w:p>
    <w:p w14:paraId="0CDFDE48">
      <w:pPr>
        <w:pStyle w:val="2"/>
        <w:spacing w:before="0" w:after="0" w:line="560" w:lineRule="exact"/>
        <w:ind w:firstLine="930" w:firstLineChars="277"/>
        <w:jc w:val="left"/>
        <w:rPr>
          <w:rFonts w:ascii="Times New Roman" w:hAnsi="Times New Roman" w:eastAsia="黑体" w:cs="Times New Roman"/>
          <w:b w:val="0"/>
          <w:bCs w:val="0"/>
          <w:color w:val="000000"/>
          <w:spacing w:val="8"/>
          <w:kern w:val="0"/>
          <w:sz w:val="32"/>
          <w:szCs w:val="32"/>
        </w:rPr>
      </w:pPr>
      <w:bookmarkStart w:id="33" w:name="_Toc67911611"/>
      <w:bookmarkStart w:id="34" w:name="_Toc30399"/>
      <w:r>
        <w:rPr>
          <w:rFonts w:ascii="Times New Roman" w:hAnsi="Times New Roman" w:eastAsia="黑体" w:cs="Times New Roman"/>
          <w:b w:val="0"/>
          <w:bCs w:val="0"/>
          <w:color w:val="000000"/>
          <w:spacing w:val="8"/>
          <w:kern w:val="0"/>
          <w:sz w:val="32"/>
          <w:szCs w:val="32"/>
        </w:rPr>
        <w:t>四、绩效评价指标分析</w:t>
      </w:r>
      <w:bookmarkEnd w:id="33"/>
      <w:bookmarkEnd w:id="34"/>
    </w:p>
    <w:p w14:paraId="484116C5">
      <w:pPr>
        <w:pStyle w:val="3"/>
        <w:spacing w:before="0" w:after="0" w:line="560" w:lineRule="exact"/>
        <w:ind w:firstLine="643"/>
        <w:rPr>
          <w:rFonts w:ascii="Times New Roman" w:hAnsi="Times New Roman" w:eastAsia="楷体" w:cs="Times New Roman"/>
          <w:color w:val="000000"/>
          <w:kern w:val="0"/>
        </w:rPr>
      </w:pPr>
      <w:bookmarkStart w:id="35" w:name="_Toc1030"/>
      <w:bookmarkStart w:id="36" w:name="_Toc67911612"/>
      <w:r>
        <w:rPr>
          <w:rFonts w:ascii="Times New Roman" w:hAnsi="Times New Roman" w:eastAsia="楷体" w:cs="Times New Roman"/>
          <w:color w:val="000000"/>
          <w:kern w:val="0"/>
        </w:rPr>
        <w:t>（一）项目决策情况</w:t>
      </w:r>
      <w:bookmarkEnd w:id="35"/>
      <w:bookmarkEnd w:id="36"/>
    </w:p>
    <w:p w14:paraId="5EA0ADF5">
      <w:pPr>
        <w:spacing w:line="560" w:lineRule="exact"/>
        <w:ind w:firstLine="640"/>
        <w:rPr>
          <w:rFonts w:ascii="Times New Roman" w:hAnsi="Times New Roman" w:cs="Times New Roman"/>
          <w:color w:val="000000"/>
          <w:kern w:val="0"/>
          <w:sz w:val="32"/>
          <w:szCs w:val="32"/>
        </w:rPr>
      </w:pPr>
      <w:r>
        <w:rPr>
          <w:rFonts w:ascii="Times New Roman" w:hAnsi="Times New Roman" w:cs="Times New Roman"/>
          <w:color w:val="000000"/>
          <w:kern w:val="0"/>
          <w:sz w:val="32"/>
          <w:szCs w:val="32"/>
        </w:rPr>
        <w:t>项目决算指标由3个二级指标和6个三级指标构成，权重为20分，实际得分</w:t>
      </w:r>
      <w:r>
        <w:rPr>
          <w:rFonts w:hint="eastAsia" w:ascii="Times New Roman" w:hAnsi="Times New Roman" w:cs="Times New Roman"/>
          <w:color w:val="000000"/>
          <w:kern w:val="0"/>
          <w:sz w:val="32"/>
          <w:szCs w:val="32"/>
        </w:rPr>
        <w:t>20</w:t>
      </w:r>
      <w:r>
        <w:rPr>
          <w:rFonts w:ascii="Times New Roman" w:hAnsi="Times New Roman" w:cs="Times New Roman"/>
          <w:color w:val="000000"/>
          <w:kern w:val="0"/>
          <w:sz w:val="32"/>
          <w:szCs w:val="32"/>
        </w:rPr>
        <w:t>分。</w:t>
      </w:r>
    </w:p>
    <w:p w14:paraId="75F2CF2F">
      <w:pPr>
        <w:pStyle w:val="4"/>
        <w:spacing w:before="0" w:after="0" w:line="560" w:lineRule="exact"/>
        <w:ind w:firstLine="643"/>
        <w:rPr>
          <w:rFonts w:ascii="Times New Roman" w:hAnsi="Times New Roman" w:cs="Times New Roman"/>
        </w:rPr>
      </w:pPr>
      <w:bookmarkStart w:id="37" w:name="_Toc32411"/>
      <w:r>
        <w:rPr>
          <w:rFonts w:ascii="Times New Roman" w:hAnsi="Times New Roman" w:cs="Times New Roman"/>
        </w:rPr>
        <w:t>1. 项目立项</w:t>
      </w:r>
      <w:bookmarkEnd w:id="37"/>
    </w:p>
    <w:p w14:paraId="662F352E">
      <w:pPr>
        <w:pStyle w:val="34"/>
        <w:spacing w:line="560" w:lineRule="exact"/>
        <w:ind w:firstLine="643"/>
        <w:rPr>
          <w:rFonts w:eastAsia="仿宋_GB2312"/>
          <w:sz w:val="32"/>
          <w:szCs w:val="32"/>
        </w:rPr>
      </w:pPr>
      <w:r>
        <w:rPr>
          <w:b/>
          <w:bCs/>
          <w:sz w:val="32"/>
          <w:szCs w:val="32"/>
        </w:rPr>
        <w:t>立项依据充分性：</w:t>
      </w:r>
      <w:r>
        <w:rPr>
          <w:rFonts w:eastAsia="仿宋_GB2312"/>
          <w:sz w:val="32"/>
          <w:szCs w:val="32"/>
        </w:rPr>
        <w:t>项目立项符合国家法律法规、政策要求。同时，项目与部门职责范围相符，属于部门履职所需。此外，本项目属于公共财政支持范围，符合中央事权支出责任划分原则</w:t>
      </w:r>
      <w:r>
        <w:rPr>
          <w:rFonts w:hint="eastAsia" w:eastAsia="仿宋_GB2312"/>
          <w:sz w:val="32"/>
          <w:szCs w:val="32"/>
        </w:rPr>
        <w:t>。我单位主要职责：预防、制止和侦查违法犯罪活动；防范、打击恐怖活动；维护社会治安秩序，制止危害社会治安秩序的行为。中央转移支付资金是根据《关于加强政法经费保障工作的意见》、《新疆维吾尔自治区政法经费分类保障暂行办法》的要求，2022年按照市财政局下发文件乌财行</w:t>
      </w:r>
      <w:r>
        <w:rPr>
          <w:spacing w:val="8"/>
          <w:sz w:val="32"/>
          <w:szCs w:val="32"/>
        </w:rPr>
        <w:t>〔</w:t>
      </w:r>
      <w:r>
        <w:rPr>
          <w:rFonts w:hint="eastAsia"/>
          <w:spacing w:val="8"/>
          <w:sz w:val="32"/>
          <w:szCs w:val="32"/>
        </w:rPr>
        <w:t>2022</w:t>
      </w:r>
      <w:r>
        <w:rPr>
          <w:spacing w:val="8"/>
          <w:sz w:val="32"/>
          <w:szCs w:val="32"/>
        </w:rPr>
        <w:t>〕</w:t>
      </w:r>
      <w:r>
        <w:rPr>
          <w:rFonts w:hint="eastAsia" w:eastAsia="仿宋_GB2312"/>
          <w:sz w:val="32"/>
          <w:szCs w:val="32"/>
        </w:rPr>
        <w:t>199号文件《关于提前下达2023年中央政法纪检监察转移支付资金预算的通知》为依据，安排预算资金</w:t>
      </w:r>
      <w:r>
        <w:rPr>
          <w:rFonts w:eastAsia="仿宋_GB2312"/>
          <w:sz w:val="32"/>
          <w:szCs w:val="32"/>
        </w:rPr>
        <w:t>。因此，立项依据充分，得4分。</w:t>
      </w:r>
    </w:p>
    <w:p w14:paraId="240D7B12">
      <w:pPr>
        <w:spacing w:line="560" w:lineRule="exact"/>
        <w:ind w:firstLine="643"/>
        <w:rPr>
          <w:rFonts w:ascii="Times New Roman" w:hAnsi="Times New Roman" w:cs="Times New Roman"/>
          <w:szCs w:val="28"/>
        </w:rPr>
      </w:pPr>
      <w:r>
        <w:rPr>
          <w:rFonts w:ascii="Times New Roman" w:hAnsi="Times New Roman" w:cs="Times New Roman"/>
          <w:b/>
          <w:bCs/>
          <w:sz w:val="32"/>
          <w:szCs w:val="32"/>
        </w:rPr>
        <w:t>立项程序规范性:</w:t>
      </w:r>
      <w:r>
        <w:rPr>
          <w:rFonts w:ascii="Times New Roman" w:hAnsi="Times New Roman" w:cs="Times New Roman"/>
          <w:sz w:val="32"/>
          <w:szCs w:val="32"/>
        </w:rPr>
        <w:t>项目按照规定的程序</w:t>
      </w:r>
      <w:r>
        <w:rPr>
          <w:rFonts w:hint="eastAsia" w:ascii="Times New Roman" w:hAnsi="Times New Roman" w:cs="Times New Roman"/>
          <w:sz w:val="32"/>
          <w:szCs w:val="32"/>
        </w:rPr>
        <w:t>每年由自治区公安厅及市公安局按照《关于加强政法经费保障工作的意见》、《新疆维吾尔自治区政法经费分类保障暂行办法》联合自治区财政厅、市财政局下发相关文件</w:t>
      </w:r>
      <w:r>
        <w:rPr>
          <w:rFonts w:ascii="Times New Roman" w:hAnsi="Times New Roman" w:cs="Times New Roman"/>
          <w:sz w:val="32"/>
          <w:szCs w:val="32"/>
        </w:rPr>
        <w:t>要求，故立项程序规范，得4分。</w:t>
      </w:r>
    </w:p>
    <w:p w14:paraId="354CA2B9">
      <w:pPr>
        <w:spacing w:line="560" w:lineRule="exact"/>
        <w:ind w:firstLine="643"/>
        <w:rPr>
          <w:rFonts w:ascii="Times New Roman" w:hAnsi="Times New Roman" w:cs="Times New Roman"/>
          <w:b/>
          <w:bCs/>
          <w:sz w:val="32"/>
          <w:szCs w:val="32"/>
        </w:rPr>
      </w:pPr>
      <w:r>
        <w:rPr>
          <w:rFonts w:ascii="Times New Roman" w:hAnsi="Times New Roman" w:cs="Times New Roman"/>
          <w:b/>
          <w:bCs/>
          <w:sz w:val="32"/>
          <w:szCs w:val="32"/>
        </w:rPr>
        <w:t>综上，该指标满分8分，得分</w:t>
      </w:r>
      <w:r>
        <w:rPr>
          <w:rFonts w:hint="eastAsia" w:ascii="Times New Roman" w:hAnsi="Times New Roman" w:cs="Times New Roman"/>
          <w:b/>
          <w:bCs/>
          <w:sz w:val="32"/>
          <w:szCs w:val="32"/>
        </w:rPr>
        <w:t>8</w:t>
      </w:r>
      <w:r>
        <w:rPr>
          <w:rFonts w:ascii="Times New Roman" w:hAnsi="Times New Roman" w:cs="Times New Roman"/>
          <w:b/>
          <w:bCs/>
          <w:sz w:val="32"/>
          <w:szCs w:val="32"/>
        </w:rPr>
        <w:t>分。</w:t>
      </w:r>
    </w:p>
    <w:p w14:paraId="1B1BD488">
      <w:pPr>
        <w:pStyle w:val="4"/>
        <w:spacing w:before="0" w:after="0" w:line="560" w:lineRule="exact"/>
        <w:ind w:firstLine="643"/>
        <w:rPr>
          <w:rFonts w:ascii="Times New Roman" w:hAnsi="Times New Roman" w:cs="Times New Roman"/>
        </w:rPr>
      </w:pPr>
      <w:bookmarkStart w:id="38" w:name="_Toc16395"/>
      <w:r>
        <w:rPr>
          <w:rFonts w:ascii="Times New Roman" w:hAnsi="Times New Roman" w:cs="Times New Roman"/>
        </w:rPr>
        <w:t>2. 绩效目标</w:t>
      </w:r>
      <w:bookmarkEnd w:id="38"/>
    </w:p>
    <w:p w14:paraId="32BE7F9B">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绩效目标合理性：</w:t>
      </w:r>
      <w:r>
        <w:rPr>
          <w:rFonts w:ascii="Times New Roman" w:hAnsi="Times New Roman" w:cs="Times New Roman"/>
          <w:sz w:val="32"/>
          <w:szCs w:val="32"/>
        </w:rPr>
        <w:t>本项目的绩效目标按照产出、效益构建绩效评价指标，且具有明确性、可衡量性、可实现性、相关性和时限性等特点，能较为全面地反映本项目的产出和效益</w:t>
      </w:r>
      <w:r>
        <w:rPr>
          <w:rFonts w:hint="eastAsia" w:ascii="Times New Roman" w:hAnsi="Times New Roman" w:cs="Times New Roman"/>
          <w:sz w:val="32"/>
          <w:szCs w:val="32"/>
        </w:rPr>
        <w:t>。因为该项目主要分为办案业务经费及装备经费，因此绩效目标设立紧紧围绕上述两项内容设立。设立了刑事案件立案数、破案率、警用装备采购种类、装备验收合格率、办案业务经费及装备经费分别设立成本指标、有效维护辖区社会治安等绩效目标。</w:t>
      </w:r>
      <w:r>
        <w:rPr>
          <w:rFonts w:ascii="Times New Roman" w:hAnsi="Times New Roman" w:cs="Times New Roman"/>
          <w:sz w:val="32"/>
          <w:szCs w:val="32"/>
        </w:rPr>
        <w:t>故绩效目标合理性指标得分</w:t>
      </w:r>
      <w:r>
        <w:rPr>
          <w:rFonts w:hint="eastAsia" w:ascii="Times New Roman" w:hAnsi="Times New Roman" w:cs="Times New Roman"/>
          <w:sz w:val="32"/>
          <w:szCs w:val="32"/>
        </w:rPr>
        <w:t>3</w:t>
      </w:r>
      <w:r>
        <w:rPr>
          <w:rFonts w:ascii="Times New Roman" w:hAnsi="Times New Roman" w:cs="Times New Roman"/>
          <w:sz w:val="32"/>
          <w:szCs w:val="32"/>
        </w:rPr>
        <w:t>分。</w:t>
      </w:r>
    </w:p>
    <w:p w14:paraId="04071057">
      <w:pPr>
        <w:autoSpaceDE w:val="0"/>
        <w:spacing w:line="560" w:lineRule="exact"/>
        <w:ind w:firstLine="643"/>
        <w:rPr>
          <w:rFonts w:ascii="Times New Roman" w:hAnsi="Times New Roman" w:cs="Times New Roman"/>
          <w:kern w:val="0"/>
          <w:sz w:val="32"/>
          <w:szCs w:val="32"/>
        </w:rPr>
      </w:pPr>
      <w:r>
        <w:rPr>
          <w:rFonts w:ascii="Times New Roman" w:hAnsi="Times New Roman" w:cs="Times New Roman"/>
          <w:b/>
          <w:kern w:val="0"/>
          <w:sz w:val="32"/>
          <w:szCs w:val="32"/>
        </w:rPr>
        <w:t>绩效目标明确性：</w:t>
      </w:r>
      <w:r>
        <w:rPr>
          <w:rFonts w:ascii="Times New Roman" w:hAnsi="Times New Roman" w:cs="Times New Roman"/>
          <w:kern w:val="0"/>
          <w:sz w:val="32"/>
          <w:szCs w:val="32"/>
        </w:rPr>
        <w:t>其中，目标已细化为具体的绩效指标</w:t>
      </w:r>
      <w:r>
        <w:rPr>
          <w:rFonts w:hint="eastAsia" w:ascii="Times New Roman" w:hAnsi="Times New Roman" w:cs="Times New Roman"/>
          <w:kern w:val="0"/>
          <w:sz w:val="32"/>
          <w:szCs w:val="32"/>
        </w:rPr>
        <w:t>：</w:t>
      </w:r>
      <w:r>
        <w:rPr>
          <w:rFonts w:ascii="Times New Roman" w:hAnsi="Times New Roman" w:cs="Times New Roman"/>
          <w:kern w:val="0"/>
          <w:sz w:val="32"/>
          <w:szCs w:val="32"/>
        </w:rPr>
        <w:t>全年刑事案件立案数</w:t>
      </w:r>
      <w:r>
        <w:rPr>
          <w:rFonts w:hint="eastAsia" w:ascii="Times New Roman" w:hAnsi="Times New Roman" w:cs="Times New Roman"/>
          <w:kern w:val="0"/>
          <w:sz w:val="32"/>
          <w:szCs w:val="32"/>
        </w:rPr>
        <w:t>、</w:t>
      </w:r>
      <w:r>
        <w:rPr>
          <w:rFonts w:ascii="Times New Roman" w:hAnsi="Times New Roman" w:cs="Times New Roman"/>
          <w:kern w:val="0"/>
          <w:sz w:val="32"/>
          <w:szCs w:val="32"/>
        </w:rPr>
        <w:t>执法装备使用单位数</w:t>
      </w:r>
      <w:r>
        <w:rPr>
          <w:rFonts w:hint="eastAsia" w:ascii="Times New Roman" w:hAnsi="Times New Roman" w:cs="Times New Roman"/>
          <w:kern w:val="0"/>
          <w:sz w:val="32"/>
          <w:szCs w:val="32"/>
        </w:rPr>
        <w:t>、</w:t>
      </w:r>
      <w:r>
        <w:rPr>
          <w:rFonts w:ascii="Times New Roman" w:hAnsi="Times New Roman" w:cs="Times New Roman"/>
          <w:kern w:val="0"/>
          <w:sz w:val="32"/>
          <w:szCs w:val="32"/>
        </w:rPr>
        <w:t>刑事案件破案率</w:t>
      </w:r>
      <w:r>
        <w:rPr>
          <w:rFonts w:hint="eastAsia" w:ascii="Times New Roman" w:hAnsi="Times New Roman" w:cs="Times New Roman"/>
          <w:kern w:val="0"/>
          <w:sz w:val="32"/>
          <w:szCs w:val="32"/>
        </w:rPr>
        <w:t>、</w:t>
      </w:r>
      <w:r>
        <w:rPr>
          <w:rFonts w:ascii="Times New Roman" w:hAnsi="Times New Roman" w:cs="Times New Roman"/>
          <w:kern w:val="0"/>
          <w:sz w:val="32"/>
          <w:szCs w:val="32"/>
        </w:rPr>
        <w:t>购置装备质量合格率</w:t>
      </w:r>
      <w:r>
        <w:rPr>
          <w:rFonts w:hint="eastAsia" w:ascii="Times New Roman" w:hAnsi="Times New Roman" w:cs="Times New Roman"/>
          <w:kern w:val="0"/>
          <w:sz w:val="32"/>
          <w:szCs w:val="32"/>
        </w:rPr>
        <w:t>，设备采购及时率、</w:t>
      </w:r>
      <w:r>
        <w:rPr>
          <w:rFonts w:ascii="Times New Roman" w:hAnsi="Times New Roman" w:cs="Times New Roman"/>
          <w:kern w:val="0"/>
          <w:sz w:val="32"/>
          <w:szCs w:val="32"/>
        </w:rPr>
        <w:t>办案业务经费</w:t>
      </w:r>
      <w:r>
        <w:rPr>
          <w:rFonts w:hint="eastAsia" w:ascii="Times New Roman" w:hAnsi="Times New Roman" w:cs="Times New Roman"/>
          <w:kern w:val="0"/>
          <w:sz w:val="32"/>
          <w:szCs w:val="32"/>
        </w:rPr>
        <w:t>，</w:t>
      </w:r>
      <w:r>
        <w:rPr>
          <w:rFonts w:ascii="Times New Roman" w:hAnsi="Times New Roman" w:cs="Times New Roman"/>
          <w:kern w:val="0"/>
          <w:sz w:val="32"/>
          <w:szCs w:val="32"/>
        </w:rPr>
        <w:t>装备经费</w:t>
      </w:r>
      <w:r>
        <w:rPr>
          <w:rFonts w:hint="eastAsia" w:ascii="Times New Roman" w:hAnsi="Times New Roman" w:cs="Times New Roman"/>
          <w:kern w:val="0"/>
          <w:sz w:val="32"/>
          <w:szCs w:val="32"/>
        </w:rPr>
        <w:t>、</w:t>
      </w:r>
      <w:r>
        <w:rPr>
          <w:rFonts w:ascii="Times New Roman" w:hAnsi="Times New Roman" w:cs="Times New Roman"/>
          <w:kern w:val="0"/>
          <w:sz w:val="32"/>
          <w:szCs w:val="32"/>
        </w:rPr>
        <w:t>有效维护辖区社会治安稳定，可通过数量指标、质量指标、时效指标和成本指标予以量化，并具有确切的评价标准，且指标设定均与目标相关。各项指标均能在现实条件下收集到相关数据进行佐证</w:t>
      </w:r>
      <w:r>
        <w:rPr>
          <w:rFonts w:hint="eastAsia" w:ascii="Times New Roman" w:hAnsi="Times New Roman" w:cs="Times New Roman"/>
          <w:kern w:val="0"/>
          <w:sz w:val="32"/>
          <w:szCs w:val="32"/>
        </w:rPr>
        <w:t>，通过向业务部门查阅全年整体数据报表资料、向财务部门调阅会计凭证、账簿等方式收集数据</w:t>
      </w:r>
      <w:r>
        <w:rPr>
          <w:rFonts w:ascii="Times New Roman" w:hAnsi="Times New Roman" w:cs="Times New Roman"/>
          <w:kern w:val="0"/>
          <w:sz w:val="32"/>
          <w:szCs w:val="32"/>
        </w:rPr>
        <w:t>，并与当年项目年度计划相对应，故绩效目标明确性指标得分3分。</w:t>
      </w:r>
    </w:p>
    <w:p w14:paraId="112D67F5">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综上，该指标满分6分，得分</w:t>
      </w:r>
      <w:r>
        <w:rPr>
          <w:rFonts w:hint="eastAsia" w:ascii="Times New Roman" w:hAnsi="Times New Roman" w:cs="Times New Roman"/>
          <w:b/>
          <w:kern w:val="0"/>
          <w:sz w:val="32"/>
          <w:szCs w:val="32"/>
        </w:rPr>
        <w:t>6</w:t>
      </w:r>
      <w:r>
        <w:rPr>
          <w:rFonts w:ascii="Times New Roman" w:hAnsi="Times New Roman" w:cs="Times New Roman"/>
          <w:b/>
          <w:kern w:val="0"/>
          <w:sz w:val="32"/>
          <w:szCs w:val="32"/>
        </w:rPr>
        <w:t>分。</w:t>
      </w:r>
    </w:p>
    <w:p w14:paraId="2906BCE3">
      <w:pPr>
        <w:pStyle w:val="4"/>
        <w:spacing w:before="0" w:after="0" w:line="560" w:lineRule="exact"/>
        <w:ind w:firstLine="643"/>
        <w:rPr>
          <w:rFonts w:ascii="Times New Roman" w:hAnsi="Times New Roman" w:cs="Times New Roman"/>
        </w:rPr>
      </w:pPr>
      <w:bookmarkStart w:id="39" w:name="_Toc24290"/>
      <w:r>
        <w:rPr>
          <w:rFonts w:ascii="Times New Roman" w:hAnsi="Times New Roman" w:cs="Times New Roman"/>
        </w:rPr>
        <w:t>3. 资金投入</w:t>
      </w:r>
      <w:bookmarkEnd w:id="39"/>
    </w:p>
    <w:p w14:paraId="02A3EC31">
      <w:pPr>
        <w:autoSpaceDE w:val="0"/>
        <w:spacing w:line="560" w:lineRule="exact"/>
        <w:ind w:firstLine="643"/>
        <w:rPr>
          <w:rFonts w:ascii="Times New Roman" w:hAnsi="Times New Roman" w:cs="Times New Roman"/>
          <w:kern w:val="0"/>
          <w:sz w:val="32"/>
          <w:szCs w:val="32"/>
        </w:rPr>
      </w:pPr>
      <w:r>
        <w:rPr>
          <w:rFonts w:ascii="Times New Roman" w:hAnsi="Times New Roman" w:cs="Times New Roman"/>
          <w:b/>
          <w:kern w:val="0"/>
          <w:sz w:val="32"/>
          <w:szCs w:val="32"/>
        </w:rPr>
        <w:t>预算编制科学性：</w:t>
      </w:r>
      <w:r>
        <w:rPr>
          <w:rFonts w:hint="eastAsia" w:ascii="Times New Roman" w:hAnsi="Times New Roman" w:cs="Times New Roman"/>
          <w:kern w:val="0"/>
          <w:sz w:val="32"/>
          <w:szCs w:val="32"/>
        </w:rPr>
        <w:t>依据乌财行【2022】199号文件《关于提前下达2023年中央政法纪检监察转移支付资金预算的通知》安排我单位资金2770.53万元（其中：办案业务经费1351.22万元，装备经费1419.31万元）。公安厅、市公安局根据我单位在编人数和具体承担的工作任务，全盘考量，重点保障，按照因素法进行分配预算资金，实行专项管理</w:t>
      </w:r>
      <w:r>
        <w:rPr>
          <w:rFonts w:ascii="Times New Roman" w:hAnsi="Times New Roman" w:cs="Times New Roman"/>
          <w:kern w:val="0"/>
          <w:sz w:val="32"/>
          <w:szCs w:val="32"/>
        </w:rPr>
        <w:t>。故预算编制科学性指标得分3分。</w:t>
      </w:r>
    </w:p>
    <w:p w14:paraId="04B4B0A4">
      <w:pPr>
        <w:autoSpaceDE w:val="0"/>
        <w:spacing w:line="600" w:lineRule="exact"/>
        <w:ind w:firstLine="643"/>
      </w:pPr>
      <w:r>
        <w:rPr>
          <w:rFonts w:ascii="Times New Roman" w:hAnsi="Times New Roman" w:cs="Times New Roman"/>
          <w:b/>
          <w:bCs/>
          <w:sz w:val="32"/>
          <w:szCs w:val="32"/>
        </w:rPr>
        <w:t>资金分配合理性</w:t>
      </w:r>
      <w:r>
        <w:rPr>
          <w:rFonts w:ascii="Times New Roman" w:hAnsi="Times New Roman" w:cs="Times New Roman"/>
          <w:sz w:val="32"/>
          <w:szCs w:val="32"/>
        </w:rPr>
        <w:t>：</w:t>
      </w:r>
      <w:r>
        <w:rPr>
          <w:rFonts w:hint="eastAsia"/>
        </w:rPr>
        <w:t>中央转移支付资金分配遵循下列原则：规范性、公开性、公平性、保基本、保基层、保重点、按责任、按类别、按标准、重效益、重激励、促平衡。</w:t>
      </w:r>
    </w:p>
    <w:p w14:paraId="454BE55A">
      <w:pPr>
        <w:spacing w:line="560" w:lineRule="exact"/>
        <w:ind w:firstLine="640"/>
        <w:rPr>
          <w:rFonts w:ascii="Times New Roman" w:hAnsi="Times New Roman" w:cs="Times New Roman"/>
          <w:kern w:val="0"/>
          <w:sz w:val="32"/>
          <w:szCs w:val="32"/>
        </w:rPr>
      </w:pPr>
      <w:r>
        <w:rPr>
          <w:rFonts w:hint="eastAsia" w:ascii="Times New Roman" w:hAnsi="Times New Roman" w:cs="Times New Roman"/>
          <w:kern w:val="0"/>
          <w:sz w:val="32"/>
          <w:szCs w:val="32"/>
        </w:rPr>
        <w:t>中央转移支付资金分为办案（业务）经费和业务装备经费两类用途，由自治区财政厅根据财政部规定，按照政法机关实际情况，确定分配因素。主要选择政法机关干警人数、办案工作量、财力状况、经费实际支出水平、经费标准落实成效及经费管理使用情况等因素进行分配</w:t>
      </w:r>
      <w:r>
        <w:rPr>
          <w:rFonts w:ascii="Times New Roman" w:hAnsi="Times New Roman" w:cs="Times New Roman"/>
          <w:kern w:val="0"/>
          <w:sz w:val="32"/>
          <w:szCs w:val="32"/>
        </w:rPr>
        <w:t>。故资金分配合理性指标得分3分。</w:t>
      </w:r>
    </w:p>
    <w:p w14:paraId="5090A47E">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综上，该指标满分6分，得分</w:t>
      </w:r>
      <w:r>
        <w:rPr>
          <w:rFonts w:hint="eastAsia" w:ascii="Times New Roman" w:hAnsi="Times New Roman" w:cs="Times New Roman"/>
          <w:b/>
          <w:kern w:val="0"/>
          <w:sz w:val="32"/>
          <w:szCs w:val="32"/>
        </w:rPr>
        <w:t>6</w:t>
      </w:r>
      <w:r>
        <w:rPr>
          <w:rFonts w:ascii="Times New Roman" w:hAnsi="Times New Roman" w:cs="Times New Roman"/>
          <w:b/>
          <w:kern w:val="0"/>
          <w:sz w:val="32"/>
          <w:szCs w:val="32"/>
        </w:rPr>
        <w:t>分。</w:t>
      </w:r>
    </w:p>
    <w:p w14:paraId="66C32F27">
      <w:pPr>
        <w:pStyle w:val="3"/>
        <w:spacing w:before="0" w:after="0" w:line="560" w:lineRule="exact"/>
        <w:ind w:firstLine="643"/>
        <w:rPr>
          <w:rFonts w:ascii="Times New Roman" w:hAnsi="Times New Roman" w:eastAsia="楷体" w:cs="Times New Roman"/>
          <w:color w:val="000000"/>
          <w:kern w:val="0"/>
        </w:rPr>
      </w:pPr>
      <w:bookmarkStart w:id="40" w:name="_Toc13530"/>
      <w:bookmarkStart w:id="41" w:name="_Toc67911613"/>
      <w:r>
        <w:rPr>
          <w:rFonts w:ascii="Times New Roman" w:hAnsi="Times New Roman" w:eastAsia="楷体" w:cs="Times New Roman"/>
          <w:color w:val="000000"/>
          <w:kern w:val="0"/>
        </w:rPr>
        <w:t>（二）项目过程情况</w:t>
      </w:r>
      <w:bookmarkEnd w:id="40"/>
      <w:bookmarkEnd w:id="41"/>
    </w:p>
    <w:p w14:paraId="5E1F6BCA">
      <w:pPr>
        <w:spacing w:line="560" w:lineRule="exact"/>
        <w:ind w:firstLine="640"/>
        <w:rPr>
          <w:rFonts w:ascii="Times New Roman" w:hAnsi="Times New Roman" w:cs="Times New Roman"/>
          <w:sz w:val="32"/>
          <w:szCs w:val="32"/>
        </w:rPr>
      </w:pPr>
      <w:r>
        <w:rPr>
          <w:rFonts w:ascii="Times New Roman" w:hAnsi="Times New Roman" w:cs="Times New Roman"/>
          <w:sz w:val="32"/>
          <w:szCs w:val="32"/>
        </w:rPr>
        <w:t>项目过程指标由2个二级指标和5个三级指标构成，权重为20分，实际得分</w:t>
      </w:r>
      <w:r>
        <w:rPr>
          <w:rFonts w:hint="eastAsia" w:ascii="Times New Roman" w:hAnsi="Times New Roman" w:cs="Times New Roman"/>
          <w:sz w:val="32"/>
          <w:szCs w:val="32"/>
        </w:rPr>
        <w:t>17.02</w:t>
      </w:r>
      <w:r>
        <w:rPr>
          <w:rFonts w:ascii="Times New Roman" w:hAnsi="Times New Roman" w:cs="Times New Roman"/>
          <w:sz w:val="32"/>
          <w:szCs w:val="32"/>
        </w:rPr>
        <w:t>分。</w:t>
      </w:r>
    </w:p>
    <w:p w14:paraId="5B8BA6D5">
      <w:pPr>
        <w:pStyle w:val="4"/>
        <w:spacing w:before="0" w:after="0" w:line="560" w:lineRule="exact"/>
        <w:ind w:firstLine="643"/>
        <w:rPr>
          <w:rFonts w:ascii="Times New Roman" w:hAnsi="Times New Roman" w:cs="Times New Roman"/>
        </w:rPr>
      </w:pPr>
      <w:bookmarkStart w:id="42" w:name="_Toc18346"/>
      <w:r>
        <w:rPr>
          <w:rFonts w:ascii="Times New Roman" w:hAnsi="Times New Roman" w:cs="Times New Roman"/>
        </w:rPr>
        <w:t>1. 资金管理</w:t>
      </w:r>
      <w:bookmarkEnd w:id="42"/>
    </w:p>
    <w:p w14:paraId="007E5D88">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资金到位率：</w:t>
      </w:r>
      <w:r>
        <w:rPr>
          <w:rFonts w:hint="eastAsia" w:ascii="Times New Roman" w:hAnsi="Times New Roman" w:cs="Times New Roman"/>
          <w:sz w:val="32"/>
          <w:szCs w:val="32"/>
        </w:rPr>
        <w:t>依据乌财行【2022】199号文件《关于提前下达2023年中央政法纪检监察转移支付资金预算的通知》文件，安排我单位预算资金2770.53万元，截止2023年12月31日，我单位实际到位使用资金1121.55万元，资金执行率为40.48%。</w:t>
      </w:r>
      <w:r>
        <w:rPr>
          <w:rFonts w:ascii="Times New Roman" w:hAnsi="Times New Roman" w:cs="Times New Roman"/>
          <w:sz w:val="32"/>
          <w:szCs w:val="32"/>
        </w:rPr>
        <w:t>故资金到位率指标得分</w:t>
      </w:r>
      <w:r>
        <w:rPr>
          <w:rFonts w:hint="eastAsia" w:ascii="Times New Roman" w:hAnsi="Times New Roman" w:cs="Times New Roman"/>
          <w:sz w:val="32"/>
          <w:szCs w:val="32"/>
        </w:rPr>
        <w:t>2.02</w:t>
      </w:r>
      <w:r>
        <w:rPr>
          <w:rFonts w:ascii="Times New Roman" w:hAnsi="Times New Roman" w:cs="Times New Roman"/>
          <w:sz w:val="32"/>
          <w:szCs w:val="32"/>
        </w:rPr>
        <w:t>分。</w:t>
      </w:r>
    </w:p>
    <w:p w14:paraId="7FA0AAC0">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预算执行率：</w:t>
      </w:r>
      <w:r>
        <w:rPr>
          <w:rFonts w:hint="eastAsia" w:ascii="仿宋_GB2312"/>
        </w:rPr>
        <w:t>该</w:t>
      </w:r>
      <w:r>
        <w:rPr>
          <w:rFonts w:hint="eastAsia" w:ascii="Times New Roman" w:hAnsi="Times New Roman" w:cs="Times New Roman"/>
          <w:sz w:val="32"/>
          <w:szCs w:val="32"/>
        </w:rPr>
        <w:t>项目年底调整预算数为1121.55万元，决算数为1121.55万元，故执行率为100%。</w:t>
      </w:r>
      <w:r>
        <w:rPr>
          <w:rFonts w:ascii="Times New Roman" w:hAnsi="Times New Roman" w:cs="Times New Roman"/>
          <w:sz w:val="32"/>
          <w:szCs w:val="32"/>
        </w:rPr>
        <w:t>故预算执行率得分为</w:t>
      </w:r>
      <w:r>
        <w:rPr>
          <w:rFonts w:hint="eastAsia" w:ascii="Times New Roman" w:hAnsi="Times New Roman" w:cs="Times New Roman"/>
          <w:sz w:val="32"/>
          <w:szCs w:val="32"/>
        </w:rPr>
        <w:t>5</w:t>
      </w:r>
      <w:r>
        <w:rPr>
          <w:rFonts w:ascii="Times New Roman" w:hAnsi="Times New Roman" w:cs="Times New Roman"/>
          <w:sz w:val="32"/>
          <w:szCs w:val="32"/>
        </w:rPr>
        <w:t>分。</w:t>
      </w:r>
    </w:p>
    <w:p w14:paraId="103F117A">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资金使用合规性：</w:t>
      </w:r>
      <w:r>
        <w:rPr>
          <w:rFonts w:hint="eastAsia" w:ascii="Times New Roman" w:hAnsi="Times New Roman" w:cs="Times New Roman"/>
          <w:sz w:val="32"/>
          <w:szCs w:val="32"/>
        </w:rPr>
        <w:t>本项目资金的使用符合国家财经法规及我单位《乌鲁木齐市公安局水磨沟区分局重大经济事项集体决策制度》和《乌鲁木齐市公安局水磨沟区经费审批暂行规定》等财务管理制度以及有关专项资金管理办法的规定。同时，资金的拨付全部在财政部门预算管理一体化2.0平台上传完整的的支付作证资料，有完整的审批程序和手续，符合项目预算批复或合同规定的用途，不存在截留、挤占、挪用、虚列支出等情况。</w:t>
      </w:r>
      <w:r>
        <w:rPr>
          <w:rFonts w:ascii="Times New Roman" w:hAnsi="Times New Roman" w:cs="Times New Roman"/>
          <w:sz w:val="32"/>
          <w:szCs w:val="32"/>
        </w:rPr>
        <w:t>故资金使用合规性得分为3分。</w:t>
      </w:r>
    </w:p>
    <w:p w14:paraId="5B4251C5">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综上，该指标满分13分，得分</w:t>
      </w:r>
      <w:r>
        <w:rPr>
          <w:rFonts w:hint="eastAsia" w:ascii="Times New Roman" w:hAnsi="Times New Roman" w:cs="Times New Roman"/>
          <w:b/>
          <w:kern w:val="0"/>
          <w:sz w:val="32"/>
          <w:szCs w:val="32"/>
        </w:rPr>
        <w:t>10.02</w:t>
      </w:r>
      <w:r>
        <w:rPr>
          <w:rFonts w:ascii="Times New Roman" w:hAnsi="Times New Roman" w:cs="Times New Roman"/>
          <w:b/>
          <w:kern w:val="0"/>
          <w:sz w:val="32"/>
          <w:szCs w:val="32"/>
        </w:rPr>
        <w:t>分。</w:t>
      </w:r>
    </w:p>
    <w:p w14:paraId="291D8FE1">
      <w:pPr>
        <w:pStyle w:val="4"/>
        <w:spacing w:before="0" w:after="0" w:line="560" w:lineRule="exact"/>
        <w:ind w:firstLine="643"/>
        <w:rPr>
          <w:rFonts w:ascii="Times New Roman" w:hAnsi="Times New Roman" w:cs="Times New Roman"/>
        </w:rPr>
      </w:pPr>
      <w:bookmarkStart w:id="43" w:name="_Toc3203"/>
      <w:r>
        <w:rPr>
          <w:rFonts w:ascii="Times New Roman" w:hAnsi="Times New Roman" w:cs="Times New Roman"/>
        </w:rPr>
        <w:t>2. 组织实施</w:t>
      </w:r>
      <w:bookmarkEnd w:id="43"/>
    </w:p>
    <w:p w14:paraId="60B22CBA">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管理制度健全性</w:t>
      </w:r>
      <w:r>
        <w:rPr>
          <w:rFonts w:ascii="Times New Roman" w:hAnsi="Times New Roman" w:cs="Times New Roman"/>
          <w:sz w:val="32"/>
          <w:szCs w:val="32"/>
        </w:rPr>
        <w:t>：已制定</w:t>
      </w:r>
      <w:r>
        <w:rPr>
          <w:rFonts w:hint="eastAsia" w:ascii="Times New Roman" w:hAnsi="Times New Roman" w:cs="Times New Roman"/>
          <w:sz w:val="32"/>
          <w:szCs w:val="32"/>
        </w:rPr>
        <w:t>《乌鲁木齐市公安局水磨沟区分局重大经济事项集体决策制度》和《乌鲁木齐市公安局水磨沟区经费审批暂行规定》，</w:t>
      </w:r>
      <w:r>
        <w:rPr>
          <w:rFonts w:ascii="Times New Roman" w:hAnsi="Times New Roman" w:cs="Times New Roman"/>
          <w:sz w:val="32"/>
          <w:szCs w:val="32"/>
        </w:rPr>
        <w:t>且制度合法、合规、完整，为项目顺利实施提供重要保障。故管理制度健全性得分为3分。</w:t>
      </w:r>
    </w:p>
    <w:p w14:paraId="519652D9">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制度执行有效性：</w:t>
      </w:r>
      <w:r>
        <w:rPr>
          <w:rFonts w:hint="eastAsia" w:ascii="Times New Roman" w:hAnsi="Times New Roman" w:cs="Times New Roman"/>
          <w:sz w:val="32"/>
          <w:szCs w:val="32"/>
        </w:rPr>
        <w:t>根据现场调研和资料抽查情况，乌鲁木齐市公安局水磨沟区分局严格遵守相关法律法规和相关管理规定，项目调整及支出调整手续完备，整体管理合理有序，项目完成后，及时将会计凭证、政府采购档案、会计账簿、决算报表等相关资料分类归档，制度执行有效。</w:t>
      </w:r>
      <w:r>
        <w:rPr>
          <w:rFonts w:ascii="Times New Roman" w:hAnsi="Times New Roman" w:cs="Times New Roman"/>
          <w:sz w:val="32"/>
          <w:szCs w:val="32"/>
        </w:rPr>
        <w:t>故制度执行有效性指标得分4分。</w:t>
      </w:r>
    </w:p>
    <w:p w14:paraId="7F454383">
      <w:pPr>
        <w:autoSpaceDE w:val="0"/>
        <w:spacing w:line="560" w:lineRule="exact"/>
        <w:ind w:firstLine="643"/>
        <w:rPr>
          <w:rFonts w:ascii="Times New Roman" w:hAnsi="Times New Roman" w:cs="Times New Roman"/>
          <w:b/>
          <w:kern w:val="0"/>
          <w:sz w:val="32"/>
          <w:szCs w:val="32"/>
        </w:rPr>
      </w:pPr>
      <w:bookmarkStart w:id="44" w:name="_Hlk67670213"/>
      <w:r>
        <w:rPr>
          <w:rFonts w:ascii="Times New Roman" w:hAnsi="Times New Roman" w:cs="Times New Roman"/>
          <w:b/>
          <w:kern w:val="0"/>
          <w:sz w:val="32"/>
          <w:szCs w:val="32"/>
        </w:rPr>
        <w:t>综上，该指标满分7分，得分7分。</w:t>
      </w:r>
    </w:p>
    <w:bookmarkEnd w:id="44"/>
    <w:p w14:paraId="6F600323">
      <w:pPr>
        <w:pStyle w:val="3"/>
        <w:spacing w:before="0" w:after="0" w:line="560" w:lineRule="exact"/>
        <w:ind w:firstLine="643"/>
        <w:rPr>
          <w:rFonts w:ascii="Times New Roman" w:hAnsi="Times New Roman" w:eastAsia="楷体" w:cs="Times New Roman"/>
          <w:color w:val="000000"/>
          <w:kern w:val="0"/>
        </w:rPr>
      </w:pPr>
      <w:bookmarkStart w:id="45" w:name="_Toc67911614"/>
      <w:bookmarkStart w:id="46" w:name="_Toc21456"/>
      <w:r>
        <w:rPr>
          <w:rFonts w:ascii="Times New Roman" w:hAnsi="Times New Roman" w:eastAsia="楷体" w:cs="Times New Roman"/>
          <w:color w:val="000000"/>
          <w:kern w:val="0"/>
        </w:rPr>
        <w:t>（三）项目产出情况</w:t>
      </w:r>
      <w:bookmarkEnd w:id="45"/>
      <w:bookmarkEnd w:id="46"/>
    </w:p>
    <w:p w14:paraId="4F79BA5F">
      <w:pPr>
        <w:spacing w:line="560" w:lineRule="exact"/>
        <w:ind w:firstLine="640"/>
        <w:rPr>
          <w:rFonts w:ascii="Times New Roman" w:hAnsi="Times New Roman" w:cs="Times New Roman"/>
          <w:sz w:val="32"/>
          <w:szCs w:val="32"/>
        </w:rPr>
      </w:pPr>
      <w:r>
        <w:rPr>
          <w:rFonts w:ascii="Times New Roman" w:hAnsi="Times New Roman" w:cs="Times New Roman"/>
          <w:sz w:val="32"/>
          <w:szCs w:val="32"/>
        </w:rPr>
        <w:t>项目产出指标由</w:t>
      </w:r>
      <w:r>
        <w:rPr>
          <w:rFonts w:hint="eastAsia" w:ascii="Times New Roman" w:hAnsi="Times New Roman" w:cs="Times New Roman"/>
          <w:sz w:val="32"/>
          <w:szCs w:val="32"/>
        </w:rPr>
        <w:t>5</w:t>
      </w:r>
      <w:r>
        <w:rPr>
          <w:rFonts w:ascii="Times New Roman" w:hAnsi="Times New Roman" w:cs="Times New Roman"/>
          <w:sz w:val="32"/>
          <w:szCs w:val="32"/>
        </w:rPr>
        <w:t>个二级指标和</w:t>
      </w:r>
      <w:r>
        <w:rPr>
          <w:rFonts w:hint="eastAsia" w:ascii="Times New Roman" w:hAnsi="Times New Roman" w:cs="Times New Roman"/>
          <w:sz w:val="32"/>
          <w:szCs w:val="32"/>
        </w:rPr>
        <w:t>7</w:t>
      </w:r>
      <w:r>
        <w:rPr>
          <w:rFonts w:ascii="Times New Roman" w:hAnsi="Times New Roman" w:cs="Times New Roman"/>
          <w:sz w:val="32"/>
          <w:szCs w:val="32"/>
        </w:rPr>
        <w:t>个三级指标构成，权重为40分，实际得分</w:t>
      </w:r>
      <w:r>
        <w:rPr>
          <w:rFonts w:hint="eastAsia" w:ascii="Times New Roman" w:hAnsi="Times New Roman" w:cs="Times New Roman"/>
          <w:sz w:val="32"/>
          <w:szCs w:val="32"/>
        </w:rPr>
        <w:t>32.79</w:t>
      </w:r>
      <w:r>
        <w:rPr>
          <w:rFonts w:ascii="Times New Roman" w:hAnsi="Times New Roman" w:cs="Times New Roman"/>
          <w:sz w:val="32"/>
          <w:szCs w:val="32"/>
        </w:rPr>
        <w:t>分。</w:t>
      </w:r>
    </w:p>
    <w:p w14:paraId="774A9E6C">
      <w:pPr>
        <w:pStyle w:val="4"/>
        <w:spacing w:before="0" w:after="0" w:line="560" w:lineRule="exact"/>
        <w:ind w:firstLine="643"/>
        <w:rPr>
          <w:rFonts w:ascii="Times New Roman" w:hAnsi="Times New Roman" w:cs="Times New Roman"/>
        </w:rPr>
      </w:pPr>
      <w:bookmarkStart w:id="47" w:name="_Toc21326"/>
      <w:r>
        <w:rPr>
          <w:rFonts w:ascii="Times New Roman" w:hAnsi="Times New Roman" w:cs="Times New Roman"/>
        </w:rPr>
        <w:t>1.产出数量</w:t>
      </w:r>
      <w:bookmarkEnd w:id="47"/>
    </w:p>
    <w:p w14:paraId="6AF2D5FF">
      <w:pPr>
        <w:spacing w:line="560" w:lineRule="exact"/>
        <w:ind w:firstLine="640"/>
        <w:rPr>
          <w:rFonts w:ascii="Times New Roman" w:hAnsi="Times New Roman" w:cs="Times New Roman"/>
          <w:bCs/>
          <w:sz w:val="32"/>
          <w:szCs w:val="32"/>
        </w:rPr>
      </w:pPr>
      <w:r>
        <w:rPr>
          <w:rFonts w:ascii="Times New Roman" w:hAnsi="Times New Roman" w:cs="Times New Roman"/>
          <w:bCs/>
          <w:sz w:val="32"/>
          <w:szCs w:val="32"/>
        </w:rPr>
        <w:t>数量指标“全年刑事案件立案数”的目标值是&gt;=</w:t>
      </w:r>
      <w:r>
        <w:rPr>
          <w:rFonts w:hint="eastAsia" w:ascii="Times New Roman" w:hAnsi="Times New Roman" w:cs="Times New Roman"/>
          <w:bCs/>
          <w:sz w:val="32"/>
          <w:szCs w:val="32"/>
        </w:rPr>
        <w:t>770起</w:t>
      </w:r>
      <w:r>
        <w:rPr>
          <w:rFonts w:ascii="Times New Roman" w:hAnsi="Times New Roman" w:cs="Times New Roman"/>
          <w:bCs/>
          <w:sz w:val="32"/>
          <w:szCs w:val="32"/>
        </w:rPr>
        <w:t>，2023年度我单位实际完成</w:t>
      </w:r>
      <w:r>
        <w:rPr>
          <w:rFonts w:hint="eastAsia" w:ascii="Times New Roman" w:hAnsi="Times New Roman" w:cs="Times New Roman"/>
          <w:bCs/>
          <w:sz w:val="32"/>
          <w:szCs w:val="32"/>
        </w:rPr>
        <w:t>845起</w:t>
      </w:r>
      <w:r>
        <w:rPr>
          <w:rFonts w:ascii="Times New Roman" w:hAnsi="Times New Roman" w:cs="Times New Roman"/>
          <w:bCs/>
          <w:sz w:val="32"/>
          <w:szCs w:val="32"/>
        </w:rPr>
        <w:t>，原因是</w:t>
      </w:r>
      <w:r>
        <w:rPr>
          <w:rFonts w:hint="eastAsia" w:ascii="Times New Roman" w:hAnsi="Times New Roman" w:cs="Times New Roman"/>
          <w:bCs/>
          <w:sz w:val="32"/>
          <w:szCs w:val="32"/>
        </w:rPr>
        <w:t>绩效目标是依据上年完成情况设立，上年因疫情原因数量较少，2023年我单位</w:t>
      </w:r>
      <w:r>
        <w:rPr>
          <w:rFonts w:ascii="Times New Roman" w:hAnsi="Times New Roman" w:cs="Times New Roman"/>
          <w:bCs/>
          <w:sz w:val="32"/>
          <w:szCs w:val="32"/>
        </w:rPr>
        <w:t>始终坚持“警力跟着警情走”的工作理念，打破警种壁垒，整合手段资源，紧盯突出犯罪，全力遏制案件高发。紧盯命案、抢劫、伤害、强奸等暴力犯罪</w:t>
      </w:r>
      <w:r>
        <w:rPr>
          <w:rFonts w:hint="eastAsia" w:ascii="Times New Roman" w:hAnsi="Times New Roman" w:cs="Times New Roman"/>
          <w:bCs/>
          <w:sz w:val="32"/>
          <w:szCs w:val="32"/>
        </w:rPr>
        <w:t>，全面确保辖区社会治安秩序持续良好。指标赋分5分，得分5分，得分率100</w:t>
      </w:r>
      <w:r>
        <w:rPr>
          <w:rFonts w:ascii="Times New Roman" w:hAnsi="Times New Roman" w:cs="Times New Roman"/>
          <w:bCs/>
          <w:sz w:val="32"/>
          <w:szCs w:val="32"/>
        </w:rPr>
        <w:t>%</w:t>
      </w:r>
      <w:r>
        <w:rPr>
          <w:rFonts w:hint="eastAsia" w:ascii="Times New Roman" w:hAnsi="Times New Roman" w:cs="Times New Roman"/>
          <w:bCs/>
          <w:sz w:val="32"/>
          <w:szCs w:val="32"/>
        </w:rPr>
        <w:t>。</w:t>
      </w:r>
    </w:p>
    <w:p w14:paraId="2EAC2124">
      <w:pPr>
        <w:spacing w:line="560" w:lineRule="exact"/>
        <w:ind w:firstLine="640"/>
        <w:rPr>
          <w:rFonts w:ascii="Times New Roman" w:hAnsi="Times New Roman" w:cs="Times New Roman"/>
          <w:bCs/>
          <w:sz w:val="32"/>
          <w:szCs w:val="32"/>
        </w:rPr>
      </w:pPr>
      <w:r>
        <w:rPr>
          <w:rFonts w:ascii="Times New Roman" w:hAnsi="Times New Roman" w:cs="Times New Roman"/>
          <w:bCs/>
          <w:sz w:val="32"/>
          <w:szCs w:val="32"/>
        </w:rPr>
        <w:t>数量指标“执法装备</w:t>
      </w:r>
      <w:r>
        <w:rPr>
          <w:rFonts w:hint="eastAsia" w:ascii="Times New Roman" w:hAnsi="Times New Roman" w:cs="Times New Roman"/>
          <w:bCs/>
          <w:sz w:val="32"/>
          <w:szCs w:val="32"/>
        </w:rPr>
        <w:t>购置种类</w:t>
      </w:r>
      <w:r>
        <w:rPr>
          <w:rFonts w:ascii="Times New Roman" w:hAnsi="Times New Roman" w:cs="Times New Roman"/>
          <w:bCs/>
          <w:sz w:val="32"/>
          <w:szCs w:val="32"/>
        </w:rPr>
        <w:t>”的目标值是&gt;=</w:t>
      </w:r>
      <w:r>
        <w:rPr>
          <w:rFonts w:hint="eastAsia" w:ascii="Times New Roman" w:hAnsi="Times New Roman" w:cs="Times New Roman"/>
          <w:bCs/>
          <w:sz w:val="32"/>
          <w:szCs w:val="32"/>
        </w:rPr>
        <w:t>18个</w:t>
      </w:r>
      <w:r>
        <w:rPr>
          <w:rFonts w:ascii="Times New Roman" w:hAnsi="Times New Roman" w:cs="Times New Roman"/>
          <w:bCs/>
          <w:sz w:val="32"/>
          <w:szCs w:val="32"/>
        </w:rPr>
        <w:t>，2023年度我单位我单位实际完成</w:t>
      </w:r>
      <w:r>
        <w:rPr>
          <w:rFonts w:hint="eastAsia" w:ascii="Times New Roman" w:hAnsi="Times New Roman" w:cs="Times New Roman"/>
          <w:bCs/>
          <w:sz w:val="32"/>
          <w:szCs w:val="32"/>
        </w:rPr>
        <w:t>11个。公安装备是公安工作的重要组成部分，做好装备管理保障工作，是加强公安队伍正规化建设，提升公安机关战斗力，确保圆满完成各项公安工作任务的重要物质基础，在新形势下，中央转移支付资金装备经费是实现公安装备的规范化建设，更好发挥现有公安装备效能，进而推动公安整体战斗力的提高。但由于2023年财政部门资金紧张，资金支付情况不理想，因此造成未达到绩效目标的情况。</w:t>
      </w:r>
      <w:r>
        <w:rPr>
          <w:rFonts w:hint="eastAsia" w:ascii="仿宋_GB2312" w:hAnsi="仿宋" w:cs="宋体"/>
          <w:kern w:val="0"/>
          <w:szCs w:val="28"/>
        </w:rPr>
        <w:t>指</w:t>
      </w:r>
      <w:r>
        <w:rPr>
          <w:rFonts w:hint="eastAsia" w:ascii="仿宋_GB2312"/>
          <w:szCs w:val="28"/>
        </w:rPr>
        <w:t>标赋分5分，得分3.06分，得分率61.11</w:t>
      </w:r>
      <w:r>
        <w:rPr>
          <w:rFonts w:ascii="仿宋_GB2312"/>
          <w:szCs w:val="28"/>
        </w:rPr>
        <w:t>%</w:t>
      </w:r>
      <w:r>
        <w:rPr>
          <w:rFonts w:hint="eastAsia" w:ascii="仿宋_GB2312"/>
          <w:szCs w:val="28"/>
        </w:rPr>
        <w:t>。</w:t>
      </w:r>
    </w:p>
    <w:p w14:paraId="274BC721">
      <w:pPr>
        <w:spacing w:line="360" w:lineRule="auto"/>
        <w:ind w:firstLine="643"/>
        <w:rPr>
          <w:rFonts w:ascii="Times New Roman" w:hAnsi="Times New Roman" w:cs="Times New Roman"/>
          <w:b/>
          <w:bCs/>
          <w:sz w:val="32"/>
          <w:szCs w:val="32"/>
        </w:rPr>
      </w:pPr>
      <w:r>
        <w:rPr>
          <w:rFonts w:hint="eastAsia" w:ascii="Times New Roman" w:hAnsi="Times New Roman" w:cs="Times New Roman"/>
          <w:b/>
          <w:bCs/>
          <w:sz w:val="32"/>
          <w:szCs w:val="32"/>
        </w:rPr>
        <w:t>该指标赋分10分，实际得分8.06分，得分率80.6%</w:t>
      </w:r>
    </w:p>
    <w:p w14:paraId="6BBC0AB8">
      <w:pPr>
        <w:pStyle w:val="4"/>
        <w:spacing w:before="0" w:after="0" w:line="560" w:lineRule="exact"/>
        <w:ind w:firstLine="643"/>
        <w:rPr>
          <w:rFonts w:ascii="Times New Roman" w:hAnsi="Times New Roman" w:cs="Times New Roman"/>
        </w:rPr>
      </w:pPr>
      <w:bookmarkStart w:id="48" w:name="_Toc20437"/>
      <w:r>
        <w:rPr>
          <w:rFonts w:ascii="Times New Roman" w:hAnsi="Times New Roman" w:cs="Times New Roman"/>
        </w:rPr>
        <w:t>2.产出质量</w:t>
      </w:r>
      <w:bookmarkEnd w:id="48"/>
    </w:p>
    <w:p w14:paraId="50FEC516">
      <w:pPr>
        <w:spacing w:line="560" w:lineRule="exact"/>
        <w:ind w:firstLine="640"/>
        <w:rPr>
          <w:rFonts w:ascii="仿宋_GB2312"/>
          <w:szCs w:val="28"/>
        </w:rPr>
      </w:pPr>
      <w:r>
        <w:rPr>
          <w:rFonts w:hint="eastAsia" w:ascii="Times New Roman" w:hAnsi="Times New Roman" w:cs="Times New Roman"/>
          <w:bCs/>
          <w:sz w:val="32"/>
          <w:szCs w:val="32"/>
        </w:rPr>
        <w:t>质量指标“</w:t>
      </w:r>
      <w:r>
        <w:rPr>
          <w:rFonts w:ascii="Times New Roman" w:hAnsi="Times New Roman" w:cs="Times New Roman"/>
          <w:bCs/>
          <w:sz w:val="32"/>
          <w:szCs w:val="32"/>
        </w:rPr>
        <w:t>刑事案件破案率</w:t>
      </w:r>
      <w:r>
        <w:rPr>
          <w:rFonts w:hint="eastAsia" w:ascii="Times New Roman" w:hAnsi="Times New Roman" w:cs="Times New Roman"/>
          <w:bCs/>
          <w:sz w:val="32"/>
          <w:szCs w:val="32"/>
        </w:rPr>
        <w:t>”的目标值</w:t>
      </w:r>
      <w:r>
        <w:rPr>
          <w:rFonts w:ascii="Times New Roman" w:hAnsi="Times New Roman" w:cs="Times New Roman"/>
          <w:bCs/>
          <w:sz w:val="32"/>
          <w:szCs w:val="32"/>
        </w:rPr>
        <w:t>&gt;=</w:t>
      </w:r>
      <w:r>
        <w:rPr>
          <w:rFonts w:hint="eastAsia" w:ascii="Times New Roman" w:hAnsi="Times New Roman" w:cs="Times New Roman"/>
          <w:bCs/>
          <w:sz w:val="32"/>
          <w:szCs w:val="32"/>
        </w:rPr>
        <w:t>50.85</w:t>
      </w:r>
      <w:r>
        <w:rPr>
          <w:rFonts w:ascii="Times New Roman" w:hAnsi="Times New Roman" w:cs="Times New Roman"/>
          <w:bCs/>
          <w:sz w:val="32"/>
          <w:szCs w:val="32"/>
        </w:rPr>
        <w:t>%</w:t>
      </w:r>
      <w:r>
        <w:rPr>
          <w:rFonts w:hint="eastAsia" w:ascii="Times New Roman" w:hAnsi="Times New Roman" w:cs="Times New Roman"/>
          <w:bCs/>
          <w:sz w:val="32"/>
          <w:szCs w:val="32"/>
        </w:rPr>
        <w:t>，</w:t>
      </w:r>
      <w:r>
        <w:rPr>
          <w:rFonts w:ascii="Times New Roman" w:hAnsi="Times New Roman" w:cs="Times New Roman"/>
          <w:bCs/>
          <w:sz w:val="32"/>
          <w:szCs w:val="32"/>
        </w:rPr>
        <w:t>202</w:t>
      </w:r>
      <w:r>
        <w:rPr>
          <w:rFonts w:hint="eastAsia" w:ascii="Times New Roman" w:hAnsi="Times New Roman" w:cs="Times New Roman"/>
          <w:bCs/>
          <w:sz w:val="32"/>
          <w:szCs w:val="32"/>
        </w:rPr>
        <w:t>3</w:t>
      </w:r>
      <w:r>
        <w:rPr>
          <w:rFonts w:ascii="Times New Roman" w:hAnsi="Times New Roman" w:cs="Times New Roman"/>
          <w:bCs/>
          <w:sz w:val="32"/>
          <w:szCs w:val="32"/>
        </w:rPr>
        <w:t>年度我单位</w:t>
      </w:r>
      <w:r>
        <w:rPr>
          <w:rFonts w:hint="eastAsia" w:ascii="Times New Roman" w:hAnsi="Times New Roman" w:cs="Times New Roman"/>
          <w:bCs/>
          <w:sz w:val="32"/>
          <w:szCs w:val="32"/>
        </w:rPr>
        <w:t>实际完成57.87%。2023年我单位加大刑事案件侦破打击力度，</w:t>
      </w:r>
      <w:r>
        <w:rPr>
          <w:rFonts w:ascii="Times New Roman" w:hAnsi="Times New Roman" w:cs="Times New Roman"/>
          <w:bCs/>
          <w:sz w:val="32"/>
          <w:szCs w:val="32"/>
        </w:rPr>
        <w:t>整合手段资源，紧盯突出犯罪，全力遏制案件高发</w:t>
      </w:r>
      <w:r>
        <w:rPr>
          <w:rFonts w:hint="eastAsia" w:ascii="Times New Roman" w:hAnsi="Times New Roman" w:cs="Times New Roman"/>
          <w:bCs/>
          <w:sz w:val="32"/>
          <w:szCs w:val="32"/>
        </w:rPr>
        <w:t>。</w:t>
      </w:r>
      <w:r>
        <w:rPr>
          <w:rFonts w:ascii="Times New Roman" w:hAnsi="Times New Roman" w:cs="Times New Roman"/>
          <w:bCs/>
          <w:sz w:val="32"/>
          <w:szCs w:val="32"/>
        </w:rPr>
        <w:t>紧紧围绕“人、事、物、地、场所”重点要素，梳理涉政涉恐、案件打击、乱象整治等打击违法犯罪任务清单，压实责任、压茬推进</w:t>
      </w:r>
      <w:bookmarkStart w:id="49" w:name="_Toc14252"/>
      <w:r>
        <w:rPr>
          <w:rFonts w:hint="eastAsia" w:ascii="Times New Roman" w:hAnsi="Times New Roman" w:cs="Times New Roman"/>
          <w:bCs/>
          <w:sz w:val="32"/>
          <w:szCs w:val="32"/>
        </w:rPr>
        <w:t>。投入大批量警力、车辆，围绕重点区域常态化开展武装震慑拉动演练，同时利用摩托车快速反应小组机动优势，加大重点部位及敏感节点巡逻防控能力。因此，质量指标“</w:t>
      </w:r>
      <w:r>
        <w:rPr>
          <w:rFonts w:ascii="Times New Roman" w:hAnsi="Times New Roman" w:cs="Times New Roman"/>
          <w:bCs/>
          <w:sz w:val="32"/>
          <w:szCs w:val="32"/>
        </w:rPr>
        <w:t>刑事案件破案率</w:t>
      </w:r>
      <w:r>
        <w:rPr>
          <w:rFonts w:hint="eastAsia" w:ascii="Times New Roman" w:hAnsi="Times New Roman" w:cs="Times New Roman"/>
          <w:bCs/>
          <w:sz w:val="32"/>
          <w:szCs w:val="32"/>
        </w:rPr>
        <w:t>”指标赋分5分，得分5分，得分</w:t>
      </w:r>
      <w:r>
        <w:rPr>
          <w:rFonts w:hint="eastAsia" w:ascii="仿宋_GB2312"/>
          <w:szCs w:val="28"/>
        </w:rPr>
        <w:t>率100</w:t>
      </w:r>
      <w:r>
        <w:rPr>
          <w:rFonts w:ascii="仿宋_GB2312"/>
          <w:szCs w:val="28"/>
        </w:rPr>
        <w:t>%</w:t>
      </w:r>
      <w:r>
        <w:rPr>
          <w:rFonts w:hint="eastAsia" w:ascii="仿宋_GB2312"/>
          <w:szCs w:val="28"/>
        </w:rPr>
        <w:t>。</w:t>
      </w:r>
    </w:p>
    <w:p w14:paraId="5DD0C93C">
      <w:pPr>
        <w:spacing w:line="360" w:lineRule="auto"/>
        <w:ind w:firstLine="560"/>
        <w:rPr>
          <w:rFonts w:ascii="仿宋_GB2312"/>
          <w:bCs/>
          <w:szCs w:val="28"/>
        </w:rPr>
      </w:pPr>
      <w:r>
        <w:rPr>
          <w:rFonts w:hint="eastAsia" w:ascii="仿宋_GB2312"/>
          <w:bCs/>
          <w:szCs w:val="28"/>
        </w:rPr>
        <w:t>质量指标“</w:t>
      </w:r>
      <w:r>
        <w:rPr>
          <w:rFonts w:ascii="仿宋_GB2312"/>
          <w:bCs/>
          <w:szCs w:val="28"/>
        </w:rPr>
        <w:t>执法装备质量合格率</w:t>
      </w:r>
      <w:r>
        <w:rPr>
          <w:rFonts w:hint="eastAsia" w:ascii="仿宋_GB2312"/>
          <w:bCs/>
          <w:szCs w:val="28"/>
        </w:rPr>
        <w:t>”的目标值</w:t>
      </w:r>
      <w:r>
        <w:rPr>
          <w:rFonts w:ascii="仿宋_GB2312"/>
          <w:bCs/>
          <w:szCs w:val="28"/>
        </w:rPr>
        <w:t>&gt;=</w:t>
      </w:r>
      <w:r>
        <w:rPr>
          <w:rFonts w:hint="eastAsia" w:ascii="仿宋_GB2312"/>
          <w:bCs/>
          <w:szCs w:val="28"/>
        </w:rPr>
        <w:t>90</w:t>
      </w:r>
      <w:r>
        <w:rPr>
          <w:rFonts w:ascii="仿宋_GB2312"/>
          <w:bCs/>
          <w:szCs w:val="28"/>
        </w:rPr>
        <w:t>%</w:t>
      </w:r>
      <w:r>
        <w:rPr>
          <w:rFonts w:hint="eastAsia" w:ascii="仿宋_GB2312"/>
          <w:bCs/>
          <w:szCs w:val="28"/>
        </w:rPr>
        <w:t>，</w:t>
      </w:r>
      <w:r>
        <w:rPr>
          <w:rFonts w:ascii="仿宋_GB2312"/>
          <w:bCs/>
          <w:szCs w:val="28"/>
        </w:rPr>
        <w:t>20</w:t>
      </w:r>
      <w:r>
        <w:rPr>
          <w:rFonts w:hint="eastAsia" w:ascii="仿宋_GB2312"/>
          <w:bCs/>
          <w:szCs w:val="28"/>
        </w:rPr>
        <w:t>23</w:t>
      </w:r>
      <w:r>
        <w:rPr>
          <w:rFonts w:ascii="仿宋_GB2312"/>
          <w:bCs/>
          <w:szCs w:val="28"/>
        </w:rPr>
        <w:t>年度我单位</w:t>
      </w:r>
      <w:r>
        <w:rPr>
          <w:rFonts w:hint="eastAsia" w:ascii="仿宋_GB2312"/>
          <w:bCs/>
          <w:szCs w:val="28"/>
        </w:rPr>
        <w:t>实际完成100%。我单位严格按照政府采购流程购置执法勤务装备，质量均达标。因此，质量指标“</w:t>
      </w:r>
      <w:r>
        <w:rPr>
          <w:rFonts w:ascii="仿宋_GB2312"/>
          <w:bCs/>
          <w:szCs w:val="28"/>
        </w:rPr>
        <w:t>执法装备质量合格率</w:t>
      </w:r>
      <w:r>
        <w:rPr>
          <w:rFonts w:hint="eastAsia" w:ascii="仿宋_GB2312"/>
          <w:bCs/>
          <w:szCs w:val="28"/>
        </w:rPr>
        <w:t>”指标赋分5分，得分5分，得分率100</w:t>
      </w:r>
      <w:r>
        <w:rPr>
          <w:rFonts w:ascii="仿宋_GB2312"/>
          <w:bCs/>
          <w:szCs w:val="28"/>
        </w:rPr>
        <w:t>%</w:t>
      </w:r>
      <w:r>
        <w:rPr>
          <w:rFonts w:hint="eastAsia" w:ascii="仿宋_GB2312"/>
          <w:bCs/>
          <w:szCs w:val="28"/>
        </w:rPr>
        <w:t>。</w:t>
      </w:r>
    </w:p>
    <w:p w14:paraId="1B8D3CF1">
      <w:pPr>
        <w:spacing w:line="360" w:lineRule="auto"/>
        <w:ind w:firstLine="643"/>
        <w:rPr>
          <w:rFonts w:ascii="Times New Roman" w:hAnsi="Times New Roman" w:cs="Times New Roman"/>
          <w:b/>
          <w:bCs/>
          <w:sz w:val="32"/>
          <w:szCs w:val="32"/>
        </w:rPr>
      </w:pPr>
      <w:r>
        <w:rPr>
          <w:rFonts w:hint="eastAsia" w:ascii="Times New Roman" w:hAnsi="Times New Roman" w:cs="Times New Roman"/>
          <w:b/>
          <w:bCs/>
          <w:sz w:val="32"/>
          <w:szCs w:val="32"/>
        </w:rPr>
        <w:t>该指标赋分10分，实际得分10分，得分率100%</w:t>
      </w:r>
    </w:p>
    <w:p w14:paraId="2CEFC1CD">
      <w:pPr>
        <w:spacing w:line="560" w:lineRule="exact"/>
        <w:ind w:firstLine="640"/>
        <w:rPr>
          <w:rFonts w:ascii="Times New Roman" w:hAnsi="Times New Roman" w:cs="Times New Roman"/>
          <w:bCs/>
          <w:sz w:val="32"/>
          <w:szCs w:val="32"/>
        </w:rPr>
      </w:pPr>
      <w:r>
        <w:rPr>
          <w:rFonts w:ascii="Times New Roman" w:hAnsi="Times New Roman" w:cs="Times New Roman"/>
          <w:bCs/>
          <w:sz w:val="32"/>
          <w:szCs w:val="32"/>
        </w:rPr>
        <w:t>3.产出时效</w:t>
      </w:r>
      <w:bookmarkEnd w:id="49"/>
    </w:p>
    <w:p w14:paraId="6600CFC4">
      <w:pPr>
        <w:spacing w:line="360" w:lineRule="auto"/>
        <w:ind w:firstLine="562"/>
        <w:rPr>
          <w:rFonts w:ascii="仿宋_GB2312"/>
          <w:bCs/>
          <w:szCs w:val="28"/>
        </w:rPr>
      </w:pPr>
      <w:r>
        <w:rPr>
          <w:rFonts w:hint="eastAsia" w:ascii="仿宋_GB2312"/>
          <w:b/>
          <w:bCs/>
          <w:szCs w:val="28"/>
        </w:rPr>
        <w:t>资金支付及时率：</w:t>
      </w:r>
      <w:r>
        <w:rPr>
          <w:rFonts w:hint="eastAsia" w:ascii="仿宋_GB2312"/>
          <w:bCs/>
          <w:szCs w:val="28"/>
        </w:rPr>
        <w:t>目标值</w:t>
      </w:r>
      <w:r>
        <w:rPr>
          <w:rFonts w:ascii="仿宋_GB2312"/>
          <w:bCs/>
          <w:szCs w:val="28"/>
        </w:rPr>
        <w:t>&gt;=</w:t>
      </w:r>
      <w:r>
        <w:rPr>
          <w:rFonts w:hint="eastAsia" w:ascii="仿宋_GB2312"/>
          <w:bCs/>
          <w:szCs w:val="28"/>
        </w:rPr>
        <w:t>80</w:t>
      </w:r>
      <w:r>
        <w:rPr>
          <w:rFonts w:ascii="仿宋_GB2312"/>
          <w:bCs/>
          <w:szCs w:val="28"/>
        </w:rPr>
        <w:t>%</w:t>
      </w:r>
      <w:r>
        <w:rPr>
          <w:rFonts w:hint="eastAsia" w:ascii="仿宋_GB2312"/>
          <w:bCs/>
          <w:szCs w:val="28"/>
        </w:rPr>
        <w:t>，</w:t>
      </w:r>
      <w:r>
        <w:rPr>
          <w:rFonts w:ascii="仿宋_GB2312"/>
          <w:bCs/>
          <w:szCs w:val="28"/>
        </w:rPr>
        <w:t>2022年度我单位</w:t>
      </w:r>
      <w:r>
        <w:rPr>
          <w:rFonts w:hint="eastAsia" w:ascii="仿宋_GB2312"/>
          <w:bCs/>
          <w:szCs w:val="28"/>
        </w:rPr>
        <w:t>实际完成40.48%。2023年度我单位按照《新疆维吾尔自治区公安机关转移支付资金管理奖惩办法》中，要求当地公安机关当年转移支付资金到当年年底时执行率不得低于80%。我单位该项目已支付40.48%。</w:t>
      </w:r>
      <w:r>
        <w:rPr>
          <w:rFonts w:hint="eastAsia" w:ascii="仿宋_GB2312"/>
          <w:szCs w:val="28"/>
        </w:rPr>
        <w:t>因</w:t>
      </w:r>
      <w:r>
        <w:rPr>
          <w:rFonts w:hint="eastAsia" w:ascii="仿宋_GB2312" w:hAnsi="仿宋" w:cs="宋体"/>
          <w:kern w:val="0"/>
          <w:szCs w:val="28"/>
        </w:rPr>
        <w:t>此，</w:t>
      </w:r>
      <w:r>
        <w:rPr>
          <w:rFonts w:hint="eastAsia" w:ascii="仿宋_GB2312"/>
          <w:bCs/>
          <w:szCs w:val="28"/>
        </w:rPr>
        <w:t>产出时效指标“</w:t>
      </w:r>
      <w:r>
        <w:rPr>
          <w:rFonts w:hint="eastAsia" w:ascii="仿宋_GB2312"/>
          <w:b/>
          <w:bCs/>
          <w:szCs w:val="28"/>
        </w:rPr>
        <w:t>资金支付及时率</w:t>
      </w:r>
      <w:r>
        <w:rPr>
          <w:rFonts w:hint="eastAsia" w:ascii="仿宋_GB2312"/>
          <w:bCs/>
          <w:szCs w:val="28"/>
        </w:rPr>
        <w:t>”</w:t>
      </w:r>
      <w:r>
        <w:rPr>
          <w:rFonts w:hint="eastAsia" w:ascii="仿宋_GB2312" w:hAnsi="仿宋" w:cs="宋体"/>
          <w:kern w:val="0"/>
          <w:szCs w:val="28"/>
        </w:rPr>
        <w:t>指</w:t>
      </w:r>
      <w:r>
        <w:rPr>
          <w:rFonts w:hint="eastAsia" w:ascii="仿宋_GB2312"/>
          <w:szCs w:val="28"/>
        </w:rPr>
        <w:t>标赋分10分，得分5.06分，得分率50.6</w:t>
      </w:r>
      <w:r>
        <w:rPr>
          <w:rFonts w:ascii="仿宋_GB2312"/>
          <w:szCs w:val="28"/>
        </w:rPr>
        <w:t>%</w:t>
      </w:r>
      <w:r>
        <w:rPr>
          <w:rFonts w:hint="eastAsia" w:ascii="仿宋_GB2312"/>
          <w:szCs w:val="28"/>
        </w:rPr>
        <w:t>。</w:t>
      </w:r>
    </w:p>
    <w:p w14:paraId="24598D4D">
      <w:pPr>
        <w:pStyle w:val="4"/>
        <w:spacing w:before="0" w:after="0" w:line="560" w:lineRule="exact"/>
        <w:ind w:firstLine="643"/>
        <w:rPr>
          <w:rFonts w:ascii="Times New Roman" w:hAnsi="Times New Roman" w:cs="Times New Roman"/>
        </w:rPr>
      </w:pPr>
      <w:bookmarkStart w:id="50" w:name="_Toc15505"/>
      <w:r>
        <w:rPr>
          <w:rFonts w:ascii="Times New Roman" w:hAnsi="Times New Roman" w:cs="Times New Roman"/>
        </w:rPr>
        <w:t>4.产出成本</w:t>
      </w:r>
      <w:bookmarkEnd w:id="50"/>
    </w:p>
    <w:p w14:paraId="0140FA2E">
      <w:pPr>
        <w:spacing w:line="560" w:lineRule="exact"/>
        <w:ind w:firstLine="643"/>
        <w:rPr>
          <w:rFonts w:ascii="Times New Roman" w:hAnsi="Times New Roman" w:cs="Times New Roman"/>
          <w:bCs/>
          <w:sz w:val="32"/>
          <w:szCs w:val="32"/>
        </w:rPr>
      </w:pPr>
      <w:r>
        <w:rPr>
          <w:rFonts w:ascii="Times New Roman" w:hAnsi="Times New Roman" w:cs="Times New Roman"/>
          <w:b/>
          <w:bCs/>
          <w:sz w:val="32"/>
          <w:szCs w:val="32"/>
        </w:rPr>
        <w:t>项目预算控制率：</w:t>
      </w:r>
      <w:r>
        <w:rPr>
          <w:rFonts w:ascii="Times New Roman" w:hAnsi="Times New Roman" w:cs="Times New Roman"/>
          <w:bCs/>
          <w:sz w:val="32"/>
          <w:szCs w:val="32"/>
        </w:rPr>
        <w:t>本项目实际支出</w:t>
      </w:r>
      <w:r>
        <w:rPr>
          <w:rFonts w:hint="eastAsia" w:ascii="Times New Roman" w:hAnsi="Times New Roman" w:cs="Times New Roman"/>
          <w:bCs/>
          <w:sz w:val="32"/>
          <w:szCs w:val="32"/>
        </w:rPr>
        <w:t>1121.55</w:t>
      </w:r>
      <w:r>
        <w:rPr>
          <w:rFonts w:ascii="Times New Roman" w:hAnsi="Times New Roman" w:cs="Times New Roman"/>
          <w:bCs/>
          <w:sz w:val="32"/>
          <w:szCs w:val="32"/>
        </w:rPr>
        <w:t>万元，无超支情况，项目</w:t>
      </w:r>
      <w:r>
        <w:rPr>
          <w:rFonts w:hint="eastAsia" w:ascii="Times New Roman" w:hAnsi="Times New Roman" w:cs="Times New Roman"/>
          <w:bCs/>
          <w:sz w:val="32"/>
          <w:szCs w:val="32"/>
        </w:rPr>
        <w:t>资金因财政国库资金紧张未支付完毕</w:t>
      </w:r>
      <w:r>
        <w:rPr>
          <w:rFonts w:ascii="Times New Roman" w:hAnsi="Times New Roman" w:cs="Times New Roman"/>
          <w:bCs/>
          <w:sz w:val="32"/>
          <w:szCs w:val="32"/>
        </w:rPr>
        <w:t>，得分为</w:t>
      </w:r>
      <w:r>
        <w:rPr>
          <w:rFonts w:hint="eastAsia" w:ascii="Times New Roman" w:hAnsi="Times New Roman" w:cs="Times New Roman"/>
          <w:bCs/>
          <w:sz w:val="32"/>
          <w:szCs w:val="32"/>
        </w:rPr>
        <w:t>10分</w:t>
      </w:r>
      <w:r>
        <w:rPr>
          <w:rFonts w:ascii="Times New Roman" w:hAnsi="Times New Roman" w:cs="Times New Roman"/>
          <w:bCs/>
          <w:sz w:val="32"/>
          <w:szCs w:val="32"/>
        </w:rPr>
        <w:t>。</w:t>
      </w:r>
    </w:p>
    <w:p w14:paraId="0272C873">
      <w:pPr>
        <w:spacing w:line="560" w:lineRule="exact"/>
        <w:ind w:firstLine="640"/>
        <w:rPr>
          <w:rFonts w:ascii="Times New Roman" w:hAnsi="Times New Roman" w:cs="Times New Roman"/>
          <w:bCs/>
          <w:sz w:val="32"/>
          <w:szCs w:val="32"/>
        </w:rPr>
      </w:pPr>
      <w:r>
        <w:rPr>
          <w:rFonts w:hint="eastAsia" w:ascii="Times New Roman" w:hAnsi="Times New Roman" w:cs="Times New Roman"/>
          <w:bCs/>
          <w:sz w:val="32"/>
          <w:szCs w:val="32"/>
        </w:rPr>
        <w:t>成本指标中的“办案业务经费”目标值≤1315.22万元，2023年我单位实际完成值1007.65万元。原因是部分项目正在履行政府采购程序，未使用完毕。因此，成本指标指标“</w:t>
      </w:r>
      <w:r>
        <w:rPr>
          <w:rFonts w:hint="eastAsia" w:ascii="仿宋_GB2312"/>
          <w:bCs/>
          <w:szCs w:val="28"/>
        </w:rPr>
        <w:t>办案业务经费</w:t>
      </w:r>
      <w:r>
        <w:rPr>
          <w:rFonts w:hint="eastAsia" w:ascii="Times New Roman" w:hAnsi="Times New Roman" w:cs="Times New Roman"/>
          <w:bCs/>
          <w:sz w:val="32"/>
          <w:szCs w:val="32"/>
        </w:rPr>
        <w:t>”指标赋分5分，得分5分，得分率100</w:t>
      </w:r>
      <w:r>
        <w:rPr>
          <w:rFonts w:ascii="Times New Roman" w:hAnsi="Times New Roman" w:cs="Times New Roman"/>
          <w:bCs/>
          <w:sz w:val="32"/>
          <w:szCs w:val="32"/>
        </w:rPr>
        <w:t>%</w:t>
      </w:r>
      <w:r>
        <w:rPr>
          <w:rFonts w:hint="eastAsia" w:ascii="Times New Roman" w:hAnsi="Times New Roman" w:cs="Times New Roman"/>
          <w:bCs/>
          <w:sz w:val="32"/>
          <w:szCs w:val="32"/>
        </w:rPr>
        <w:t>。</w:t>
      </w:r>
    </w:p>
    <w:p w14:paraId="26E43E88">
      <w:pPr>
        <w:spacing w:line="560" w:lineRule="exact"/>
        <w:ind w:firstLine="640"/>
        <w:rPr>
          <w:rFonts w:ascii="Times New Roman" w:hAnsi="Times New Roman" w:cs="Times New Roman"/>
          <w:bCs/>
          <w:sz w:val="32"/>
          <w:szCs w:val="32"/>
        </w:rPr>
      </w:pPr>
      <w:r>
        <w:rPr>
          <w:rFonts w:hint="eastAsia" w:ascii="Times New Roman" w:hAnsi="Times New Roman" w:cs="Times New Roman"/>
          <w:bCs/>
          <w:sz w:val="32"/>
          <w:szCs w:val="32"/>
        </w:rPr>
        <w:t>成本指标中的“装备经费”目标值≤1419.31万元，2023年我单位实际完成值113.9万元。原因是财政资金紧张，资金支付情况不理想，另外部分项目正在履行政府采购程序，未使用完毕。因此，成本指标指标“装备经费”指标赋分5分，得分5分，得分率100</w:t>
      </w:r>
      <w:r>
        <w:rPr>
          <w:rFonts w:ascii="Times New Roman" w:hAnsi="Times New Roman" w:cs="Times New Roman"/>
          <w:bCs/>
          <w:sz w:val="32"/>
          <w:szCs w:val="32"/>
        </w:rPr>
        <w:t>%</w:t>
      </w:r>
      <w:r>
        <w:rPr>
          <w:rFonts w:hint="eastAsia" w:ascii="Times New Roman" w:hAnsi="Times New Roman" w:cs="Times New Roman"/>
          <w:bCs/>
          <w:sz w:val="32"/>
          <w:szCs w:val="32"/>
        </w:rPr>
        <w:t>。</w:t>
      </w:r>
    </w:p>
    <w:p w14:paraId="4371AD9B">
      <w:pPr>
        <w:spacing w:line="360" w:lineRule="auto"/>
        <w:ind w:firstLine="643"/>
        <w:rPr>
          <w:rFonts w:ascii="Times New Roman" w:hAnsi="Times New Roman" w:cs="Times New Roman"/>
          <w:b/>
          <w:bCs/>
          <w:sz w:val="32"/>
          <w:szCs w:val="32"/>
        </w:rPr>
      </w:pPr>
      <w:r>
        <w:rPr>
          <w:rFonts w:hint="eastAsia" w:ascii="Times New Roman" w:hAnsi="Times New Roman" w:cs="Times New Roman"/>
          <w:b/>
          <w:bCs/>
          <w:sz w:val="32"/>
          <w:szCs w:val="32"/>
        </w:rPr>
        <w:t>该指标赋分10分，实际得分10分，得分率100%</w:t>
      </w:r>
    </w:p>
    <w:p w14:paraId="73558184">
      <w:pPr>
        <w:autoSpaceDE w:val="0"/>
        <w:spacing w:line="560" w:lineRule="exact"/>
        <w:ind w:firstLine="643"/>
        <w:rPr>
          <w:rFonts w:ascii="Times New Roman" w:hAnsi="Times New Roman" w:cs="Times New Roman"/>
          <w:b/>
          <w:kern w:val="0"/>
          <w:szCs w:val="28"/>
        </w:rPr>
      </w:pPr>
      <w:r>
        <w:rPr>
          <w:rFonts w:ascii="Times New Roman" w:hAnsi="Times New Roman" w:cs="Times New Roman"/>
          <w:b/>
          <w:kern w:val="0"/>
          <w:sz w:val="32"/>
          <w:szCs w:val="32"/>
        </w:rPr>
        <w:t>综上，该部分指标满分40分，得分</w:t>
      </w:r>
      <w:r>
        <w:rPr>
          <w:rFonts w:hint="eastAsia" w:ascii="Times New Roman" w:hAnsi="Times New Roman" w:cs="Times New Roman"/>
          <w:sz w:val="32"/>
          <w:szCs w:val="32"/>
        </w:rPr>
        <w:t>33.12</w:t>
      </w:r>
      <w:r>
        <w:rPr>
          <w:rFonts w:ascii="Times New Roman" w:hAnsi="Times New Roman" w:cs="Times New Roman"/>
          <w:b/>
          <w:kern w:val="0"/>
          <w:sz w:val="32"/>
          <w:szCs w:val="32"/>
        </w:rPr>
        <w:t>分。</w:t>
      </w:r>
    </w:p>
    <w:p w14:paraId="18E64484">
      <w:pPr>
        <w:pStyle w:val="3"/>
        <w:spacing w:before="0" w:after="0" w:line="560" w:lineRule="exact"/>
        <w:ind w:firstLine="643"/>
        <w:rPr>
          <w:rFonts w:ascii="Times New Roman" w:hAnsi="Times New Roman" w:eastAsia="楷体" w:cs="Times New Roman"/>
          <w:color w:val="000000"/>
          <w:kern w:val="0"/>
        </w:rPr>
      </w:pPr>
      <w:bookmarkStart w:id="51" w:name="_Toc15002"/>
      <w:bookmarkStart w:id="52" w:name="_Toc67911615"/>
      <w:r>
        <w:rPr>
          <w:rFonts w:ascii="Times New Roman" w:hAnsi="Times New Roman" w:eastAsia="楷体" w:cs="Times New Roman"/>
          <w:color w:val="000000"/>
          <w:kern w:val="0"/>
        </w:rPr>
        <w:t>（四）项目效益情况</w:t>
      </w:r>
      <w:bookmarkEnd w:id="51"/>
      <w:bookmarkEnd w:id="52"/>
    </w:p>
    <w:p w14:paraId="7A50B488">
      <w:pPr>
        <w:spacing w:line="560" w:lineRule="exact"/>
        <w:ind w:firstLine="640"/>
        <w:rPr>
          <w:rFonts w:ascii="Times New Roman" w:hAnsi="Times New Roman" w:cs="Times New Roman"/>
          <w:sz w:val="32"/>
          <w:szCs w:val="32"/>
        </w:rPr>
      </w:pPr>
      <w:r>
        <w:rPr>
          <w:rFonts w:ascii="Times New Roman" w:hAnsi="Times New Roman" w:cs="Times New Roman"/>
          <w:sz w:val="32"/>
          <w:szCs w:val="32"/>
        </w:rPr>
        <w:t>项目效益指标由1个二级指标和</w:t>
      </w:r>
      <w:r>
        <w:rPr>
          <w:rFonts w:hint="eastAsia" w:ascii="Times New Roman" w:hAnsi="Times New Roman" w:cs="Times New Roman"/>
          <w:sz w:val="32"/>
          <w:szCs w:val="32"/>
        </w:rPr>
        <w:t>1</w:t>
      </w:r>
      <w:r>
        <w:rPr>
          <w:rFonts w:ascii="Times New Roman" w:hAnsi="Times New Roman" w:cs="Times New Roman"/>
          <w:sz w:val="32"/>
          <w:szCs w:val="32"/>
        </w:rPr>
        <w:t>个三级指标构成，权重为20分，实际得分</w:t>
      </w:r>
      <w:r>
        <w:rPr>
          <w:rFonts w:hint="eastAsia" w:ascii="Times New Roman" w:hAnsi="Times New Roman" w:cs="Times New Roman"/>
          <w:sz w:val="32"/>
          <w:szCs w:val="32"/>
        </w:rPr>
        <w:t>20</w:t>
      </w:r>
      <w:r>
        <w:rPr>
          <w:rFonts w:ascii="Times New Roman" w:hAnsi="Times New Roman" w:cs="Times New Roman"/>
          <w:sz w:val="32"/>
          <w:szCs w:val="32"/>
        </w:rPr>
        <w:t>分。</w:t>
      </w:r>
    </w:p>
    <w:p w14:paraId="0A8C0342">
      <w:pPr>
        <w:pStyle w:val="4"/>
        <w:spacing w:before="0" w:after="0" w:line="560" w:lineRule="exact"/>
        <w:ind w:firstLine="643"/>
        <w:rPr>
          <w:rFonts w:ascii="Times New Roman" w:hAnsi="Times New Roman" w:cs="Times New Roman"/>
        </w:rPr>
      </w:pPr>
      <w:bookmarkStart w:id="53" w:name="_Toc5253"/>
      <w:r>
        <w:rPr>
          <w:rFonts w:ascii="Times New Roman" w:hAnsi="Times New Roman" w:cs="Times New Roman"/>
        </w:rPr>
        <w:t>1.项目效益</w:t>
      </w:r>
      <w:bookmarkEnd w:id="53"/>
    </w:p>
    <w:p w14:paraId="1082B289">
      <w:pPr>
        <w:spacing w:line="560" w:lineRule="exact"/>
        <w:ind w:firstLine="643"/>
        <w:rPr>
          <w:rFonts w:ascii="Times New Roman" w:hAnsi="Times New Roman" w:cs="Times New Roman"/>
          <w:b/>
          <w:bCs/>
          <w:sz w:val="32"/>
          <w:szCs w:val="32"/>
        </w:rPr>
      </w:pPr>
      <w:r>
        <w:rPr>
          <w:rFonts w:ascii="Times New Roman" w:hAnsi="Times New Roman" w:cs="Times New Roman"/>
          <w:b/>
          <w:bCs/>
          <w:sz w:val="32"/>
          <w:szCs w:val="32"/>
        </w:rPr>
        <w:t>（1）实施效益</w:t>
      </w:r>
    </w:p>
    <w:p w14:paraId="2D5E297B">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经济效益指标：</w:t>
      </w:r>
      <w:r>
        <w:rPr>
          <w:rFonts w:ascii="Times New Roman" w:hAnsi="Times New Roman" w:cs="Times New Roman"/>
          <w:sz w:val="32"/>
          <w:szCs w:val="32"/>
        </w:rPr>
        <w:t>不适用。</w:t>
      </w:r>
    </w:p>
    <w:p w14:paraId="0F59973E">
      <w:pPr>
        <w:spacing w:line="560" w:lineRule="exact"/>
        <w:ind w:firstLine="643"/>
        <w:rPr>
          <w:rFonts w:ascii="Times New Roman" w:hAnsi="Times New Roman" w:cs="Times New Roman"/>
          <w:bCs/>
          <w:sz w:val="32"/>
          <w:szCs w:val="32"/>
        </w:rPr>
      </w:pPr>
      <w:r>
        <w:rPr>
          <w:rFonts w:ascii="Times New Roman" w:hAnsi="Times New Roman" w:cs="Times New Roman"/>
          <w:b/>
          <w:bCs/>
          <w:sz w:val="32"/>
          <w:szCs w:val="32"/>
        </w:rPr>
        <w:t>社会效益指标：</w:t>
      </w:r>
      <w:r>
        <w:rPr>
          <w:rFonts w:ascii="Times New Roman" w:hAnsi="Times New Roman" w:cs="Times New Roman"/>
          <w:bCs/>
          <w:sz w:val="32"/>
          <w:szCs w:val="32"/>
        </w:rPr>
        <w:t>评价指标“有效维护辖区社会治安稳定”，指标值：</w:t>
      </w:r>
      <w:r>
        <w:rPr>
          <w:rFonts w:hint="eastAsia" w:ascii="Times New Roman" w:hAnsi="Times New Roman" w:cs="Times New Roman"/>
          <w:bCs/>
          <w:sz w:val="32"/>
          <w:szCs w:val="32"/>
        </w:rPr>
        <w:t>有效维护</w:t>
      </w:r>
      <w:r>
        <w:rPr>
          <w:rFonts w:ascii="Times New Roman" w:hAnsi="Times New Roman" w:cs="Times New Roman"/>
          <w:bCs/>
          <w:sz w:val="32"/>
          <w:szCs w:val="32"/>
        </w:rPr>
        <w:t>，实际完成值：达成年度指标。本项目的实施</w:t>
      </w:r>
      <w:r>
        <w:rPr>
          <w:rFonts w:hint="eastAsia" w:ascii="Times New Roman" w:hAnsi="Times New Roman" w:cs="Times New Roman"/>
          <w:bCs/>
          <w:sz w:val="32"/>
          <w:szCs w:val="32"/>
        </w:rPr>
        <w:t>项目的实施通过公安机关依法履职，维护水磨沟区社会和政治稳定，进一步增强群众安全感和满意度，全面提升公安机关工作效率和公安队伍整体形象。</w:t>
      </w:r>
      <w:r>
        <w:rPr>
          <w:rFonts w:ascii="Times New Roman" w:hAnsi="Times New Roman" w:cs="Times New Roman"/>
          <w:bCs/>
          <w:sz w:val="32"/>
          <w:szCs w:val="32"/>
        </w:rPr>
        <w:t>守护</w:t>
      </w:r>
      <w:r>
        <w:rPr>
          <w:rFonts w:hint="eastAsia" w:ascii="Times New Roman" w:hAnsi="Times New Roman" w:cs="Times New Roman"/>
          <w:bCs/>
          <w:sz w:val="32"/>
          <w:szCs w:val="32"/>
        </w:rPr>
        <w:t>了</w:t>
      </w:r>
      <w:r>
        <w:rPr>
          <w:rFonts w:ascii="Times New Roman" w:hAnsi="Times New Roman" w:cs="Times New Roman"/>
          <w:bCs/>
          <w:sz w:val="32"/>
          <w:szCs w:val="32"/>
        </w:rPr>
        <w:t>人民幸福和安宁</w:t>
      </w:r>
      <w:r>
        <w:rPr>
          <w:rFonts w:hint="eastAsia" w:ascii="Times New Roman" w:hAnsi="Times New Roman" w:cs="Times New Roman"/>
          <w:bCs/>
          <w:sz w:val="32"/>
          <w:szCs w:val="32"/>
        </w:rPr>
        <w:t>、</w:t>
      </w:r>
      <w:r>
        <w:rPr>
          <w:rFonts w:ascii="Times New Roman" w:hAnsi="Times New Roman" w:cs="Times New Roman"/>
          <w:bCs/>
          <w:sz w:val="32"/>
          <w:szCs w:val="32"/>
        </w:rPr>
        <w:t>夯实基层基础、发展创新“枫桥经验”、提升工作质效上聚焦发力，努力推动高水平安全与高质量发展良性互动，为维护水磨沟区社会大局持续稳定作出了重要贡献</w:t>
      </w:r>
      <w:r>
        <w:rPr>
          <w:rFonts w:hint="eastAsia" w:ascii="Times New Roman" w:hAnsi="Times New Roman" w:cs="Times New Roman"/>
          <w:bCs/>
          <w:sz w:val="32"/>
          <w:szCs w:val="32"/>
        </w:rPr>
        <w:t>。</w:t>
      </w:r>
    </w:p>
    <w:p w14:paraId="21C05CEA">
      <w:pPr>
        <w:spacing w:line="560" w:lineRule="exact"/>
        <w:ind w:firstLine="643"/>
        <w:rPr>
          <w:rFonts w:ascii="Times New Roman" w:hAnsi="Times New Roman" w:cs="Times New Roman"/>
          <w:sz w:val="32"/>
          <w:szCs w:val="32"/>
        </w:rPr>
      </w:pPr>
      <w:r>
        <w:rPr>
          <w:rFonts w:ascii="Times New Roman" w:hAnsi="Times New Roman" w:cs="Times New Roman"/>
          <w:b/>
          <w:bCs/>
          <w:sz w:val="32"/>
          <w:szCs w:val="32"/>
        </w:rPr>
        <w:t>生态效益指标</w:t>
      </w:r>
      <w:r>
        <w:rPr>
          <w:rFonts w:ascii="Times New Roman" w:hAnsi="Times New Roman" w:cs="Times New Roman"/>
          <w:sz w:val="32"/>
          <w:szCs w:val="32"/>
        </w:rPr>
        <w:t>：不适用。</w:t>
      </w:r>
    </w:p>
    <w:p w14:paraId="59C2ACDB">
      <w:pPr>
        <w:autoSpaceDE w:val="0"/>
        <w:spacing w:line="560" w:lineRule="exact"/>
        <w:ind w:firstLine="643"/>
        <w:rPr>
          <w:rFonts w:ascii="Times New Roman" w:hAnsi="Times New Roman" w:cs="Times New Roman"/>
          <w:b/>
          <w:kern w:val="0"/>
          <w:sz w:val="32"/>
          <w:szCs w:val="32"/>
        </w:rPr>
      </w:pPr>
      <w:r>
        <w:rPr>
          <w:rFonts w:ascii="Times New Roman" w:hAnsi="Times New Roman" w:cs="Times New Roman"/>
          <w:b/>
          <w:kern w:val="0"/>
          <w:sz w:val="32"/>
          <w:szCs w:val="32"/>
        </w:rPr>
        <w:t>综上，该指标满分</w:t>
      </w:r>
      <w:r>
        <w:rPr>
          <w:rFonts w:hint="eastAsia" w:ascii="Times New Roman" w:hAnsi="Times New Roman" w:cs="Times New Roman"/>
          <w:b/>
          <w:kern w:val="0"/>
          <w:sz w:val="32"/>
          <w:szCs w:val="32"/>
        </w:rPr>
        <w:t>20</w:t>
      </w:r>
      <w:r>
        <w:rPr>
          <w:rFonts w:ascii="Times New Roman" w:hAnsi="Times New Roman" w:cs="Times New Roman"/>
          <w:b/>
          <w:kern w:val="0"/>
          <w:sz w:val="32"/>
          <w:szCs w:val="32"/>
        </w:rPr>
        <w:t>分，得分</w:t>
      </w:r>
      <w:r>
        <w:rPr>
          <w:rFonts w:hint="eastAsia" w:ascii="Times New Roman" w:hAnsi="Times New Roman" w:cs="Times New Roman"/>
          <w:b/>
          <w:kern w:val="0"/>
          <w:sz w:val="32"/>
          <w:szCs w:val="32"/>
        </w:rPr>
        <w:t>20</w:t>
      </w:r>
      <w:r>
        <w:rPr>
          <w:rFonts w:ascii="Times New Roman" w:hAnsi="Times New Roman" w:cs="Times New Roman"/>
          <w:b/>
          <w:kern w:val="0"/>
          <w:sz w:val="32"/>
          <w:szCs w:val="32"/>
        </w:rPr>
        <w:t>分。</w:t>
      </w:r>
    </w:p>
    <w:p w14:paraId="17D5E2E3">
      <w:pPr>
        <w:pStyle w:val="2"/>
        <w:spacing w:before="0" w:after="0" w:line="560" w:lineRule="exact"/>
        <w:ind w:firstLine="672"/>
        <w:jc w:val="left"/>
        <w:rPr>
          <w:rFonts w:ascii="Times New Roman" w:hAnsi="Times New Roman" w:eastAsia="黑体" w:cs="Times New Roman"/>
          <w:b w:val="0"/>
          <w:bCs w:val="0"/>
          <w:color w:val="000000"/>
          <w:spacing w:val="8"/>
          <w:kern w:val="0"/>
          <w:sz w:val="32"/>
          <w:szCs w:val="32"/>
        </w:rPr>
      </w:pPr>
      <w:bookmarkStart w:id="54" w:name="_Toc67911617"/>
      <w:bookmarkStart w:id="55" w:name="_Toc20703"/>
      <w:r>
        <w:rPr>
          <w:rFonts w:ascii="Times New Roman" w:hAnsi="Times New Roman" w:eastAsia="黑体" w:cs="Times New Roman"/>
          <w:b w:val="0"/>
          <w:bCs w:val="0"/>
          <w:color w:val="000000"/>
          <w:spacing w:val="8"/>
          <w:kern w:val="0"/>
          <w:sz w:val="32"/>
          <w:szCs w:val="32"/>
        </w:rPr>
        <w:t>五、主要经验及做法、存在的问题及原因分析</w:t>
      </w:r>
      <w:bookmarkEnd w:id="54"/>
      <w:bookmarkEnd w:id="55"/>
    </w:p>
    <w:p w14:paraId="2A1F00F2">
      <w:pPr>
        <w:pStyle w:val="3"/>
        <w:spacing w:before="0" w:after="0" w:line="560" w:lineRule="exact"/>
        <w:ind w:firstLine="643"/>
        <w:rPr>
          <w:rFonts w:ascii="Times New Roman" w:hAnsi="Times New Roman" w:eastAsia="楷体" w:cs="Times New Roman"/>
          <w:color w:val="000000"/>
          <w:kern w:val="0"/>
        </w:rPr>
      </w:pPr>
      <w:bookmarkStart w:id="56" w:name="_Toc67911618"/>
      <w:bookmarkStart w:id="57" w:name="_Toc27872"/>
      <w:r>
        <w:rPr>
          <w:rFonts w:ascii="Times New Roman" w:hAnsi="Times New Roman" w:eastAsia="楷体" w:cs="Times New Roman"/>
          <w:color w:val="000000"/>
          <w:kern w:val="0"/>
        </w:rPr>
        <w:t>（一）主要经验及做法</w:t>
      </w:r>
      <w:bookmarkEnd w:id="56"/>
      <w:bookmarkEnd w:id="57"/>
    </w:p>
    <w:p w14:paraId="7C4ACFB9">
      <w:pPr>
        <w:spacing w:line="560" w:lineRule="exact"/>
        <w:ind w:firstLine="640"/>
        <w:rPr>
          <w:rFonts w:ascii="Times New Roman" w:hAnsi="Times New Roman" w:cs="Times New Roman"/>
          <w:kern w:val="0"/>
          <w:sz w:val="32"/>
          <w:szCs w:val="32"/>
        </w:rPr>
      </w:pPr>
      <w:bookmarkStart w:id="58" w:name="_Toc21348"/>
      <w:r>
        <w:rPr>
          <w:rFonts w:hint="eastAsia" w:ascii="Times New Roman" w:hAnsi="Times New Roman" w:cs="Times New Roman"/>
          <w:kern w:val="0"/>
          <w:sz w:val="32"/>
          <w:szCs w:val="32"/>
        </w:rPr>
        <w:t>乌鲁木齐市公安局水磨沟区分局为做好办案业务支出、装备采购工作，采取以下措施：</w:t>
      </w:r>
    </w:p>
    <w:p w14:paraId="6981FBE0">
      <w:pPr>
        <w:spacing w:line="560" w:lineRule="exact"/>
        <w:ind w:firstLine="640"/>
        <w:rPr>
          <w:rFonts w:ascii="Times New Roman" w:hAnsi="Times New Roman" w:cs="Times New Roman"/>
          <w:kern w:val="0"/>
          <w:sz w:val="32"/>
          <w:szCs w:val="32"/>
        </w:rPr>
      </w:pPr>
      <w:r>
        <w:rPr>
          <w:rFonts w:hint="eastAsia" w:ascii="Times New Roman" w:hAnsi="Times New Roman" w:cs="Times New Roman"/>
          <w:kern w:val="0"/>
          <w:sz w:val="32"/>
          <w:szCs w:val="32"/>
        </w:rPr>
        <w:t>1、高要求统筹与经费保障。随着社会治安维稳形势复杂严峻，人民群众对公安工作的要求越来越高，公安工作任务不断增加，公安机关经费需求量越来越大，坚持做到有保、有压、有控、有度严管严控经费。努力提升公安经费保障使用效益，做到既从严管控，又保障业务工作的需要。</w:t>
      </w:r>
    </w:p>
    <w:p w14:paraId="45C5DB97">
      <w:pPr>
        <w:spacing w:line="560" w:lineRule="exact"/>
        <w:ind w:firstLine="640"/>
        <w:rPr>
          <w:rFonts w:ascii="Times New Roman" w:hAnsi="Times New Roman" w:cs="Times New Roman"/>
          <w:kern w:val="0"/>
          <w:sz w:val="32"/>
          <w:szCs w:val="32"/>
        </w:rPr>
      </w:pPr>
      <w:r>
        <w:rPr>
          <w:rFonts w:hint="eastAsia" w:ascii="Times New Roman" w:hAnsi="Times New Roman" w:cs="Times New Roman"/>
          <w:kern w:val="0"/>
          <w:sz w:val="32"/>
          <w:szCs w:val="32"/>
        </w:rPr>
        <w:t>2、聚焦实战加强装备经费保障。切实抓好装备完善、使用和管理，按照装备信息化建设要求，更新落实了执法执勤装备、反恐防暴装备、应急处突装备等装备。做好保障工作有预案，装备经费有保障、警用物资有必备、物资存放有库房。为提升公安核心战斗力和基层一线民警各类风险防控提供了坚强有力的保障。</w:t>
      </w:r>
    </w:p>
    <w:p w14:paraId="1CA7815F">
      <w:pPr>
        <w:spacing w:line="560" w:lineRule="exact"/>
        <w:ind w:firstLine="640"/>
        <w:rPr>
          <w:rFonts w:ascii="Times New Roman" w:hAnsi="Times New Roman" w:cs="Times New Roman"/>
          <w:kern w:val="0"/>
          <w:sz w:val="32"/>
          <w:szCs w:val="32"/>
        </w:rPr>
      </w:pPr>
      <w:r>
        <w:rPr>
          <w:rFonts w:hint="eastAsia" w:ascii="Times New Roman" w:hAnsi="Times New Roman" w:cs="Times New Roman"/>
          <w:kern w:val="0"/>
          <w:sz w:val="32"/>
          <w:szCs w:val="32"/>
        </w:rPr>
        <w:t>3、加强监督绩效考评与监督检查。加强对政法转移支付资金的管理，建立对办案业务经费、业务装备经费使用情况的监督检查力度，及时发现并解决政法经费使用管理中存在的问题，保证中央和自治区转移支付资金及时、足额到位，专款专用，防止截留、挤占和挪用。</w:t>
      </w:r>
    </w:p>
    <w:p w14:paraId="5125A5BB">
      <w:pPr>
        <w:pStyle w:val="3"/>
        <w:spacing w:before="0" w:after="0" w:line="560" w:lineRule="exact"/>
        <w:ind w:firstLine="643"/>
        <w:rPr>
          <w:rFonts w:ascii="Times New Roman" w:hAnsi="Times New Roman" w:eastAsia="楷体" w:cs="Times New Roman"/>
          <w:color w:val="000000"/>
          <w:kern w:val="0"/>
        </w:rPr>
      </w:pPr>
      <w:r>
        <w:rPr>
          <w:rFonts w:ascii="Times New Roman" w:hAnsi="Times New Roman" w:eastAsia="楷体" w:cs="Times New Roman"/>
          <w:color w:val="000000"/>
          <w:kern w:val="0"/>
        </w:rPr>
        <w:t>（二）存在的问题及原因分析</w:t>
      </w:r>
      <w:bookmarkEnd w:id="58"/>
    </w:p>
    <w:p w14:paraId="23ED8E43">
      <w:pPr>
        <w:spacing w:line="560" w:lineRule="exact"/>
        <w:ind w:firstLine="640"/>
        <w:rPr>
          <w:rFonts w:ascii="Times New Roman" w:hAnsi="Times New Roman" w:cs="Times New Roman"/>
          <w:kern w:val="0"/>
          <w:sz w:val="32"/>
          <w:szCs w:val="32"/>
        </w:rPr>
      </w:pPr>
      <w:r>
        <w:rPr>
          <w:rFonts w:hint="eastAsia" w:ascii="Times New Roman" w:hAnsi="Times New Roman" w:cs="Times New Roman"/>
          <w:kern w:val="0"/>
          <w:sz w:val="32"/>
          <w:szCs w:val="32"/>
        </w:rPr>
        <w:t>1、预算绩效管理的重视性认识不足。加强预算绩效管理理念虽然已是普遍共识，但对该项工作重要认识程度还存在显著差异。导致各部门对待工作的态度冷热不均。业务部门对开展绩效评价无积极性，财务部门对绩效评价结果运用无从下手。绩效评价成为相关部门的附加工作，工作认可度低，工作价值无法体现，实施效果不佳。</w:t>
      </w:r>
    </w:p>
    <w:p w14:paraId="0149FD30">
      <w:pPr>
        <w:spacing w:line="560" w:lineRule="exact"/>
        <w:ind w:firstLine="640"/>
        <w:rPr>
          <w:rFonts w:ascii="Times New Roman" w:hAnsi="Times New Roman" w:cs="Times New Roman"/>
          <w:kern w:val="0"/>
          <w:sz w:val="32"/>
          <w:szCs w:val="32"/>
        </w:rPr>
      </w:pPr>
      <w:r>
        <w:rPr>
          <w:rFonts w:hint="eastAsia" w:ascii="Times New Roman" w:hAnsi="Times New Roman" w:cs="Times New Roman"/>
          <w:kern w:val="0"/>
          <w:sz w:val="32"/>
          <w:szCs w:val="32"/>
        </w:rPr>
        <w:t>2、预算绩效管理组织实施统筹不够。预算绩效管理工作附着在预算管理的各个环节，是一项系统性强，耗时较多的工作，倘若没有足够的人力、物力支撑，难以有效完成，目前存在缺乏统筹协调的问题，财务部门和业务部门未形成管理合力。常常因为业务归口，财务部门一家负责绩效管理工作。另外，专业人员有限，工作开展不深入。绝大多事的预算单位没有专门设立预算绩效管理机构，无相应编制，财务人员身兼预算、决算、日常工作接踵而至，疲于应付各类监督，根本没有足够精力开展绩效自评。不能统筹解决好组织实施问题，绩效评价工作难以真正下沉到资金使用终端。</w:t>
      </w:r>
    </w:p>
    <w:p w14:paraId="6D8D6606">
      <w:pPr>
        <w:spacing w:line="560" w:lineRule="exact"/>
        <w:ind w:firstLine="640"/>
        <w:rPr>
          <w:rFonts w:ascii="Times New Roman" w:hAnsi="Times New Roman" w:cs="Times New Roman"/>
          <w:kern w:val="0"/>
          <w:sz w:val="32"/>
          <w:szCs w:val="32"/>
        </w:rPr>
      </w:pPr>
      <w:r>
        <w:rPr>
          <w:rFonts w:hint="eastAsia" w:ascii="Times New Roman" w:hAnsi="Times New Roman" w:cs="Times New Roman"/>
          <w:kern w:val="0"/>
          <w:sz w:val="32"/>
          <w:szCs w:val="32"/>
        </w:rPr>
        <w:t>3、预算绩效评价的技术能力亟需提升。预算绩效评价的技术要求很强，只有熟练运用业务知识和专业方法，才可能给出客观、准确的评价。目前，绩效指标设置的合理性有待提高。项目绩效指标设置难、量化难、细化难、衔接难、收集数据难、结果验证难，除了推动建立同类项目共性指标库外，还需要针对部门的行业特点，逐批次解决特性指标问题。另外，绩效评价力量的专业性有待加强。如成本效益分析法、比较法、因素分析法、最低成本法、公众评判法、标杆管理法等绩效评价方法，普通财务人员短期内难以准确掌握运用，亟需培训内部专业力量。</w:t>
      </w:r>
    </w:p>
    <w:p w14:paraId="6045C3FA">
      <w:pPr>
        <w:pStyle w:val="2"/>
        <w:spacing w:before="0" w:after="0" w:line="560" w:lineRule="exact"/>
        <w:ind w:firstLine="672"/>
        <w:jc w:val="left"/>
        <w:rPr>
          <w:rFonts w:ascii="Times New Roman" w:hAnsi="Times New Roman" w:eastAsia="黑体" w:cs="Times New Roman"/>
          <w:b w:val="0"/>
          <w:bCs w:val="0"/>
          <w:color w:val="000000"/>
          <w:spacing w:val="8"/>
          <w:kern w:val="0"/>
          <w:sz w:val="32"/>
          <w:szCs w:val="32"/>
        </w:rPr>
      </w:pPr>
      <w:bookmarkStart w:id="59" w:name="_Toc67911620"/>
      <w:bookmarkStart w:id="60" w:name="_Toc13493"/>
      <w:bookmarkStart w:id="61" w:name="_Toc67911619"/>
      <w:r>
        <w:rPr>
          <w:rFonts w:ascii="Times New Roman" w:hAnsi="Times New Roman" w:eastAsia="黑体" w:cs="Times New Roman"/>
          <w:b w:val="0"/>
          <w:bCs w:val="0"/>
          <w:color w:val="000000"/>
          <w:spacing w:val="8"/>
          <w:kern w:val="0"/>
          <w:sz w:val="32"/>
          <w:szCs w:val="32"/>
        </w:rPr>
        <w:t>六、有关建议</w:t>
      </w:r>
      <w:bookmarkEnd w:id="59"/>
      <w:bookmarkEnd w:id="60"/>
    </w:p>
    <w:p w14:paraId="2556E91F">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（一）</w:t>
      </w:r>
      <w:r>
        <w:rPr>
          <w:rFonts w:hint="eastAsia" w:ascii="Times New Roman" w:hAnsi="Times New Roman" w:cs="Times New Roman"/>
          <w:kern w:val="0"/>
          <w:sz w:val="32"/>
          <w:szCs w:val="32"/>
        </w:rPr>
        <w:t>建议大力资金拨付环节，提高资金实际到位率。由于种种原因，财政部门虽然下发了文件明确规范了转移支付资金的用途，并且要求不准减少财政预算。但是，在具体执行过程中，都会不同程度的出现经费难以落实到位的情况，建议单位业务部门应更加主动向单位领导汇报，提出公安机关对政法转移支付资金科学化、合理化的需求，力争地方党委、政府领导和财政部门对公安工作的理解、支持、最大限度地争取资金到位。</w:t>
      </w:r>
    </w:p>
    <w:p w14:paraId="002BDFC3">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（二）</w:t>
      </w:r>
      <w:r>
        <w:rPr>
          <w:rFonts w:hint="eastAsia" w:ascii="Times New Roman" w:hAnsi="Times New Roman" w:cs="Times New Roman"/>
          <w:kern w:val="0"/>
          <w:sz w:val="32"/>
          <w:szCs w:val="32"/>
        </w:rPr>
        <w:t>建议提高资金规范使用率。资金使用时，明确资金下达后的执行时间、确保资金的使用效率和执行力率。在办案经费使用上，重点保障涉及国家安全和社会稳定的重大案件侦办，在装备项目实施上，面向实战，突出一线民警装备保障。</w:t>
      </w:r>
    </w:p>
    <w:p w14:paraId="77DF5877">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（三）</w:t>
      </w:r>
      <w:r>
        <w:rPr>
          <w:rFonts w:hint="eastAsia" w:ascii="Times New Roman" w:hAnsi="Times New Roman" w:cs="Times New Roman"/>
          <w:kern w:val="0"/>
          <w:sz w:val="32"/>
          <w:szCs w:val="32"/>
        </w:rPr>
        <w:t>建议有限保障“项目”推进基础工作全面提升。对信息化建设、公安专用设备购置，根据公安各警钟的工作需求，合理整合业务，统筹安排资金，构建完整的信息运用平台系统，达到“资源共享、集中财力办大事”。</w:t>
      </w:r>
    </w:p>
    <w:p w14:paraId="3A26AAB4">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（四）</w:t>
      </w:r>
      <w:r>
        <w:rPr>
          <w:rFonts w:hint="eastAsia" w:ascii="Times New Roman" w:hAnsi="Times New Roman" w:cs="Times New Roman"/>
          <w:kern w:val="0"/>
          <w:sz w:val="32"/>
          <w:szCs w:val="32"/>
        </w:rPr>
        <w:t>加大预算绩效管理宣传培训力度。绩效主管部门应进一步结合国家治理体系和治理能力现代化的建设要求，突出宣传预算绩效管理在促进政府公共部门提高公共服务供给效率方面的重要作用，形成强化绩效管理的氛围。把预算绩效管理作为基础性工作认真对待，加强系统内各层级人员绩效管理培训，营造绩效管理的良好氛围，注重总结推广先进典型做法，逐步丰富工作成果。</w:t>
      </w:r>
    </w:p>
    <w:p w14:paraId="04CE8BF9">
      <w:pPr>
        <w:pStyle w:val="2"/>
        <w:spacing w:before="0" w:after="0" w:line="560" w:lineRule="exact"/>
        <w:ind w:firstLine="672"/>
        <w:jc w:val="left"/>
        <w:rPr>
          <w:rFonts w:ascii="Times New Roman" w:hAnsi="Times New Roman" w:eastAsia="黑体" w:cs="Times New Roman"/>
          <w:b w:val="0"/>
          <w:bCs w:val="0"/>
          <w:color w:val="000000"/>
          <w:spacing w:val="8"/>
          <w:kern w:val="0"/>
          <w:sz w:val="32"/>
          <w:szCs w:val="32"/>
        </w:rPr>
      </w:pPr>
      <w:bookmarkStart w:id="62" w:name="_Toc17626"/>
      <w:r>
        <w:rPr>
          <w:rFonts w:ascii="Times New Roman" w:hAnsi="Times New Roman" w:eastAsia="黑体" w:cs="Times New Roman"/>
          <w:b w:val="0"/>
          <w:bCs w:val="0"/>
          <w:color w:val="000000"/>
          <w:spacing w:val="8"/>
          <w:kern w:val="0"/>
          <w:sz w:val="32"/>
          <w:szCs w:val="32"/>
        </w:rPr>
        <w:t>七、其他需要说明的问题</w:t>
      </w:r>
      <w:bookmarkEnd w:id="61"/>
      <w:bookmarkEnd w:id="62"/>
    </w:p>
    <w:p w14:paraId="02362D24">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（一）项目支出政策和路径设计科学，符合实际需要；</w:t>
      </w:r>
    </w:p>
    <w:p w14:paraId="1072F394">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（二）项目安排准确，未发现背离项目立项初衷的情况；</w:t>
      </w:r>
    </w:p>
    <w:p w14:paraId="23F90381">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（三）项目的申报、审核机制完善；</w:t>
      </w:r>
    </w:p>
    <w:p w14:paraId="41F5AE86">
      <w:pPr>
        <w:spacing w:line="560" w:lineRule="exact"/>
        <w:ind w:firstLine="640"/>
        <w:rPr>
          <w:rFonts w:ascii="Times New Roman" w:hAnsi="Times New Roman" w:cs="Times New Roman"/>
          <w:kern w:val="0"/>
          <w:sz w:val="32"/>
          <w:szCs w:val="32"/>
        </w:rPr>
      </w:pPr>
      <w:r>
        <w:rPr>
          <w:rFonts w:ascii="Times New Roman" w:hAnsi="Times New Roman" w:cs="Times New Roman"/>
          <w:kern w:val="0"/>
          <w:sz w:val="32"/>
          <w:szCs w:val="32"/>
        </w:rPr>
        <w:t>（四）未发现虚假行为和骗取财政资金的问题。</w:t>
      </w: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0000000000000000000"/>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8CE3EE">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9D2B42">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0C524">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2240541"/>
    </w:sdtPr>
    <w:sdtEndPr>
      <w:rPr>
        <w:rFonts w:hint="eastAsia" w:ascii="仿宋_GB2312" w:eastAsia="仿宋_GB2312"/>
        <w:sz w:val="21"/>
        <w:szCs w:val="21"/>
      </w:rPr>
    </w:sdtEndPr>
    <w:sdtContent>
      <w:p w14:paraId="63F6FE78">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13</w:t>
        </w:r>
        <w:r>
          <w:rPr>
            <w:rFonts w:hint="eastAsia" w:ascii="仿宋_GB2312" w:eastAsia="仿宋_GB2312"/>
            <w:sz w:val="21"/>
            <w:szCs w:val="21"/>
          </w:rPr>
          <w:fldChar w:fldCharType="end"/>
        </w:r>
      </w:p>
    </w:sdtContent>
  </w:sdt>
  <w:p w14:paraId="1CB76DB2">
    <w:pPr>
      <w:pStyle w:val="9"/>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DE22F2">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26</w:t>
    </w:r>
    <w:r>
      <w:rPr>
        <w:rFonts w:hint="eastAsia" w:ascii="仿宋_GB2312" w:eastAsia="仿宋_GB2312"/>
        <w:sz w:val="21"/>
        <w:szCs w:val="21"/>
      </w:rPr>
      <w:fldChar w:fldCharType="end"/>
    </w:r>
  </w:p>
  <w:p w14:paraId="2F5B39D6">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14:paraId="5E449ACA">
      <w:pPr>
        <w:pStyle w:val="12"/>
        <w:ind w:firstLine="0" w:firstLineChars="0"/>
      </w:pPr>
      <w:r>
        <w:rPr>
          <w:rStyle w:val="20"/>
        </w:rPr>
        <w:footnoteRef/>
      </w:r>
      <w:r>
        <w:rPr>
          <w:rFonts w:hint="eastAsia" w:ascii="仿宋_GB2312"/>
        </w:rPr>
        <w:t>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14:paraId="60C62985">
      <w:pPr>
        <w:pStyle w:val="12"/>
        <w:ind w:firstLine="0" w:firstLineChars="0"/>
      </w:pPr>
      <w:r>
        <w:rPr>
          <w:rStyle w:val="20"/>
        </w:rPr>
        <w:footnoteRef/>
      </w: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8E499C">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EA6E20">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E13581">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3A83EA">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8D95D6">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E5ZjY4MTZmMjdlZTdiNDk2YjE2YjM5MDdjZDkwNjQifQ=="/>
  </w:docVars>
  <w:rsids>
    <w:rsidRoot w:val="00A43A0A"/>
    <w:rsid w:val="00022598"/>
    <w:rsid w:val="00031A7F"/>
    <w:rsid w:val="00042151"/>
    <w:rsid w:val="000438A0"/>
    <w:rsid w:val="0007002C"/>
    <w:rsid w:val="00071C0F"/>
    <w:rsid w:val="00086724"/>
    <w:rsid w:val="0009112C"/>
    <w:rsid w:val="000A0155"/>
    <w:rsid w:val="000A2B58"/>
    <w:rsid w:val="000A43E8"/>
    <w:rsid w:val="000B520E"/>
    <w:rsid w:val="000B6FA0"/>
    <w:rsid w:val="000C22A1"/>
    <w:rsid w:val="000C720A"/>
    <w:rsid w:val="000C77D3"/>
    <w:rsid w:val="000E1EB5"/>
    <w:rsid w:val="000F260C"/>
    <w:rsid w:val="000F5DE3"/>
    <w:rsid w:val="00111969"/>
    <w:rsid w:val="001351B2"/>
    <w:rsid w:val="00147D9F"/>
    <w:rsid w:val="001544E6"/>
    <w:rsid w:val="001645EB"/>
    <w:rsid w:val="00187B13"/>
    <w:rsid w:val="001927A8"/>
    <w:rsid w:val="001A3189"/>
    <w:rsid w:val="001A79B9"/>
    <w:rsid w:val="001C3F70"/>
    <w:rsid w:val="001C50BA"/>
    <w:rsid w:val="001D66B5"/>
    <w:rsid w:val="001E754D"/>
    <w:rsid w:val="001E7E9F"/>
    <w:rsid w:val="00201C55"/>
    <w:rsid w:val="00212817"/>
    <w:rsid w:val="00213964"/>
    <w:rsid w:val="00220DC6"/>
    <w:rsid w:val="0022245F"/>
    <w:rsid w:val="0022294C"/>
    <w:rsid w:val="00225A82"/>
    <w:rsid w:val="002351CA"/>
    <w:rsid w:val="00246326"/>
    <w:rsid w:val="00247354"/>
    <w:rsid w:val="00250131"/>
    <w:rsid w:val="00261F2F"/>
    <w:rsid w:val="00262533"/>
    <w:rsid w:val="00262B75"/>
    <w:rsid w:val="002767C9"/>
    <w:rsid w:val="002810AA"/>
    <w:rsid w:val="002A3AE4"/>
    <w:rsid w:val="002A6E59"/>
    <w:rsid w:val="002A77CB"/>
    <w:rsid w:val="002B7C09"/>
    <w:rsid w:val="002D723F"/>
    <w:rsid w:val="002E1E67"/>
    <w:rsid w:val="002E2767"/>
    <w:rsid w:val="002E608B"/>
    <w:rsid w:val="00302E15"/>
    <w:rsid w:val="0032183D"/>
    <w:rsid w:val="0032329D"/>
    <w:rsid w:val="00332C71"/>
    <w:rsid w:val="00333EA5"/>
    <w:rsid w:val="00340CED"/>
    <w:rsid w:val="00343485"/>
    <w:rsid w:val="00344D5F"/>
    <w:rsid w:val="00350839"/>
    <w:rsid w:val="00353852"/>
    <w:rsid w:val="00353F4C"/>
    <w:rsid w:val="00374053"/>
    <w:rsid w:val="003766AB"/>
    <w:rsid w:val="00377BA7"/>
    <w:rsid w:val="00382E7D"/>
    <w:rsid w:val="00396AD7"/>
    <w:rsid w:val="003A268D"/>
    <w:rsid w:val="003C24DB"/>
    <w:rsid w:val="003C4BD9"/>
    <w:rsid w:val="003D293B"/>
    <w:rsid w:val="003D611E"/>
    <w:rsid w:val="003D74DE"/>
    <w:rsid w:val="00404C10"/>
    <w:rsid w:val="00412B7E"/>
    <w:rsid w:val="004204DE"/>
    <w:rsid w:val="004249EE"/>
    <w:rsid w:val="00425C1F"/>
    <w:rsid w:val="00437C39"/>
    <w:rsid w:val="00450B5B"/>
    <w:rsid w:val="00453D4B"/>
    <w:rsid w:val="00484D0B"/>
    <w:rsid w:val="004868DB"/>
    <w:rsid w:val="004925F6"/>
    <w:rsid w:val="00494958"/>
    <w:rsid w:val="004957B3"/>
    <w:rsid w:val="004B12BE"/>
    <w:rsid w:val="004B5A40"/>
    <w:rsid w:val="004B7EE0"/>
    <w:rsid w:val="004D4759"/>
    <w:rsid w:val="004E0DF3"/>
    <w:rsid w:val="004F17C9"/>
    <w:rsid w:val="004F2EE2"/>
    <w:rsid w:val="004F3E27"/>
    <w:rsid w:val="004F66E9"/>
    <w:rsid w:val="00502EC2"/>
    <w:rsid w:val="005345BF"/>
    <w:rsid w:val="00534DD6"/>
    <w:rsid w:val="005417D4"/>
    <w:rsid w:val="0054442E"/>
    <w:rsid w:val="0055370C"/>
    <w:rsid w:val="00553F30"/>
    <w:rsid w:val="00561220"/>
    <w:rsid w:val="00563798"/>
    <w:rsid w:val="00566083"/>
    <w:rsid w:val="0056794C"/>
    <w:rsid w:val="005764CD"/>
    <w:rsid w:val="005779FD"/>
    <w:rsid w:val="0058379D"/>
    <w:rsid w:val="00592653"/>
    <w:rsid w:val="00593474"/>
    <w:rsid w:val="005A12D0"/>
    <w:rsid w:val="005A2254"/>
    <w:rsid w:val="005A5ABF"/>
    <w:rsid w:val="005A5E3B"/>
    <w:rsid w:val="005A625C"/>
    <w:rsid w:val="005A76A5"/>
    <w:rsid w:val="005B7A28"/>
    <w:rsid w:val="005D02D3"/>
    <w:rsid w:val="005D2F48"/>
    <w:rsid w:val="005D4D5B"/>
    <w:rsid w:val="005E2098"/>
    <w:rsid w:val="005F226E"/>
    <w:rsid w:val="005F273F"/>
    <w:rsid w:val="005F3A17"/>
    <w:rsid w:val="005F4CEB"/>
    <w:rsid w:val="00604BA5"/>
    <w:rsid w:val="00607D5B"/>
    <w:rsid w:val="00611B95"/>
    <w:rsid w:val="00614CEC"/>
    <w:rsid w:val="00627F97"/>
    <w:rsid w:val="0065079B"/>
    <w:rsid w:val="00653281"/>
    <w:rsid w:val="00656DB7"/>
    <w:rsid w:val="00662C67"/>
    <w:rsid w:val="00697555"/>
    <w:rsid w:val="006B60FE"/>
    <w:rsid w:val="006C40AE"/>
    <w:rsid w:val="006E3A9A"/>
    <w:rsid w:val="006E6431"/>
    <w:rsid w:val="006F3315"/>
    <w:rsid w:val="007027A1"/>
    <w:rsid w:val="00705854"/>
    <w:rsid w:val="00716944"/>
    <w:rsid w:val="00722A72"/>
    <w:rsid w:val="0073210F"/>
    <w:rsid w:val="00733402"/>
    <w:rsid w:val="0073417E"/>
    <w:rsid w:val="00743F96"/>
    <w:rsid w:val="0076734C"/>
    <w:rsid w:val="0078063A"/>
    <w:rsid w:val="00783118"/>
    <w:rsid w:val="00790A2D"/>
    <w:rsid w:val="00794639"/>
    <w:rsid w:val="007A772C"/>
    <w:rsid w:val="007C3F63"/>
    <w:rsid w:val="007E01AB"/>
    <w:rsid w:val="007F185A"/>
    <w:rsid w:val="007F6051"/>
    <w:rsid w:val="007F6745"/>
    <w:rsid w:val="007F77F3"/>
    <w:rsid w:val="008123C5"/>
    <w:rsid w:val="00830E23"/>
    <w:rsid w:val="00831695"/>
    <w:rsid w:val="008327EB"/>
    <w:rsid w:val="00835535"/>
    <w:rsid w:val="00840ACA"/>
    <w:rsid w:val="00845BE2"/>
    <w:rsid w:val="00856AD5"/>
    <w:rsid w:val="00860C9E"/>
    <w:rsid w:val="00863F65"/>
    <w:rsid w:val="00866FB0"/>
    <w:rsid w:val="00884C5F"/>
    <w:rsid w:val="00894E2C"/>
    <w:rsid w:val="008A3394"/>
    <w:rsid w:val="008A476A"/>
    <w:rsid w:val="008C4803"/>
    <w:rsid w:val="008D39BE"/>
    <w:rsid w:val="008D3FFC"/>
    <w:rsid w:val="008D6D96"/>
    <w:rsid w:val="008F0094"/>
    <w:rsid w:val="009068E0"/>
    <w:rsid w:val="00907B15"/>
    <w:rsid w:val="009145B2"/>
    <w:rsid w:val="00917C57"/>
    <w:rsid w:val="009214DF"/>
    <w:rsid w:val="00923604"/>
    <w:rsid w:val="009258BD"/>
    <w:rsid w:val="00931714"/>
    <w:rsid w:val="00933961"/>
    <w:rsid w:val="009546FE"/>
    <w:rsid w:val="0095473C"/>
    <w:rsid w:val="00954936"/>
    <w:rsid w:val="00963948"/>
    <w:rsid w:val="009808FE"/>
    <w:rsid w:val="00981879"/>
    <w:rsid w:val="0098656D"/>
    <w:rsid w:val="00993E38"/>
    <w:rsid w:val="00995079"/>
    <w:rsid w:val="00996B5B"/>
    <w:rsid w:val="009A1C11"/>
    <w:rsid w:val="009A33B6"/>
    <w:rsid w:val="009D4C5C"/>
    <w:rsid w:val="009F1224"/>
    <w:rsid w:val="009F55B0"/>
    <w:rsid w:val="00A00443"/>
    <w:rsid w:val="00A01E38"/>
    <w:rsid w:val="00A106CE"/>
    <w:rsid w:val="00A2064E"/>
    <w:rsid w:val="00A215EE"/>
    <w:rsid w:val="00A22963"/>
    <w:rsid w:val="00A425B1"/>
    <w:rsid w:val="00A43A0A"/>
    <w:rsid w:val="00A461C8"/>
    <w:rsid w:val="00A52E6C"/>
    <w:rsid w:val="00A52E72"/>
    <w:rsid w:val="00A675F9"/>
    <w:rsid w:val="00A8244A"/>
    <w:rsid w:val="00A92F9F"/>
    <w:rsid w:val="00A96223"/>
    <w:rsid w:val="00AB6471"/>
    <w:rsid w:val="00AB7184"/>
    <w:rsid w:val="00AC3EBC"/>
    <w:rsid w:val="00AD5430"/>
    <w:rsid w:val="00AE1DCD"/>
    <w:rsid w:val="00AE6C31"/>
    <w:rsid w:val="00AE78CA"/>
    <w:rsid w:val="00AF7863"/>
    <w:rsid w:val="00B05697"/>
    <w:rsid w:val="00B22F6F"/>
    <w:rsid w:val="00B27FCC"/>
    <w:rsid w:val="00B4167E"/>
    <w:rsid w:val="00B51A13"/>
    <w:rsid w:val="00B56B1B"/>
    <w:rsid w:val="00B72218"/>
    <w:rsid w:val="00B7742F"/>
    <w:rsid w:val="00B90BA4"/>
    <w:rsid w:val="00B928FF"/>
    <w:rsid w:val="00B962E0"/>
    <w:rsid w:val="00BA0A35"/>
    <w:rsid w:val="00BA10B1"/>
    <w:rsid w:val="00BA13B7"/>
    <w:rsid w:val="00BA65B8"/>
    <w:rsid w:val="00BA6E36"/>
    <w:rsid w:val="00BA76B5"/>
    <w:rsid w:val="00BC2956"/>
    <w:rsid w:val="00BC5C63"/>
    <w:rsid w:val="00BD263E"/>
    <w:rsid w:val="00BD74BD"/>
    <w:rsid w:val="00BE429E"/>
    <w:rsid w:val="00BF1766"/>
    <w:rsid w:val="00C00DA2"/>
    <w:rsid w:val="00C10C79"/>
    <w:rsid w:val="00C12EBE"/>
    <w:rsid w:val="00C20C51"/>
    <w:rsid w:val="00C409B9"/>
    <w:rsid w:val="00C634EC"/>
    <w:rsid w:val="00C66545"/>
    <w:rsid w:val="00C8191C"/>
    <w:rsid w:val="00C927D9"/>
    <w:rsid w:val="00C938A4"/>
    <w:rsid w:val="00CA74C5"/>
    <w:rsid w:val="00CB3DFC"/>
    <w:rsid w:val="00CB6D38"/>
    <w:rsid w:val="00CD02C5"/>
    <w:rsid w:val="00CD1452"/>
    <w:rsid w:val="00CD6B05"/>
    <w:rsid w:val="00CE6337"/>
    <w:rsid w:val="00CF640C"/>
    <w:rsid w:val="00D04E2D"/>
    <w:rsid w:val="00D152B1"/>
    <w:rsid w:val="00D2172F"/>
    <w:rsid w:val="00D23DCB"/>
    <w:rsid w:val="00D3320C"/>
    <w:rsid w:val="00D435A3"/>
    <w:rsid w:val="00D4562E"/>
    <w:rsid w:val="00D56A82"/>
    <w:rsid w:val="00D64B07"/>
    <w:rsid w:val="00D73238"/>
    <w:rsid w:val="00D84293"/>
    <w:rsid w:val="00D9228E"/>
    <w:rsid w:val="00D97617"/>
    <w:rsid w:val="00DA4BA7"/>
    <w:rsid w:val="00DB316E"/>
    <w:rsid w:val="00DC0958"/>
    <w:rsid w:val="00DC1EA8"/>
    <w:rsid w:val="00DC335A"/>
    <w:rsid w:val="00DD54BF"/>
    <w:rsid w:val="00DF643F"/>
    <w:rsid w:val="00E00B28"/>
    <w:rsid w:val="00E014DB"/>
    <w:rsid w:val="00E04EC2"/>
    <w:rsid w:val="00E1127A"/>
    <w:rsid w:val="00E14FE5"/>
    <w:rsid w:val="00E24ACA"/>
    <w:rsid w:val="00E26770"/>
    <w:rsid w:val="00E30B1D"/>
    <w:rsid w:val="00E43D10"/>
    <w:rsid w:val="00E45B1A"/>
    <w:rsid w:val="00E526C7"/>
    <w:rsid w:val="00E619A0"/>
    <w:rsid w:val="00E73F9C"/>
    <w:rsid w:val="00E75E83"/>
    <w:rsid w:val="00E96096"/>
    <w:rsid w:val="00EA63EF"/>
    <w:rsid w:val="00EA7E72"/>
    <w:rsid w:val="00EB0442"/>
    <w:rsid w:val="00EC5F03"/>
    <w:rsid w:val="00EE20A2"/>
    <w:rsid w:val="00EE4545"/>
    <w:rsid w:val="00EE5261"/>
    <w:rsid w:val="00EE5B2D"/>
    <w:rsid w:val="00EF1A90"/>
    <w:rsid w:val="00EF3B51"/>
    <w:rsid w:val="00F06D23"/>
    <w:rsid w:val="00F1342A"/>
    <w:rsid w:val="00F36E98"/>
    <w:rsid w:val="00F52C6D"/>
    <w:rsid w:val="00F55451"/>
    <w:rsid w:val="00F60596"/>
    <w:rsid w:val="00F73710"/>
    <w:rsid w:val="00F872E7"/>
    <w:rsid w:val="00F970AA"/>
    <w:rsid w:val="00FA0EDB"/>
    <w:rsid w:val="00FA4373"/>
    <w:rsid w:val="00FB09C6"/>
    <w:rsid w:val="00FB2BBD"/>
    <w:rsid w:val="00FC15FD"/>
    <w:rsid w:val="00FD7A36"/>
    <w:rsid w:val="00FD7C5F"/>
    <w:rsid w:val="00FE1071"/>
    <w:rsid w:val="00FE193C"/>
    <w:rsid w:val="00FE7DCA"/>
    <w:rsid w:val="00FF0452"/>
    <w:rsid w:val="014D29E7"/>
    <w:rsid w:val="0245434E"/>
    <w:rsid w:val="06E33873"/>
    <w:rsid w:val="099E4753"/>
    <w:rsid w:val="0C3E44F2"/>
    <w:rsid w:val="0C8E404B"/>
    <w:rsid w:val="0D6C7A12"/>
    <w:rsid w:val="123B3FA2"/>
    <w:rsid w:val="1BEA0A4D"/>
    <w:rsid w:val="1C0F6300"/>
    <w:rsid w:val="1DEB0305"/>
    <w:rsid w:val="1E19186F"/>
    <w:rsid w:val="208C1E42"/>
    <w:rsid w:val="240D2378"/>
    <w:rsid w:val="2B336405"/>
    <w:rsid w:val="2C0145CF"/>
    <w:rsid w:val="2DEC5B4F"/>
    <w:rsid w:val="2E157630"/>
    <w:rsid w:val="315707F7"/>
    <w:rsid w:val="35F03669"/>
    <w:rsid w:val="3BB7618D"/>
    <w:rsid w:val="3E79672F"/>
    <w:rsid w:val="3F3500CE"/>
    <w:rsid w:val="4EFC5684"/>
    <w:rsid w:val="58BB6476"/>
    <w:rsid w:val="5A0963E4"/>
    <w:rsid w:val="61AF2AB6"/>
    <w:rsid w:val="644B215C"/>
    <w:rsid w:val="65BB4B67"/>
    <w:rsid w:val="675C21DB"/>
    <w:rsid w:val="6E8667D4"/>
    <w:rsid w:val="6ED84616"/>
    <w:rsid w:val="724732FB"/>
    <w:rsid w:val="72607BA7"/>
    <w:rsid w:val="732953B5"/>
    <w:rsid w:val="7A1F1D83"/>
    <w:rsid w:val="7BD054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0"/>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3"/>
    <w:semiHidden/>
    <w:unhideWhenUsed/>
    <w:qFormat/>
    <w:uiPriority w:val="99"/>
    <w:pPr>
      <w:ind w:left="100" w:leftChars="2500"/>
    </w:pPr>
  </w:style>
  <w:style w:type="paragraph" w:styleId="8">
    <w:name w:val="Balloon Text"/>
    <w:basedOn w:val="1"/>
    <w:link w:val="32"/>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unhideWhenUsed/>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5"/>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31"/>
    <w:semiHidden/>
    <w:unhideWhenUsed/>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unhideWhenUsed/>
    <w:uiPriority w:val="99"/>
    <w:rPr>
      <w:color w:val="0563C1" w:themeColor="hyperlink"/>
      <w:u w:val="single"/>
    </w:rPr>
  </w:style>
  <w:style w:type="character" w:styleId="19">
    <w:name w:val="annotation reference"/>
    <w:basedOn w:val="17"/>
    <w:semiHidden/>
    <w:unhideWhenUsed/>
    <w:uiPriority w:val="99"/>
    <w:rPr>
      <w:sz w:val="21"/>
      <w:szCs w:val="21"/>
    </w:rPr>
  </w:style>
  <w:style w:type="character" w:styleId="20">
    <w:name w:val="footnote reference"/>
    <w:basedOn w:val="17"/>
    <w:semiHidden/>
    <w:unhideWhenUsed/>
    <w:qFormat/>
    <w:uiPriority w:val="99"/>
    <w:rPr>
      <w:vertAlign w:val="superscript"/>
    </w:rPr>
  </w:style>
  <w:style w:type="character" w:customStyle="1" w:styleId="21">
    <w:name w:val="页眉 Char"/>
    <w:basedOn w:val="17"/>
    <w:link w:val="10"/>
    <w:uiPriority w:val="99"/>
    <w:rPr>
      <w:sz w:val="18"/>
      <w:szCs w:val="18"/>
    </w:rPr>
  </w:style>
  <w:style w:type="character" w:customStyle="1" w:styleId="22">
    <w:name w:val="页脚 Char"/>
    <w:basedOn w:val="17"/>
    <w:link w:val="9"/>
    <w:qFormat/>
    <w:uiPriority w:val="99"/>
    <w:rPr>
      <w:sz w:val="18"/>
      <w:szCs w:val="18"/>
    </w:rPr>
  </w:style>
  <w:style w:type="character" w:customStyle="1" w:styleId="23">
    <w:name w:val="日期 Char"/>
    <w:basedOn w:val="17"/>
    <w:link w:val="7"/>
    <w:semiHidden/>
    <w:qFormat/>
    <w:uiPriority w:val="99"/>
    <w:rPr>
      <w:rFonts w:ascii="Calibri" w:hAnsi="Calibri" w:eastAsia="仿宋_GB2312" w:cs="黑体"/>
      <w:sz w:val="28"/>
    </w:rPr>
  </w:style>
  <w:style w:type="character" w:customStyle="1" w:styleId="24">
    <w:name w:val="标题 2 Char"/>
    <w:basedOn w:val="17"/>
    <w:link w:val="3"/>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semiHidden/>
    <w:uiPriority w:val="99"/>
    <w:rPr>
      <w:rFonts w:ascii="Calibri" w:hAnsi="Calibri" w:eastAsia="仿宋_GB2312" w:cs="黑体"/>
      <w:sz w:val="18"/>
      <w:szCs w:val="18"/>
    </w:rPr>
  </w:style>
  <w:style w:type="paragraph" w:styleId="26">
    <w:name w:val="List Paragraph"/>
    <w:basedOn w:val="1"/>
    <w:qFormat/>
    <w:uiPriority w:val="34"/>
    <w:pPr>
      <w:ind w:firstLine="420"/>
    </w:pPr>
  </w:style>
  <w:style w:type="table" w:customStyle="1" w:styleId="27">
    <w:name w:val="网格型1"/>
    <w:basedOn w:val="1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qFormat/>
    <w:uiPriority w:val="9"/>
    <w:rPr>
      <w:rFonts w:ascii="Calibri" w:hAnsi="Calibri" w:eastAsia="仿宋_GB2312" w:cs="黑体"/>
      <w:b/>
      <w:bCs/>
      <w:kern w:val="44"/>
      <w:sz w:val="44"/>
      <w:szCs w:val="44"/>
    </w:rPr>
  </w:style>
  <w:style w:type="paragraph" w:customStyle="1" w:styleId="29">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30">
    <w:name w:val="批注文字 Char"/>
    <w:basedOn w:val="17"/>
    <w:link w:val="5"/>
    <w:qFormat/>
    <w:uiPriority w:val="99"/>
    <w:rPr>
      <w:rFonts w:ascii="Calibri" w:hAnsi="Calibri" w:eastAsia="仿宋_GB2312" w:cs="黑体"/>
      <w:sz w:val="28"/>
    </w:rPr>
  </w:style>
  <w:style w:type="character" w:customStyle="1" w:styleId="31">
    <w:name w:val="批注主题 Char"/>
    <w:basedOn w:val="30"/>
    <w:link w:val="14"/>
    <w:semiHidden/>
    <w:qFormat/>
    <w:uiPriority w:val="99"/>
    <w:rPr>
      <w:rFonts w:ascii="Calibri" w:hAnsi="Calibri" w:eastAsia="仿宋_GB2312" w:cs="黑体"/>
      <w:b/>
      <w:bCs/>
      <w:sz w:val="28"/>
    </w:rPr>
  </w:style>
  <w:style w:type="character" w:customStyle="1" w:styleId="32">
    <w:name w:val="批注框文本 Char"/>
    <w:basedOn w:val="17"/>
    <w:link w:val="8"/>
    <w:semiHidden/>
    <w:qFormat/>
    <w:uiPriority w:val="99"/>
    <w:rPr>
      <w:rFonts w:ascii="Calibri" w:hAnsi="Calibri" w:eastAsia="仿宋_GB2312" w:cs="黑体"/>
      <w:sz w:val="18"/>
      <w:szCs w:val="18"/>
    </w:rPr>
  </w:style>
  <w:style w:type="character" w:customStyle="1" w:styleId="33">
    <w:name w:val="标题 3 Char"/>
    <w:basedOn w:val="17"/>
    <w:link w:val="4"/>
    <w:qFormat/>
    <w:uiPriority w:val="9"/>
    <w:rPr>
      <w:rFonts w:ascii="Calibri" w:hAnsi="Calibri" w:eastAsia="仿宋_GB2312" w:cs="黑体"/>
      <w:b/>
      <w:bCs/>
      <w:sz w:val="32"/>
      <w:szCs w:val="32"/>
    </w:rPr>
  </w:style>
  <w:style w:type="paragraph" w:customStyle="1" w:styleId="34">
    <w:name w:val="List Paragraph1"/>
    <w:basedOn w:val="1"/>
    <w:qFormat/>
    <w:uiPriority w:val="0"/>
    <w:pPr>
      <w:ind w:firstLine="420"/>
    </w:pPr>
    <w:rPr>
      <w:rFonts w:ascii="Times New Roman" w:hAnsi="Times New Roman" w:eastAsia="宋体" w:cs="Times New Roman"/>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9EDAE-CC07-42DC-9C0B-8C381D976104}">
  <ds:schemaRefs/>
</ds:datastoreItem>
</file>

<file path=docProps/app.xml><?xml version="1.0" encoding="utf-8"?>
<Properties xmlns="http://schemas.openxmlformats.org/officeDocument/2006/extended-properties" xmlns:vt="http://schemas.openxmlformats.org/officeDocument/2006/docPropsVTypes">
  <Template>Normal.dotm</Template>
  <Pages>31</Pages>
  <Words>7427</Words>
  <Characters>7751</Characters>
  <Lines>118</Lines>
  <Paragraphs>33</Paragraphs>
  <TotalTime>869</TotalTime>
  <ScaleCrop>false</ScaleCrop>
  <LinksUpToDate>false</LinksUpToDate>
  <CharactersWithSpaces>7907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2024-05-10T10:53:00Z</dcterms:created>
  <dc:creator>张 宇</dc:creator>
  <cp:lastModifiedBy>U</cp:lastModifiedBy>
  <cp:lastPrinted>2023-04-11T02:57:00Z</cp:lastPrinted>
  <dcterms:modified xsi:type="dcterms:W3CDTF">2024-11-16T07:28:05Z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04658E9F8E5B48CF8103CE088E7A706C_12</vt:lpwstr>
  </property>
</Properties>
</file>