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3DB40">
      <w:pPr>
        <w:spacing w:line="540" w:lineRule="exact"/>
        <w:jc w:val="left"/>
        <w:rPr>
          <w:rFonts w:ascii="华文中宋" w:hAnsi="华文中宋" w:eastAsia="华文中宋" w:cs="宋体"/>
          <w:b/>
          <w:kern w:val="0"/>
          <w:sz w:val="52"/>
          <w:szCs w:val="52"/>
        </w:rPr>
      </w:pPr>
      <w:r>
        <w:rPr>
          <w:rFonts w:hint="eastAsia" w:ascii="仿宋" w:hAnsi="仿宋" w:eastAsia="仿宋" w:cs="宋体"/>
          <w:kern w:val="0"/>
          <w:sz w:val="32"/>
          <w:szCs w:val="32"/>
        </w:rPr>
        <w:t>附件2：</w:t>
      </w:r>
    </w:p>
    <w:p w14:paraId="7B9F0A20">
      <w:pPr>
        <w:spacing w:line="540" w:lineRule="exact"/>
        <w:jc w:val="center"/>
        <w:rPr>
          <w:rFonts w:ascii="华文中宋" w:hAnsi="华文中宋" w:eastAsia="华文中宋" w:cs="宋体"/>
          <w:b/>
          <w:kern w:val="0"/>
          <w:sz w:val="52"/>
          <w:szCs w:val="52"/>
        </w:rPr>
      </w:pPr>
    </w:p>
    <w:p w14:paraId="1F5472C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ascii="华文中宋" w:hAnsi="华文中宋" w:eastAsia="华文中宋" w:cs="宋体"/>
          <w:b/>
          <w:kern w:val="0"/>
          <w:sz w:val="52"/>
          <w:szCs w:val="52"/>
        </w:rPr>
      </w:pPr>
    </w:p>
    <w:p w14:paraId="478A78F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Ansi="宋体" w:eastAsia="仿宋_GB2312" w:cs="宋体"/>
          <w:kern w:val="0"/>
          <w:sz w:val="30"/>
          <w:szCs w:val="30"/>
        </w:rPr>
      </w:pPr>
    </w:p>
    <w:p w14:paraId="69B61B55">
      <w:pPr>
        <w:spacing w:line="540" w:lineRule="exact"/>
        <w:jc w:val="center"/>
        <w:rPr>
          <w:rFonts w:hAnsi="宋体" w:eastAsia="仿宋_GB2312" w:cs="宋体"/>
          <w:kern w:val="0"/>
          <w:sz w:val="30"/>
          <w:szCs w:val="30"/>
        </w:rPr>
      </w:pPr>
    </w:p>
    <w:p w14:paraId="0A436978">
      <w:pPr>
        <w:spacing w:line="540" w:lineRule="exact"/>
        <w:jc w:val="center"/>
        <w:rPr>
          <w:rFonts w:hAnsi="宋体" w:eastAsia="仿宋_GB2312" w:cs="宋体"/>
          <w:kern w:val="0"/>
          <w:sz w:val="30"/>
          <w:szCs w:val="30"/>
        </w:rPr>
      </w:pPr>
    </w:p>
    <w:p w14:paraId="5731CF0C">
      <w:pPr>
        <w:spacing w:line="540" w:lineRule="exact"/>
        <w:jc w:val="center"/>
        <w:rPr>
          <w:rFonts w:hAnsi="宋体" w:eastAsia="仿宋_GB2312" w:cs="宋体"/>
          <w:kern w:val="0"/>
          <w:sz w:val="30"/>
          <w:szCs w:val="30"/>
        </w:rPr>
      </w:pPr>
    </w:p>
    <w:p w14:paraId="2CE0F0E1">
      <w:pPr>
        <w:spacing w:line="540" w:lineRule="exact"/>
        <w:jc w:val="center"/>
        <w:rPr>
          <w:rFonts w:hAnsi="宋体" w:eastAsia="仿宋_GB2312" w:cs="宋体"/>
          <w:kern w:val="0"/>
          <w:sz w:val="30"/>
          <w:szCs w:val="30"/>
        </w:rPr>
      </w:pPr>
    </w:p>
    <w:p w14:paraId="4C85A255">
      <w:pPr>
        <w:spacing w:line="540" w:lineRule="exact"/>
        <w:jc w:val="center"/>
        <w:rPr>
          <w:rFonts w:hAnsi="宋体" w:eastAsia="仿宋_GB2312" w:cs="宋体"/>
          <w:kern w:val="0"/>
          <w:sz w:val="30"/>
          <w:szCs w:val="30"/>
        </w:rPr>
      </w:pPr>
    </w:p>
    <w:p w14:paraId="5B7D51AB">
      <w:pPr>
        <w:spacing w:line="700" w:lineRule="exact"/>
        <w:jc w:val="left"/>
        <w:rPr>
          <w:rFonts w:hAnsi="宋体" w:eastAsia="仿宋_GB2312" w:cs="宋体"/>
          <w:kern w:val="0"/>
          <w:sz w:val="36"/>
          <w:szCs w:val="36"/>
        </w:rPr>
      </w:pPr>
      <w:bookmarkStart w:id="0" w:name="_GoBack"/>
      <w:bookmarkEnd w:id="0"/>
    </w:p>
    <w:p w14:paraId="71B2FEE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农【2023】32号关于下达2023年中央财政衔接推进乡村振兴补助资金【直达资金】预算的通知》、《乌财农【2023】11号关于下达2023年市级财政衔接推进乡村振兴补助资金【直达资金】的通知》、《关于下达2023年自治区财政衔接推进乡村振兴补助资金（第二批）预算的通知》【乌财农（2023）27号】</w:t>
      </w:r>
    </w:p>
    <w:p w14:paraId="7AEB13A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乌鲁木齐市水磨沟区农业农村局</w:t>
      </w:r>
    </w:p>
    <w:p w14:paraId="275DDF3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乌鲁木齐市水磨沟区农业农村局</w:t>
      </w:r>
    </w:p>
    <w:p w14:paraId="5747EF1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王兵</w:t>
      </w:r>
    </w:p>
    <w:p w14:paraId="7DACC14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2024年05月29日</w:t>
      </w:r>
    </w:p>
    <w:p w14:paraId="677F1B1A">
      <w:pPr>
        <w:spacing w:line="700" w:lineRule="exact"/>
        <w:ind w:firstLine="708" w:firstLineChars="236"/>
        <w:jc w:val="left"/>
        <w:rPr>
          <w:rFonts w:hAnsi="宋体" w:eastAsia="仿宋_GB2312" w:cs="宋体"/>
          <w:kern w:val="0"/>
          <w:sz w:val="30"/>
          <w:szCs w:val="30"/>
        </w:rPr>
      </w:pPr>
    </w:p>
    <w:p w14:paraId="123FA6B7">
      <w:pPr>
        <w:spacing w:line="540" w:lineRule="exact"/>
        <w:rPr>
          <w:rStyle w:val="18"/>
          <w:rFonts w:ascii="黑体" w:hAnsi="黑体" w:eastAsia="黑体"/>
          <w:b w:val="0"/>
          <w:spacing w:val="-4"/>
          <w:sz w:val="32"/>
          <w:szCs w:val="32"/>
        </w:rPr>
      </w:pPr>
    </w:p>
    <w:p w14:paraId="2EEB6E0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是加强项目区农业基础设施建设的需要。长期以来，项目区渠系工程前期配套不足，后期投入有限，农田水利设施和农网配套设施经过多年的运行，工程老化，虽经过多次修补但效果甚微，用水率低，造成水资源的大量流失，农业生产成本增加，灌溉效益差等因素已严重制约了项目区生存和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实现项目区农业增效、农民增收的需要。通过项目建设，改善了灌溉条件，提高了用水效率，供水保证率大为提高，灌溉能力大为增强，促进农业增产，为项目区农业发展、农民增收创造新的增长点是十分必要的。由于采取了防渗节水措施，项目区渠系水利用系数由原来的 0.59提高到0.69，提高了0.1，改建后渠道年节水10.26万m3/年。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是地区经济可持续发展的需要。农村经济的发展离不开周边自然环境所带来得良好资源环境和和谐安定环境，如果以破坏当地生态资源作为当前经济发展的代价，那将是短暂的昙花一现式的经济发展。我们需要的是可持续发展，人与自然和谐共处，共同发展。通过新农村建设项目的实施，给当地居民营造一个良好的生存环境，促进地区安定团结和稳定，促进地区经济可持续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（4）是新农村建设的具体举措。新农村建设进入到一个新的阶段，对新农村建设有了新的认识，新的举措。针对地 区特点，因地制宜地开展新农村建设，调整产业结构，多渠道、多层次、多方位的发展 经济，切实有效地提高农民收入，本工程的建设为项目区调整产业结构、多方位的发展 农村经济提供了前提条件。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经相关部门审批，对石人子沟片区葛家沟村1队、3队灌溉渠在原有渠道的基础上进行改造提升。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①葛家沟村1队改建7.16km防渗渠及配套建筑物128座;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②葛家沟村1队新建输水干管1.369km，排气井2座，排水井2座，一体化泵站1座，改建蓄水池一座;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③葛家沟村3队改建2.893km防渗渠及配套建筑物 21 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①葛家沟村1队、3队灌溉渠道改造总长度为10.209㎞;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②输水管道长度为1.729㎞、蓄水池一座、排气井2座，排水井2座、一体化泵站1座；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该项目资金投入情况：经水发改函〔2023〕13号文件批准，我单位2023年度开展石人子沟片区葛家沟村 1 队 3 队基本农田灌溉渠道改造提升项目，项目总投资685万元。资金投入包括中央直达、自治区、市级以及区级配套等资金，主要用于支付项目前期费74.22万元以及工程款（施工费）610.78万元。资金来源分别有年初预算乡村振兴配套资金327万元与年中追加资金358万元。现对《乌财农【2023】32号关于下达2023年中央财政衔接推进乡村振兴补助资金【直达资金】预算的通知》、《乌财农【2023】11号关于下达2023年市级财政衔接推进乡村振兴补助资金【直达资金】的通知》、《乌财农（2023）27号关于下达2023年自治区财政衔接推进乡村振兴补助资金（第二批）预算的通知》文件精神下达共计358万元衔接资金进行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根据《乌财农【2023】32号关于下达2023年中央财政衔接推进乡村振兴补助资金【直达资金】预算的通知》、《乌财农（2023）27号关于下达2023年自治区财政衔接推进乡村振兴补助资金（第二批）预算的通知》、乌财农【2023】11号关于下达2023年市级财政衔接推进乡村振兴补助资金【直达资金】的通知》等文件精神，下达资金共计358万元，实际支付资金348万元，其中中央下达资金为258万元，支付258万元，支付率为100%；自治区下达资金为90万元，支付90万元，支付率为100%；市级下达资金为10万元，支付0万元，支付率为0%，总体资金支付率为97.21%。《乌财农【2023】32号关于下达2023年中央财政衔接推进乡村振兴补助资金【直达资金】预算的通知》、《乌财农（2023）27号关于下达2023年自治区财政衔接推进乡村振兴补助资金（第二批）预算的通知》、乌财农【2023】11号关于下达2023年市级财政衔接推进乡村振兴补助资金【直达资金】的通知》资金主要用于支付项目前期费用以及部分工程款，因年底资金较紧张结合项目整体进展，市级资金10万元未支付。</w:t>
      </w:r>
    </w:p>
    <w:p w14:paraId="4EE9199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在2023年计划完成，葛家沟村1队改建7.16km防渗渠及配套建筑物128座、新建输水干管1.369km，排气井2座，排水井2座，一体化泵站1座，改建蓄水池一座。葛家沟村3队改建2.893km防渗渠及配套建筑物21座。对环境将产生诸多有利影响：提高了项目区水资源利用率，对生态整治将发挥积极的作用。渠道防渗后可彻底改变原有土渠水土流失情况，使水土资源得到保护。节约的灌溉水为项目区内部生态环境改善创造了条件。同时改善了灌区灌溉条件，更大程度上满足了项目区农业灌溉用水需求，为发展农村经济提供了良好的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该项目的阶段性目标：计划在2023年度施工结束，验收合格。通过本项目实施，将该项目区农田建设成交通发达、水利设施齐全，生产手段先进、种植结构合理的现代化特色农业和生态农业。</w:t>
      </w:r>
    </w:p>
    <w:p w14:paraId="6BFCEFB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通过可以改造蓄水池数量、新建排气井、排水井数量总计等可以来衡量项目的产出数量，以项目（工程）验收合格率来衡量项目的产出质量，以建筑工程费、其他费用、预备费用来衡量项目的产出成本，此次项目目标可以通过绩效指标设定的范围与要求进行量化，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应分析项目的计划和执行过程，以便于体现项目的进展情况和完成度。该项目计划使用资金685万元，目前已收到中央、自治区、市级资金支付本项目费用共计348万元，根据工程实施具体内容，其中分配至监理费2.56万元，检测费0.9718万元，工程款344.4682万元，按项目实施流程，计划到2023年底，完成项目施工和验收，目前项目已如期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以上数据均来源于会计账本和支付凭证、银行回单，通过日常文件和财会数据记录进行数据采集，各文件均为上级下达资金文件，无弄虚作假。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农【2023】32号关于下达2023年中央财政衔接推进乡村振兴补助资金【直达资金】预算的通知》、《乌财农（2023）27号关于下达2023年自治区财政衔接推进乡村振兴补助资金（第二批）预算的通知》、乌财农【2023】11号关于下达2023年市级财政衔接推进乡村振兴补助资金【直达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农【2023】32号关于下达2023年中央财政衔接推进乡村振兴补助资金【直达资金】预算的通知》、《乌财农【2023】11号关于下达2023年市级财政衔接推进乡村振兴补助资金【直达资金】的通知》、《关于下达2023年自治区财政衔接推进乡村振兴补助资金（第二批）预算的通知》【乌财农（2023）27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乌财农【2023】32号关于下达2023年中央财政衔接推进乡村振兴补助资金【直达资金】预算的通知》、《乌财农【2023】11号关于下达2023年市级财政衔接推进乡村振兴补助资金【直达资金】的通知》、《乌财农（2023）27号关于下达2023年自治区财政衔接推进乡村振兴补助资金（第二批）预算的通知》主要用于开展我区衔接项目石人子沟片区葛家沟村1队3队基本农田灌溉渠道改造提升项目的实施，通过农田节水灌溉渠道改造提升项目建设，项目区渠系水利用系数由原来的0.59提高到0.69，提高了0.10，节约用水10.26万m3 /年，农民增加收入20.08万元，提高全村现有耕地675亩、林地220亩的灌溉保障率，缓解水资源供需，实现水利工程良性循环。缩短灌溉周期，提高肥料利用率，降低劳动强度。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项目的建设也相应存在以下几方面不利影响：施工期“三废”排放及噪声影响，不利影响可通过科学合理的施工组织设计加以改善，使其减少到最低程度，工程的兴建有利于提高项目区周围环境质量，能产生较大的社会、经济效益，从环境评价来看该工程的建设是完全可行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农村经济的发展离不开周边自然环境所带来得良好资源环境和和谐安定环境。通过工程的实施，给当地居民营造一个良好的生存环境，促进地区安定团结和稳定，促 进地区经济可持续发展。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工作的开展情况此次绩效评价通过绩效目标设立了一个较为完善的指标体系，分别由产出数量、质量、成本指标以及效益指标（社会效益）、满意度指标构成；根据项目开展资料、资金支付情况、工作人员满意度等资料的收集，利用比较法和公众评判法逐条对绩效目标进行监控与评价工作；通过资金下达文件、衔接资金使用管理文件以及单位2023年度工作计划等作为评价标准评价本次项目绩效；开展项目评价工作过程中，严格遵循其公开、公正，不弄虚作假、实事求是的评价原则，对项目的开展落实严格把关，真正做到为民办实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以制度为基准落实预算绩效管理工作。建立“预算编制有目标、预算执行有监控、预算完成有评价、评价结果有应用”的预算绩效管理运行机制，通过加强绩效目标管理、着力推进绩效监控、不断拓宽评价范围、强化评价结果应用等措施，提升了绩效管理水平；科学设计评价指标，从预算管理制度、资金流程、业务操作规范三个层面，有力保障绩效管理执行规范与有序推进，夯实绩效管理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性评价结论：本项目资金均属于上级直达资金，其使用管理需严格遵守相关规定，不得出现挪用、挤占等问题，为防止此类情况发生，通过培训业务、财务员人员提高工作能力，在资金支付方面层层把关。项目实施过程中，正确起到监管作用，通过不定时检查、座谈交流会等方式收集项目进展相关数据，及时进行资金支付。经对《乌财农【2023】32号关于下达2023年中央财政衔接推进乡村振兴补助资金【直达资金】预算的通知》、《乌财农【2023】11号关于下达2023年市级财政衔接推进乡村振兴补助资金【直达资金】的通知》、《关于下达2023年自治区财政衔接推进乡村振兴补助资金（第二批）预算的通知》【乌财农（2023）27号】进行客观评价，最终评分结果为：总分为94.22分，绩效评级为“优”。</w:t>
      </w:r>
    </w:p>
    <w:p w14:paraId="1271490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改造蓄水池数量</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新建排气井、排水井数量总计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项目（工程）验收合格率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建筑工程费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其他费用</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预备费用</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改建后渠道年节水量</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工作人员满意度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农【2023】32号关于下达2023年中央财政衔接推进乡村振兴补助资金【直达资金】预算的通知》、《乌财农【2023】11号关于下达2023年市级财政衔接推进乡村振兴补助资金【直达资金】的通知》、《乌财农（2023）27号关于下达2023年自治区财政衔接推进乡村振兴补助资金（第二批）预算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·《关于下达2023年中央财政衔接推进乡村振兴补助资金〔直达资金〕预算的通知》（乌财农〔2023〕32号）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·《关于下达2023年市级财政衔接推进乡村振兴补助资金〔直达资金〕的通知》（乌财农〔2023〕11号）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·《关于下达2023年自治区财政衔接推进乡村振兴补助资金（第二批）预算的通知》（乌财农〔2023〕27号）</w:t>
      </w:r>
    </w:p>
    <w:p w14:paraId="2ED6EC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农【2023】32号关于下达2023年中央财政衔接推进乡村振兴补助资金【直达资金】预算的通知》、《乌财农【2023】11号关于下达2023年市级财政衔接推进乡村振兴补助资金【直达资金】的通知》、《乌财农（2023）27号关于下达2023年自治区财政衔接推进乡村振兴补助资金（第二批）预算的通知》进行客观评价，最终评分结果为：总分为94.36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4.86</w:t>
      </w:r>
      <w:r>
        <w:rPr>
          <w:rStyle w:val="18"/>
          <w:rFonts w:hint="eastAsia" w:ascii="楷体" w:hAnsi="楷体" w:eastAsia="楷体"/>
          <w:b w:val="0"/>
          <w:bCs w:val="0"/>
          <w:spacing w:val="-4"/>
          <w:sz w:val="32"/>
          <w:szCs w:val="32"/>
        </w:rPr>
        <w:tab/>
        <w:t>97.21%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改造蓄水池数量</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新建排气井、排水井数量总计</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项目（工程）验收合格率</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建筑工程费</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3.86</w:t>
      </w:r>
      <w:r>
        <w:rPr>
          <w:rStyle w:val="18"/>
          <w:rFonts w:hint="eastAsia" w:ascii="楷体" w:hAnsi="楷体" w:eastAsia="楷体"/>
          <w:b w:val="0"/>
          <w:bCs w:val="0"/>
          <w:spacing w:val="-4"/>
          <w:sz w:val="32"/>
          <w:szCs w:val="32"/>
        </w:rPr>
        <w:tab/>
        <w:t>96.43%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其他费用</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预备费用</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改建后渠道年节水量</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9.5</w:t>
      </w:r>
      <w:r>
        <w:rPr>
          <w:rStyle w:val="18"/>
          <w:rFonts w:hint="eastAsia" w:ascii="楷体" w:hAnsi="楷体" w:eastAsia="楷体"/>
          <w:b w:val="0"/>
          <w:bCs w:val="0"/>
          <w:spacing w:val="-4"/>
          <w:sz w:val="32"/>
          <w:szCs w:val="32"/>
        </w:rPr>
        <w:tab/>
        <w:t>63.35%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工作人员满意度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该项目资金区财政及时拨付，单位在此次评价期间内，有序完成设定目标的部分工作任务，石人子沟片区葛家沟村 1队3队基本农田灌溉渠道改造提升项目修建7.16km防渗 渠，配套102座节制、分水闸，过路26座；一体化泵站1 座，输水干管1.36km，排水井2座，排气井2座，改建蓄水池1座。本工程的实施可以提高项目区水资源利用率，保证农业灌溉用水，提高农田产量，增加农民收入。工程的建设促进当地农村经济发展，对加快农村水利基础设施建设有着重大的意义。以确保产业园区的正常运转，为发展周边经济，激发区域活力提供强有力的支撑等。</w:t>
      </w:r>
    </w:p>
    <w:p w14:paraId="624FD63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符合《自治区财政衔接推进乡村振兴补助资金项目管理办法（暂行）》（新乡振〔2021〕32号）文件要求，同时，项目与水磨沟区农业农村局（乡村振兴局）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立项程序规范性:项目按照规定的立项程序申请设立，递交的立项申请、资金证明等材料符合相关要求，故立项程序规范，得4分。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包括决策、过程、产出、效益等，可通过数量指标改造蓄水池数量、新建排气井、排水井数量总计、质量指标项目（工程）验收合格率、成本指标建筑工程费、社会效益指标改建后渠道年节水量等予以量化，并具有确切的评价标准，且指标设定均与目标相关。各项指标均能在现实条件下根据项目实际进展情况以及业务人员提供的项目合同、资金支付审批表、发票等档案资料等方式收集到相关数据进行佐证，并与2023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预算资金分别按照我区衔接资金分配方案，按照相关比例将资金分配至水磨沟区农业农村局（乡村振兴局）2023年度衔接项目：石人沟片区葛家沟村1队、3队基本农田灌溉渠道改造提升项目，共计358万元，其中监理费2.56万元，检测费0.9718万元，工程款344.4682万元。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经水发改函〔2023〕13号文件批准，石人沟片区葛家沟村1队、3队基本农田灌溉渠道改造提升项目总投资685万元，其中中央、自治区、市级资金共计358万元，区级资金327万元，按照项目进展用于项目前期费用、工程款等支付。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预算根据《乌财农【2023】32号关于下达2023年中央财政衔接推进乡村振兴补助资金【直达资金】预算的通知》、《乌财农【2023】11号关于下达2023年市级财政衔接推进乡村振兴补助资金【直达资金】的通知》、《乌财农（2023）27号关于下达2023年自治区财政衔接推进乡村振兴补助资金（第二批）预算的通知》下达资金358万元。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根据相关文件精神，2023年度，根据项目实施情况分别用《乌财农【2023】32号关于下达2023年中央财政衔接推进乡村振兴补助资金【直达资金】预算的通知》支付258万元、用《乌财农（2023）27号关于下达2023年自治区财政衔接推进乡村振兴补助资金（第二批）预算的通知》支付90万元，总支付金额为348万元。故预算执行率得分为4.86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综上，该指标满分13分，得分12.86分。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管理制度健全性：水磨沟区农业农村局（乡村振兴局）已制定相应的财务和业务管理制度，且制度合法、合规、完整，为项目顺利实施提供重要保障。故管理制度健全性得分为3分。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水磨沟区农业农村局（乡村振兴局）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项目产出指标由4个二级指标和6个三级指标构成，权重为40分，实际得分20分。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数量指标“改造蓄水池数量”的目标值是1座，2023年度我单位实际完成1座。该指标赋分3分，得分3分，得分率100%。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数量指标“新建排气井、排水井数量总计”的目标值是4座，2023年度我单位实际完成4座。该指标赋分7分，得分7分，得分率100%。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该指标赋分10分，得分10分，得分率100%。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工程验收率：质量指标“工程验收合格”的目标值=100%，2023年度我单位实际完成值=100%。该指标赋分20分，得分20分，得分率100%。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成本指标“建筑费用”的目标值是≤280万元，2023年度我单位实际完成=270万元。该指标赋分4分，得分3.86分，得分率97%。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成本指标“其他费用”的目标值是≤50万元，2023年度我单位实际完成=50万元。该指标赋分3分，得分3分，得分率100%。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成本指标“预备费用”的目标值是≤28万元，2023年度我单位实际完成=28万元。该指标赋分3分，得分3分，得分率100%。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该指标赋分10分，得分9.86分，得分率98.6%。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综上，该部分指标满分40分，得分39.86分，得分率99.65%。</w:t>
      </w:r>
    </w:p>
    <w:p w14:paraId="404219E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社会效益指标：评价指标“改建后渠道年节水量”，指标值：=10.26万m3/年，实际完成值：=6.5万m3/年，未达成年度指标。本项目的实施可以在一定程度上达到节水的目标，有效提高农田灌溉地覆盖面积。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综上，该指标满分15分，得分9.5分，得分率63.33%。</w:t>
      </w:r>
    </w:p>
    <w:p w14:paraId="57FD828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工作人员满意度”，指标值：≥90%，实际完成值：100%。通过设置问卷调查的方式进行考评评价，共计有效调查问卷20份。其中，统计“项目工程总体质量”的平均值为100%。故满意度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14:paraId="3385D9A6">
      <w:pPr>
        <w:spacing w:line="540" w:lineRule="exact"/>
        <w:ind w:firstLine="567"/>
        <w:rPr>
          <w:rStyle w:val="18"/>
          <w:rFonts w:ascii="楷体" w:hAnsi="楷体" w:eastAsia="楷体"/>
          <w:spacing w:val="-4"/>
          <w:sz w:val="32"/>
          <w:szCs w:val="32"/>
        </w:rPr>
      </w:pPr>
    </w:p>
    <w:p w14:paraId="75C28D8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本单位以制度为基准落实预算绩效管理工作。建立“预算编制有目标、预算执行有监控、预算完成有评价、评价结果有应用”的预算绩效管理运行机制，通过加强绩效目标管理、着力推进绩效监控、不断拓宽 评价范围、强化评价结果应用等措施，提升了绩效管理水平;科学设计 评价指标，从预算管理制度、资金流程、业务操作规范三个层面，有力保障绩效管理执行规范与有序推进，夯实绩效管理基础。开展此项目时，从实际出发，及时征求、整理各类的反馈意见建议，按相关流程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1、在项目执行过程中遇到的目标设定较高或者较低，整体规划不够充分，决策科学性不足。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2、项目实施的监督管理力度不够。因工作人员较少，在开展过程中除了不定期去项目现场监督之外，无法做到时时刻刻紧盯项目实施。结合监理部门提供的相应资料掌握进度。</w:t>
      </w:r>
    </w:p>
    <w:p w14:paraId="391BFB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（一）合理整合涉及的整体内容，强化项目立项决策管理，加强部门工作的统筹和战略规划，制定中长期发展规划，确定年度工作安排的合理性。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（二）完善项目管理，进一步提升项目执行的规范、有效性。加大资金支付力度，做到专款专用、专人监督。</w:t>
      </w:r>
    </w:p>
    <w:p w14:paraId="4DE4CB6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ascii="仿宋" w:hAnsi="仿宋" w:eastAsia="仿宋"/>
          <w:b w:val="0"/>
          <w:spacing w:val="-4"/>
          <w:sz w:val="32"/>
          <w:szCs w:val="32"/>
        </w:rPr>
      </w:pPr>
    </w:p>
    <w:p w14:paraId="4DF72206">
      <w:pPr>
        <w:spacing w:line="540" w:lineRule="exact"/>
        <w:ind w:firstLine="567"/>
        <w:rPr>
          <w:rStyle w:val="18"/>
          <w:rFonts w:ascii="仿宋" w:hAnsi="仿宋" w:eastAsia="仿宋"/>
          <w:b w:val="0"/>
          <w:spacing w:val="-4"/>
          <w:sz w:val="32"/>
          <w:szCs w:val="32"/>
        </w:rPr>
      </w:pPr>
    </w:p>
    <w:p w14:paraId="1CE13106">
      <w:pPr>
        <w:spacing w:line="540" w:lineRule="exact"/>
        <w:ind w:firstLine="567"/>
        <w:rPr>
          <w:rStyle w:val="18"/>
          <w:rFonts w:ascii="仿宋" w:hAnsi="仿宋" w:eastAsia="仿宋"/>
          <w:b w:val="0"/>
          <w:spacing w:val="-4"/>
          <w:sz w:val="32"/>
          <w:szCs w:val="32"/>
        </w:rPr>
      </w:pPr>
    </w:p>
    <w:p w14:paraId="06227BCA">
      <w:pPr>
        <w:spacing w:line="540" w:lineRule="exact"/>
        <w:ind w:firstLine="567"/>
        <w:rPr>
          <w:rStyle w:val="18"/>
          <w:rFonts w:ascii="仿宋" w:hAnsi="仿宋" w:eastAsia="仿宋"/>
          <w:b w:val="0"/>
          <w:spacing w:val="-4"/>
          <w:sz w:val="32"/>
          <w:szCs w:val="32"/>
        </w:rPr>
      </w:pPr>
    </w:p>
    <w:p w14:paraId="73F3A83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30E510F"/>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12626</Words>
  <Characters>13440</Characters>
  <Lines>4</Lines>
  <Paragraphs>1</Paragraphs>
  <TotalTime>12</TotalTime>
  <ScaleCrop>false</ScaleCrop>
  <LinksUpToDate>false</LinksUpToDate>
  <CharactersWithSpaces>13671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U</cp:lastModifiedBy>
  <cp:lastPrinted>2018-12-31T10:56:00Z</cp:lastPrinted>
  <dcterms:modified xsi:type="dcterms:W3CDTF">2024-11-16T07:42:57Z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C734C92AAAF24344A0E4232D8EB3359B</vt:lpwstr>
  </property>
</Properties>
</file>