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_GBK" w:hAnsi="方正小标宋_GBK" w:eastAsia="方正小标宋_GBK" w:cs="方正小标宋_GBK"/>
          <w:i w:val="0"/>
          <w:caps w:val="0"/>
          <w:color w:val="2B2B2B"/>
          <w:spacing w:val="0"/>
          <w:sz w:val="36"/>
          <w:szCs w:val="36"/>
          <w:shd w:val="clear" w:fill="FFFFFF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2B2B2B"/>
          <w:spacing w:val="0"/>
          <w:sz w:val="36"/>
          <w:szCs w:val="36"/>
          <w:shd w:val="clear" w:fill="FFFFFF"/>
        </w:rPr>
        <w:t>六十四中学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2B2B2B"/>
          <w:spacing w:val="0"/>
          <w:sz w:val="36"/>
          <w:szCs w:val="36"/>
          <w:shd w:val="clear" w:fill="FFFFFF"/>
        </w:rPr>
        <w:t>2017年度预算公开情况说明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根据自治区财政厅《关于进一步做好自治区预决算信息公开工作的通知》等文件要求，现将我单位预算情况公示如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b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一、部门基本情况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（一）主要职责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我单位为义务教育阶段普通初等学历教育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—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初中教育，实施初中基础教育，促进基础教育发展，执行中小学校会计制度单位，属财政预算全额拨款。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（二）内设机构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内设机构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: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行政办公室，教务处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,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总务处，德育处，教研室，财务室。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（三）人员编制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乌鲁木齐市第六十四中学编制人数71人，全额拨款事业单位人员编制71人。乌鲁木齐市第六十四中学实有在职人数66人，其中：全额拨款事业单位人员编制66人。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b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二、部门年度预算收支情况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（一）一般公共预算收入情况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2017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年我单位一般公共预算收入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1107.67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万元，较上年增加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4.29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%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；主要原因是财政加大对学校的经费投入。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（二）一般预算支出情况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2017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年我单位一般公共预算支出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1107.67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万元，较上年增加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4.29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%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；主要原因是财政加大对学校的经费投入。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其中：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、工资福利支出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611.45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万元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2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、商品服务支出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269.87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万元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3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、对个人和家庭补助支出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226.35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（三）无政府性基金预算收入和支出。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b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三、</w:t>
      </w:r>
      <w:r>
        <w:rPr>
          <w:rFonts w:ascii="color:#2B2B2B;font-size:16pt;" w:hAnsi="color:#2B2B2B;font-size:16pt;" w:eastAsia="color:#2B2B2B;font-size:16pt;" w:cs="color:#2B2B2B;font-size:16pt;"/>
          <w:b/>
          <w:i w:val="0"/>
          <w:caps w:val="0"/>
          <w:color w:val="2B2B2B"/>
          <w:spacing w:val="0"/>
          <w:sz w:val="21"/>
          <w:szCs w:val="21"/>
          <w:bdr w:val="none" w:color="auto" w:sz="0" w:space="0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b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三公</w:t>
      </w:r>
      <w:r>
        <w:rPr>
          <w:rFonts w:hint="default" w:ascii="color:#2B2B2B;font-size:16pt;" w:hAnsi="color:#2B2B2B;font-size:16pt;" w:eastAsia="color:#2B2B2B;font-size:16pt;" w:cs="color:#2B2B2B;font-size:16pt;"/>
          <w:b/>
          <w:i w:val="0"/>
          <w:caps w:val="0"/>
          <w:color w:val="2B2B2B"/>
          <w:spacing w:val="0"/>
          <w:sz w:val="21"/>
          <w:szCs w:val="21"/>
          <w:bdr w:val="none" w:color="auto" w:sz="0" w:space="0"/>
          <w:shd w:val="clear" w:fill="FFFFFF"/>
        </w:rPr>
        <w:t>”</w:t>
      </w:r>
      <w:r>
        <w:rPr>
          <w:rFonts w:hint="default" w:ascii="方正仿宋_GBK" w:hAnsi="方正仿宋_GBK" w:eastAsia="方正仿宋_GBK" w:cs="方正仿宋_GBK"/>
          <w:b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经费支出预算情况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（一）无因国公出国（境）经费预算。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（二）公务接待经费预算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0.65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万元。较上年增加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6.56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%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（三）无公务用车购置及运行维护费预算。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0"/>
        <w:jc w:val="right"/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                               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乌鲁木齐市第六十四中学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0"/>
        <w:jc w:val="righ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                2017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2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10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日</w:t>
      </w:r>
    </w:p>
    <w:p>
      <w:pPr>
        <w:jc w:val="center"/>
        <w:rPr>
          <w:rFonts w:hint="default" w:ascii="方正小标宋_GBK" w:hAnsi="方正小标宋_GBK" w:eastAsia="方正小标宋_GBK" w:cs="方正小标宋_GBK"/>
          <w:i w:val="0"/>
          <w:caps w:val="0"/>
          <w:color w:val="2B2B2B"/>
          <w:spacing w:val="0"/>
          <w:sz w:val="36"/>
          <w:szCs w:val="36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lor:#2B2B2B;font-size:16pt;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C1A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橘子禾装饰小王17690808100</cp:lastModifiedBy>
  <dcterms:modified xsi:type="dcterms:W3CDTF">2018-11-22T04:23:45Z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