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消化2022年暂付款项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乌鲁木齐市水磨沟区财政局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乌鲁木齐市水磨沟区财政局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白生荣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2024年05月08日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一、基本情况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按照项目绩效评价要求，选取资金支出占比超过20%项目，按全口径部门支出决算金额计算，消化2022年暂付款项目资金占支出99.96%，因此选择该项目做绩效评价。该项目包含4个子项目，均于2022年完成，资金支付做往来账处理，2023年按区财政局《关于消化2022年新增暂付性款项的通知》要求，将该款项做账务处理列入当年收支，项目明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序号</w:t>
      </w:r>
      <w:r>
        <w:rPr>
          <w:rStyle w:val="18"/>
          <w:rFonts w:hint="eastAsia" w:ascii="楷体" w:hAnsi="楷体" w:eastAsia="楷体"/>
          <w:b w:val="0"/>
          <w:bCs w:val="0"/>
          <w:spacing w:val="-4"/>
          <w:sz w:val="32"/>
          <w:szCs w:val="32"/>
        </w:rPr>
        <w:tab/>
        <w:t>项目编码</w:t>
      </w:r>
      <w:r>
        <w:rPr>
          <w:rStyle w:val="18"/>
          <w:rFonts w:hint="eastAsia" w:ascii="楷体" w:hAnsi="楷体" w:eastAsia="楷体"/>
          <w:b w:val="0"/>
          <w:bCs w:val="0"/>
          <w:spacing w:val="-4"/>
          <w:sz w:val="32"/>
          <w:szCs w:val="32"/>
        </w:rPr>
        <w:tab/>
        <w:t>项目名称</w:t>
      </w:r>
      <w:r>
        <w:rPr>
          <w:rStyle w:val="18"/>
          <w:rFonts w:hint="eastAsia" w:ascii="楷体" w:hAnsi="楷体" w:eastAsia="楷体"/>
          <w:b w:val="0"/>
          <w:bCs w:val="0"/>
          <w:spacing w:val="-4"/>
          <w:sz w:val="32"/>
          <w:szCs w:val="32"/>
        </w:rPr>
        <w:tab/>
        <w:t>金额（万元）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w:t>
      </w:r>
      <w:r>
        <w:rPr>
          <w:rStyle w:val="18"/>
          <w:rFonts w:hint="eastAsia" w:ascii="楷体" w:hAnsi="楷体" w:eastAsia="楷体"/>
          <w:b w:val="0"/>
          <w:bCs w:val="0"/>
          <w:spacing w:val="-4"/>
          <w:sz w:val="32"/>
          <w:szCs w:val="32"/>
        </w:rPr>
        <w:tab/>
        <w:t>65010522P000095101878</w:t>
      </w:r>
      <w:r>
        <w:rPr>
          <w:rStyle w:val="18"/>
          <w:rFonts w:hint="eastAsia" w:ascii="楷体" w:hAnsi="楷体" w:eastAsia="楷体"/>
          <w:b w:val="0"/>
          <w:bCs w:val="0"/>
          <w:spacing w:val="-4"/>
          <w:sz w:val="32"/>
          <w:szCs w:val="32"/>
        </w:rPr>
        <w:tab/>
        <w:t>监管企业补贴（区国有资产管理委员会办公室）</w:t>
      </w:r>
      <w:r>
        <w:rPr>
          <w:rStyle w:val="18"/>
          <w:rFonts w:hint="eastAsia" w:ascii="楷体" w:hAnsi="楷体" w:eastAsia="楷体"/>
          <w:b w:val="0"/>
          <w:bCs w:val="0"/>
          <w:spacing w:val="-4"/>
          <w:sz w:val="32"/>
          <w:szCs w:val="32"/>
        </w:rPr>
        <w:tab/>
        <w:t>6000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w:t>
      </w:r>
      <w:r>
        <w:rPr>
          <w:rStyle w:val="18"/>
          <w:rFonts w:hint="eastAsia" w:ascii="楷体" w:hAnsi="楷体" w:eastAsia="楷体"/>
          <w:b w:val="0"/>
          <w:bCs w:val="0"/>
          <w:spacing w:val="-4"/>
          <w:sz w:val="32"/>
          <w:szCs w:val="32"/>
        </w:rPr>
        <w:tab/>
        <w:t>65010522P00005110002A</w:t>
      </w:r>
      <w:r>
        <w:rPr>
          <w:rStyle w:val="18"/>
          <w:rFonts w:hint="eastAsia" w:ascii="楷体" w:hAnsi="楷体" w:eastAsia="楷体"/>
          <w:b w:val="0"/>
          <w:bCs w:val="0"/>
          <w:spacing w:val="-4"/>
          <w:sz w:val="32"/>
          <w:szCs w:val="32"/>
        </w:rPr>
        <w:tab/>
        <w:t>财政业务及购买服务</w:t>
      </w:r>
      <w:r>
        <w:rPr>
          <w:rStyle w:val="18"/>
          <w:rFonts w:hint="eastAsia" w:ascii="楷体" w:hAnsi="楷体" w:eastAsia="楷体"/>
          <w:b w:val="0"/>
          <w:bCs w:val="0"/>
          <w:spacing w:val="-4"/>
          <w:sz w:val="32"/>
          <w:szCs w:val="32"/>
        </w:rPr>
        <w:tab/>
        <w:t>118.77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rPr>
        <w:tab/>
        <w:t>65010522P00002110009X</w:t>
      </w:r>
      <w:r>
        <w:rPr>
          <w:rStyle w:val="18"/>
          <w:rFonts w:hint="eastAsia" w:ascii="楷体" w:hAnsi="楷体" w:eastAsia="楷体"/>
          <w:b w:val="0"/>
          <w:bCs w:val="0"/>
          <w:spacing w:val="-4"/>
          <w:sz w:val="32"/>
          <w:szCs w:val="32"/>
        </w:rPr>
        <w:tab/>
        <w:t>代理记账经费</w:t>
      </w:r>
      <w:r>
        <w:rPr>
          <w:rStyle w:val="18"/>
          <w:rFonts w:hint="eastAsia" w:ascii="楷体" w:hAnsi="楷体" w:eastAsia="楷体"/>
          <w:b w:val="0"/>
          <w:bCs w:val="0"/>
          <w:spacing w:val="-4"/>
          <w:sz w:val="32"/>
          <w:szCs w:val="32"/>
        </w:rPr>
        <w:tab/>
        <w:t>120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w:t>
      </w:r>
      <w:r>
        <w:rPr>
          <w:rStyle w:val="18"/>
          <w:rFonts w:hint="eastAsia" w:ascii="楷体" w:hAnsi="楷体" w:eastAsia="楷体"/>
          <w:b w:val="0"/>
          <w:bCs w:val="0"/>
          <w:spacing w:val="-4"/>
          <w:sz w:val="32"/>
          <w:szCs w:val="32"/>
        </w:rPr>
        <w:tab/>
        <w:t>65010522D408938CEEBA8</w:t>
      </w:r>
      <w:r>
        <w:rPr>
          <w:rStyle w:val="18"/>
          <w:rFonts w:hint="eastAsia" w:ascii="楷体" w:hAnsi="楷体" w:eastAsia="楷体"/>
          <w:b w:val="0"/>
          <w:bCs w:val="0"/>
          <w:spacing w:val="-4"/>
          <w:sz w:val="32"/>
          <w:szCs w:val="32"/>
        </w:rPr>
        <w:tab/>
        <w:t>运转类公用经费项目</w:t>
      </w:r>
      <w:r>
        <w:rPr>
          <w:rStyle w:val="18"/>
          <w:rFonts w:hint="eastAsia" w:ascii="楷体" w:hAnsi="楷体" w:eastAsia="楷体"/>
          <w:b w:val="0"/>
          <w:bCs w:val="0"/>
          <w:spacing w:val="-4"/>
          <w:sz w:val="32"/>
          <w:szCs w:val="32"/>
        </w:rPr>
        <w:tab/>
        <w:t>217.71</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合计</w:t>
      </w:r>
      <w:r>
        <w:rPr>
          <w:rStyle w:val="18"/>
          <w:rFonts w:hint="eastAsia" w:ascii="楷体" w:hAnsi="楷体" w:eastAsia="楷体"/>
          <w:b w:val="0"/>
          <w:bCs w:val="0"/>
          <w:spacing w:val="-4"/>
          <w:sz w:val="32"/>
          <w:szCs w:val="32"/>
        </w:rPr>
        <w:tab/>
        <w:t>6456.48</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表1 消化2022年暂付款项目明细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的主要实施内容：①监管企业补贴（区国有资产管理委员会办公室），为帮助企业纾困，为企业解决经营资金现金流困难，用于创博集团租赁军民融合基地、万科翼写字楼、智谷产业园及馕产业园的商户进行租金、物业费等资金减免及融资利息补贴;②财政业务及购买服务，用于购买一体化2.0系统、政采云系统服务费、软件跟换及购买服务、绩效等财政业务服务；③代理记账经费，为保障水区45家预算单位提供统一的代理记账业务，用于支付代理记账费用；④运转类公用经费项目，用于临聘人员经费，为推进工作创新、提升履职实效，支付临时聘用人员工资、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项目实际完成情况为：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贯彻落实各级政府助企纾困政策措施，出资创博公司对租赁军民融合基地、万科翼写字楼、智谷产业园及馕产业园的商户进行租金、物业费等资金减免及融资利息补贴，带动中小微企业创业及就业做出突出贡献。为减轻乌鲁木齐创博国有资产投资经营有限公司（以下简称创博公司）资金压力，实现企业良性运转。②财政业务及购买服务，在时间上做好安排计划并落实到具体工作中，积极稳妥，有序实施，从实际出发，准确把握社会公共服务需求，充分发挥政府主导作用，探索多种有效方式，加大社会组织承接政府购买服务支持力度。③为水区45加预算单位提供统一的代理记账服务，加强原始凭证管理，保证账证相符，账实相符，账表相符等。④运转类公用经费项目，临聘人员经费，及时准确向劳务派遣公司支付了临时聘用人员工资、社保，提升履职实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投入情况：经水财发【2023】45号《关于下达2023年水磨沟区部门预算的通知》、《2023年部分非定额说明》批准，项目系2023年本级资金，共安排预算6456.48万元，于2023年年初部分预算批复项目，年中无资金调整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年初共安排预算6456.48万元，执行3406.01万元，预算执行率100%；其中：财政业务及购买服务投入118.77万元，执行118.77万元，预算执行率100%、代理记账经费投入120万元，执行120万元，预算执行率100%、监管企业补贴投入6000万元，执行6000万元，预算执行率100%、劳务费投入217.71万元，执行217.71万元，预算执行率100%。</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印发&lt;自治区项目支出绩效目标设置指引&gt;的通知》（新财预〔2022〕42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监管企业补贴（区国有资产管理委员会办公室），用于创博集团租赁军民融合基地、万科翼写字楼、智谷产业园及馕产业园的商户进行租金、物业费等资金减免及融资利息补贴，有效减轻创博公司资金压力，实现企业良性运转;②财政业务及购买服务，用于购买一体化2.0系统、政采云系统服务费、软件跟换及购买服务、绩效等财政业务服务；③代理记账经费，为保障水区45家预算单位提供统一的代理记账业务，用于支付代理记账费用；④运转类公用经费项目，用于临聘人员经费，为推进工作创新、提升履职实效，支付临时聘用人员工资、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阶段性目标为：①监管企业补贴（区国有资产管理委员会办公室），用于创博集团租赁军民融合基地、万科翼写字楼、智谷产业园及馕产业园的商户进行租金、物业费等资金减免及融资利息补贴，有效减轻创博公司资金压力，实现企业良性运转;②财政业务及购买服务，用于购买一体化2.0系统、政采云系统服务费、软件跟换及购买服务、绩效等财政业务服务；③代理记账经费，为保障水区45家预算单位提供统一的代理记账业务，用于支付代理记账费用；④运转类公用经费项目，用于临聘人员经费，为推进工作创新、提升履职实效，支付临时聘用人员工资、社保。</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二、绩效评价工作开展情况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对预算资金的功能进行梳理，包括资金性质、支持范围、实施内容、工作任务、收益对象等，明确聘用人员经费项目的功能特性，确定预算执行能够取得直接产出成果有哪些，进而确定产出数量指标，补助发放企业数1家，购买服务数不少于1个，临聘人员数17人，代理记账服务预算单位数45家；其次逐项对照上级下达的任务要求、工作计划设定值、行业标准值、预算相应匹配值等，合理选择产出质量指标，经费支付准确率100%；然后将预算执行的各项工作进行分解，确定各项工作的完成时限，确定产出时效指标项目完成及时率100%；再根据预算资金和已设立的产出数量指标，通过成本分析确定产出成本指标项目预算控制率100%；效益指标有效提升单位工作效率。最后根据项目实施产生的影响确定社会效益指标有效保障企业房租补贴、企业利息补贴。能够通过绩效评价指标体系完整地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我局根据岗位需求聘用工作人员，并严格按照考勤管理制度和工作成效按月为聘用人员发放工资和缴纳社保公积金；根据2022年区委财经会第12次会议决议安排经费有效保障企业房租补贴、企业利息补贴；依据《中华人民共和国政府采购法实施条例》按规定购买财政业务服务及代理记账服务。按照该项目中涉及内容均于2022年完成，资金支付做往来账处理，2023年按区财政局《关于消化2022年新增暂付性款项的通知》要求，将该款项做账务处理列入当年收支，项目的进展情况和完成率保持一致，与项目年度计划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评价数据资料来源于项目项目档案中项合同等项目资料；从会计档案中收集资金支付相关凭证；从补贴资企业收集调查问卷等资料，评价数据的来源、采集方式合法合规，确保了数据的准确性和完整性。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消化2022年暂付款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（1）绩效评价的对象：消化2022年暂付款项项目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包含4个子项目，均于2022年完成，资金支付做往来账处理，2023年按区财政局《关于消化2022年新增暂付性款项的通知》要求，将该款项做账务处理列入当年收支。①监管企业补贴（区国有资产管理委员会办公室），用于创博集团租赁军民融合基地、万科翼写字楼、智谷产业园及馕产业园的商户进行租金、物业费等资金减免及融资利息补贴，有效减轻创博公司资金压力，实现企业良性运转;②财政业务及购买服务，用于购买一体化2.0系统、政采云系统服务费、软件跟换及购买服务、绩效等财政业务服务；③代理记账经费，为保障水区45家预算单位提供统一的代理记账业务，用于支付代理记账费用；④运转类公用经费项目，用于临聘人员经费，为推进工作创新、提升履职实效，支付临时聘用人员工资、社保。</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工作开展情况，首先根据本项目的特点、资金使用情况以及绩效目标要求，提出细化的评价指标，制定绩效评价工作方案，其次对项目的绩效评价基础资料进行收集、分类整理，对收集的绩效评价资料进行书面审查核实，对重点对项目立项、绩效目标、资金投入情况，项目资金管理、组织实施情况及项目产出数量、质量、时效、成本情况等情况进行核实，在此基础上运用相关的指标和标准，对资金的使用效果进行对比分析，对项目和资金使用的社会效益进行全面的评价，最后按照项目评价的要求，撰写项目支出绩效评价报告，报告包括:基本情况、绩效评价工作开展情况、综合评价情况及评价结论、绩效评价指标分析、主要经验及做法、存在的问题及原因分析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指标解释</w:t>
      </w:r>
      <w:r>
        <w:rPr>
          <w:rStyle w:val="18"/>
          <w:rFonts w:hint="eastAsia" w:ascii="楷体" w:hAnsi="楷体" w:eastAsia="楷体"/>
          <w:b w:val="0"/>
          <w:bCs w:val="0"/>
          <w:spacing w:val="-4"/>
          <w:sz w:val="32"/>
          <w:szCs w:val="32"/>
        </w:rPr>
        <w:tab/>
        <w:t>指标说明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w:t>
      </w:r>
      <w:r>
        <w:rPr>
          <w:rStyle w:val="18"/>
          <w:rFonts w:hint="eastAsia" w:ascii="楷体" w:hAnsi="楷体" w:eastAsia="楷体"/>
          <w:b w:val="0"/>
          <w:bCs w:val="0"/>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w:t>
      </w:r>
      <w:r>
        <w:rPr>
          <w:rStyle w:val="18"/>
          <w:rFonts w:hint="eastAsia" w:ascii="楷体" w:hAnsi="楷体" w:eastAsia="楷体"/>
          <w:b w:val="0"/>
          <w:bCs w:val="0"/>
          <w:spacing w:val="-4"/>
          <w:sz w:val="32"/>
          <w:szCs w:val="32"/>
        </w:rPr>
        <w:tab/>
        <w:t>项目申请、设立过程是否符合相关要求，用以反映和考核项目立项的规范情况。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w:t>
      </w:r>
      <w:r>
        <w:rPr>
          <w:rStyle w:val="18"/>
          <w:rFonts w:hint="eastAsia" w:ascii="楷体" w:hAnsi="楷体" w:eastAsia="楷体"/>
          <w:b w:val="0"/>
          <w:bCs w:val="0"/>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w:t>
      </w:r>
      <w:r>
        <w:rPr>
          <w:rStyle w:val="18"/>
          <w:rFonts w:hint="eastAsia" w:ascii="楷体" w:hAnsi="楷体" w:eastAsia="楷体"/>
          <w:b w:val="0"/>
          <w:bCs w:val="0"/>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w:t>
      </w:r>
      <w:r>
        <w:rPr>
          <w:rStyle w:val="18"/>
          <w:rFonts w:hint="eastAsia" w:ascii="楷体" w:hAnsi="楷体" w:eastAsia="楷体"/>
          <w:b w:val="0"/>
          <w:bCs w:val="0"/>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spacing w:val="-4"/>
          <w:sz w:val="32"/>
          <w:szCs w:val="32"/>
        </w:rPr>
        <w:tab/>
        <w:t>资金到位率=（实际到位资金/预算资金）×100%。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项目预算资金是否按照计划执行，用以反映或考核项目预算执行情况。</w:t>
      </w:r>
      <w:r>
        <w:rPr>
          <w:rStyle w:val="18"/>
          <w:rFonts w:hint="eastAsia" w:ascii="楷体" w:hAnsi="楷体" w:eastAsia="楷体"/>
          <w:b w:val="0"/>
          <w:bCs w:val="0"/>
          <w:spacing w:val="-4"/>
          <w:sz w:val="32"/>
          <w:szCs w:val="32"/>
        </w:rPr>
        <w:tab/>
        <w:t>预算执行率=（实际支出资金/实际到位资金）×100%。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w:t>
      </w:r>
      <w:r>
        <w:rPr>
          <w:rStyle w:val="18"/>
          <w:rFonts w:hint="eastAsia" w:ascii="楷体" w:hAnsi="楷体" w:eastAsia="楷体"/>
          <w:b w:val="0"/>
          <w:bCs w:val="0"/>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w:t>
      </w:r>
      <w:r>
        <w:rPr>
          <w:rStyle w:val="18"/>
          <w:rFonts w:hint="eastAsia" w:ascii="楷体" w:hAnsi="楷体" w:eastAsia="楷体"/>
          <w:b w:val="0"/>
          <w:bCs w:val="0"/>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w:t>
      </w:r>
      <w:r>
        <w:rPr>
          <w:rStyle w:val="18"/>
          <w:rFonts w:hint="eastAsia" w:ascii="楷体" w:hAnsi="楷体" w:eastAsia="楷体"/>
          <w:b w:val="0"/>
          <w:bCs w:val="0"/>
          <w:spacing w:val="-4"/>
          <w:sz w:val="32"/>
          <w:szCs w:val="32"/>
        </w:rPr>
        <w:tab/>
        <w:t>项目实施是否符合相关管理规定，用以反映和考核相关管理制度的有效执行情况。</w:t>
      </w:r>
      <w:r>
        <w:rPr>
          <w:rStyle w:val="18"/>
          <w:rFonts w:hint="eastAsia" w:ascii="楷体" w:hAnsi="楷体" w:eastAsia="楷体"/>
          <w:b w:val="0"/>
          <w:bCs w:val="0"/>
          <w:spacing w:val="-4"/>
          <w:sz w:val="32"/>
          <w:szCs w:val="32"/>
        </w:rPr>
        <w:tab/>
        <w:t>评价要点：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补助发放企业数</w:t>
      </w:r>
      <w:r>
        <w:rPr>
          <w:rStyle w:val="18"/>
          <w:rFonts w:hint="eastAsia" w:ascii="楷体" w:hAnsi="楷体" w:eastAsia="楷体"/>
          <w:b w:val="0"/>
          <w:bCs w:val="0"/>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spacing w:val="-4"/>
          <w:sz w:val="32"/>
          <w:szCs w:val="32"/>
        </w:rPr>
        <w:tab/>
        <w:t>实际完成率=（实际产出数/计划产出数）×100%。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购买服务数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代理记账服务预算单位数</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经费支付准确率</w:t>
      </w:r>
      <w:r>
        <w:rPr>
          <w:rStyle w:val="18"/>
          <w:rFonts w:hint="eastAsia" w:ascii="楷体" w:hAnsi="楷体" w:eastAsia="楷体"/>
          <w:b w:val="0"/>
          <w:bCs w:val="0"/>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spacing w:val="-4"/>
          <w:sz w:val="32"/>
          <w:szCs w:val="32"/>
        </w:rPr>
        <w:tab/>
        <w:t>质量达标率=（质量达标产出数/实际产出数）×100%。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项目完成度</w:t>
      </w:r>
      <w:r>
        <w:rPr>
          <w:rStyle w:val="18"/>
          <w:rFonts w:hint="eastAsia" w:ascii="楷体" w:hAnsi="楷体" w:eastAsia="楷体"/>
          <w:b w:val="0"/>
          <w:bCs w:val="0"/>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spacing w:val="-4"/>
          <w:sz w:val="32"/>
          <w:szCs w:val="32"/>
        </w:rPr>
        <w:tab/>
        <w:t>实际完成时间：项目实施单位完成该项目实际所耗用的时间。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spacing w:val="-4"/>
          <w:sz w:val="32"/>
          <w:szCs w:val="32"/>
        </w:rPr>
        <w:tab/>
        <w:t>成本节约率=[（计划成本-实际成本）/计划成本]×100%。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企业房租补贴、企业利息补贴</w:t>
      </w:r>
      <w:r>
        <w:rPr>
          <w:rStyle w:val="18"/>
          <w:rFonts w:hint="eastAsia" w:ascii="楷体" w:hAnsi="楷体" w:eastAsia="楷体"/>
          <w:b w:val="0"/>
          <w:bCs w:val="0"/>
          <w:spacing w:val="-4"/>
          <w:sz w:val="32"/>
          <w:szCs w:val="32"/>
        </w:rPr>
        <w:tab/>
        <w:t>项目实施所产生的效益。</w:t>
      </w:r>
      <w:r>
        <w:rPr>
          <w:rStyle w:val="18"/>
          <w:rFonts w:hint="eastAsia" w:ascii="楷体" w:hAnsi="楷体" w:eastAsia="楷体"/>
          <w:b w:val="0"/>
          <w:bCs w:val="0"/>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根据本项目消化2022年暂付款项的特点，本次评价主要采用比较法和公众评判法，对项目总预算和明细预算的内容、标准、计划是否经济合理进行深入分析，以考察实际产出和效益是否达到预期。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水财发【2023】45号《关于下达2023年水磨沟区部门预算的通知》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·《2023年部分非定额说明》</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·《关于申请监管企业补贴的请示》（水国办发〔2022〕16号）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·《2022年区委财经委员会第12次会议机要》（水党财纪〔2022〕12号）</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三、综合评价情况及评价结论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消化2022年暂付款项目进行客观评价，最终评分结果为：总分为100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w:t>
      </w:r>
      <w:r>
        <w:rPr>
          <w:rStyle w:val="18"/>
          <w:rFonts w:hint="eastAsia" w:ascii="楷体" w:hAnsi="楷体" w:eastAsia="楷体"/>
          <w:b w:val="0"/>
          <w:bCs w:val="0"/>
          <w:spacing w:val="-4"/>
          <w:sz w:val="32"/>
          <w:szCs w:val="32"/>
        </w:rPr>
        <w:tab/>
        <w:t>二级指标</w:t>
      </w:r>
      <w:r>
        <w:rPr>
          <w:rStyle w:val="18"/>
          <w:rFonts w:hint="eastAsia" w:ascii="楷体" w:hAnsi="楷体" w:eastAsia="楷体"/>
          <w:b w:val="0"/>
          <w:bCs w:val="0"/>
          <w:spacing w:val="-4"/>
          <w:sz w:val="32"/>
          <w:szCs w:val="32"/>
        </w:rPr>
        <w:tab/>
        <w:t>三级指标</w:t>
      </w:r>
      <w:r>
        <w:rPr>
          <w:rStyle w:val="18"/>
          <w:rFonts w:hint="eastAsia" w:ascii="楷体" w:hAnsi="楷体" w:eastAsia="楷体"/>
          <w:b w:val="0"/>
          <w:bCs w:val="0"/>
          <w:spacing w:val="-4"/>
          <w:sz w:val="32"/>
          <w:szCs w:val="32"/>
        </w:rPr>
        <w:tab/>
        <w:t>分值</w:t>
      </w:r>
      <w:r>
        <w:rPr>
          <w:rStyle w:val="18"/>
          <w:rFonts w:hint="eastAsia" w:ascii="楷体" w:hAnsi="楷体" w:eastAsia="楷体"/>
          <w:b w:val="0"/>
          <w:bCs w:val="0"/>
          <w:spacing w:val="-4"/>
          <w:sz w:val="32"/>
          <w:szCs w:val="32"/>
        </w:rPr>
        <w:tab/>
        <w:t>得分</w:t>
      </w:r>
      <w:r>
        <w:rPr>
          <w:rStyle w:val="18"/>
          <w:rFonts w:hint="eastAsia" w:ascii="楷体" w:hAnsi="楷体" w:eastAsia="楷体"/>
          <w:b w:val="0"/>
          <w:bCs w:val="0"/>
          <w:spacing w:val="-4"/>
          <w:sz w:val="32"/>
          <w:szCs w:val="32"/>
        </w:rPr>
        <w:tab/>
        <w:t>得分率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w:t>
      </w:r>
      <w:r>
        <w:rPr>
          <w:rStyle w:val="18"/>
          <w:rFonts w:hint="eastAsia" w:ascii="楷体" w:hAnsi="楷体" w:eastAsia="楷体"/>
          <w:b w:val="0"/>
          <w:bCs w:val="0"/>
          <w:spacing w:val="-4"/>
          <w:sz w:val="32"/>
          <w:szCs w:val="32"/>
        </w:rPr>
        <w:tab/>
        <w:t>项目立项</w:t>
      </w:r>
      <w:r>
        <w:rPr>
          <w:rStyle w:val="18"/>
          <w:rFonts w:hint="eastAsia" w:ascii="楷体" w:hAnsi="楷体" w:eastAsia="楷体"/>
          <w:b w:val="0"/>
          <w:bCs w:val="0"/>
          <w:spacing w:val="-4"/>
          <w:sz w:val="32"/>
          <w:szCs w:val="32"/>
        </w:rPr>
        <w:tab/>
        <w:t>立项依据充分性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立项程序规范性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绩效目标</w:t>
      </w:r>
      <w:r>
        <w:rPr>
          <w:rStyle w:val="18"/>
          <w:rFonts w:hint="eastAsia" w:ascii="楷体" w:hAnsi="楷体" w:eastAsia="楷体"/>
          <w:b w:val="0"/>
          <w:bCs w:val="0"/>
          <w:spacing w:val="-4"/>
          <w:sz w:val="32"/>
          <w:szCs w:val="32"/>
        </w:rPr>
        <w:tab/>
        <w:t>绩效目标合理性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绩效指标明确性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资金投入</w:t>
      </w:r>
      <w:r>
        <w:rPr>
          <w:rStyle w:val="18"/>
          <w:rFonts w:hint="eastAsia" w:ascii="楷体" w:hAnsi="楷体" w:eastAsia="楷体"/>
          <w:b w:val="0"/>
          <w:bCs w:val="0"/>
          <w:spacing w:val="-4"/>
          <w:sz w:val="32"/>
          <w:szCs w:val="32"/>
        </w:rPr>
        <w:tab/>
        <w:t>预算编制科学性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资金分配合理性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w:t>
      </w:r>
      <w:r>
        <w:rPr>
          <w:rStyle w:val="18"/>
          <w:rFonts w:hint="eastAsia" w:ascii="楷体" w:hAnsi="楷体" w:eastAsia="楷体"/>
          <w:b w:val="0"/>
          <w:bCs w:val="0"/>
          <w:spacing w:val="-4"/>
          <w:sz w:val="32"/>
          <w:szCs w:val="32"/>
        </w:rPr>
        <w:tab/>
        <w:t>资金管理</w:t>
      </w:r>
      <w:r>
        <w:rPr>
          <w:rStyle w:val="18"/>
          <w:rFonts w:hint="eastAsia" w:ascii="楷体" w:hAnsi="楷体" w:eastAsia="楷体"/>
          <w:b w:val="0"/>
          <w:bCs w:val="0"/>
          <w:spacing w:val="-4"/>
          <w:sz w:val="32"/>
          <w:szCs w:val="32"/>
        </w:rPr>
        <w:tab/>
        <w:t>资金到位率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预算执行率</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资金使用合规性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组织实施</w:t>
      </w:r>
      <w:r>
        <w:rPr>
          <w:rStyle w:val="18"/>
          <w:rFonts w:hint="eastAsia" w:ascii="楷体" w:hAnsi="楷体" w:eastAsia="楷体"/>
          <w:b w:val="0"/>
          <w:bCs w:val="0"/>
          <w:spacing w:val="-4"/>
          <w:sz w:val="32"/>
          <w:szCs w:val="32"/>
        </w:rPr>
        <w:tab/>
        <w:t>管理制度健全性</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制度执行有效性</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w:t>
      </w:r>
      <w:r>
        <w:rPr>
          <w:rStyle w:val="18"/>
          <w:rFonts w:hint="eastAsia" w:ascii="楷体" w:hAnsi="楷体" w:eastAsia="楷体"/>
          <w:b w:val="0"/>
          <w:bCs w:val="0"/>
          <w:spacing w:val="-4"/>
          <w:sz w:val="32"/>
          <w:szCs w:val="32"/>
        </w:rPr>
        <w:tab/>
        <w:t>产出数量</w:t>
      </w:r>
      <w:r>
        <w:rPr>
          <w:rStyle w:val="18"/>
          <w:rFonts w:hint="eastAsia" w:ascii="楷体" w:hAnsi="楷体" w:eastAsia="楷体"/>
          <w:b w:val="0"/>
          <w:bCs w:val="0"/>
          <w:spacing w:val="-4"/>
          <w:sz w:val="32"/>
          <w:szCs w:val="32"/>
        </w:rPr>
        <w:tab/>
        <w:t>补助发放企业数</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3</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购买服务数</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临聘人员数</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tab/>
        <w:t>代理记账服务预算单位数</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4</w:t>
      </w:r>
      <w:r>
        <w:rPr>
          <w:rStyle w:val="18"/>
          <w:rFonts w:hint="eastAsia" w:ascii="楷体" w:hAnsi="楷体" w:eastAsia="楷体"/>
          <w:b w:val="0"/>
          <w:bCs w:val="0"/>
          <w:spacing w:val="-4"/>
          <w:sz w:val="32"/>
          <w:szCs w:val="32"/>
        </w:rPr>
        <w:tab/>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产出质量</w:t>
      </w:r>
      <w:r>
        <w:rPr>
          <w:rStyle w:val="18"/>
          <w:rFonts w:hint="eastAsia" w:ascii="楷体" w:hAnsi="楷体" w:eastAsia="楷体"/>
          <w:b w:val="0"/>
          <w:bCs w:val="0"/>
          <w:spacing w:val="-4"/>
          <w:sz w:val="32"/>
          <w:szCs w:val="32"/>
        </w:rPr>
        <w:tab/>
        <w:t>经费支付准确率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产出时效</w:t>
      </w:r>
      <w:r>
        <w:rPr>
          <w:rStyle w:val="18"/>
          <w:rFonts w:hint="eastAsia" w:ascii="楷体" w:hAnsi="楷体" w:eastAsia="楷体"/>
          <w:b w:val="0"/>
          <w:bCs w:val="0"/>
          <w:spacing w:val="-4"/>
          <w:sz w:val="32"/>
          <w:szCs w:val="32"/>
        </w:rPr>
        <w:tab/>
        <w:t>项目完成度</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ab/>
        <w:t>产出成本</w:t>
      </w:r>
      <w:r>
        <w:rPr>
          <w:rStyle w:val="18"/>
          <w:rFonts w:hint="eastAsia" w:ascii="楷体" w:hAnsi="楷体" w:eastAsia="楷体"/>
          <w:b w:val="0"/>
          <w:bCs w:val="0"/>
          <w:spacing w:val="-4"/>
          <w:sz w:val="32"/>
          <w:szCs w:val="32"/>
        </w:rPr>
        <w:tab/>
        <w:t>项目预算控制率</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w:t>
      </w:r>
      <w:r>
        <w:rPr>
          <w:rStyle w:val="18"/>
          <w:rFonts w:hint="eastAsia" w:ascii="楷体" w:hAnsi="楷体" w:eastAsia="楷体"/>
          <w:b w:val="0"/>
          <w:bCs w:val="0"/>
          <w:spacing w:val="-4"/>
          <w:sz w:val="32"/>
          <w:szCs w:val="32"/>
        </w:rPr>
        <w:tab/>
        <w:t>社会效益指标</w:t>
      </w:r>
      <w:r>
        <w:rPr>
          <w:rStyle w:val="18"/>
          <w:rFonts w:hint="eastAsia" w:ascii="楷体" w:hAnsi="楷体" w:eastAsia="楷体"/>
          <w:b w:val="0"/>
          <w:bCs w:val="0"/>
          <w:spacing w:val="-4"/>
          <w:sz w:val="32"/>
          <w:szCs w:val="32"/>
        </w:rPr>
        <w:tab/>
        <w:t>企业房租补贴、企业利息补贴</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15</w:t>
      </w:r>
      <w:r>
        <w:rPr>
          <w:rStyle w:val="18"/>
          <w:rFonts w:hint="eastAsia" w:ascii="楷体" w:hAnsi="楷体" w:eastAsia="楷体"/>
          <w:b w:val="0"/>
          <w:bCs w:val="0"/>
          <w:spacing w:val="-4"/>
          <w:sz w:val="32"/>
          <w:szCs w:val="32"/>
        </w:rPr>
        <w:tab/>
        <w:t>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有序完成设定目标的部分工作任务，①监管企业补贴，按照2022年区委财经委员会第12次会议决议安排监管企业补贴（区国有资产管理委员会办公室）经费，用于创博集团租赁军民融合基地、万科翼写字楼、智谷产业园及馕产业园的商户进行租金、物业费等资金减免及融资利息补贴，有效减轻创博公司资金压力，实现企业良性运转；②财政业务及购买服务，按照《中华人民共和国政府采购法实施条例》购买财政业务及购买服务，用于购买一体化2.0系统、政采云系统服务费、软件跟换及购买服务、绩效等财政业务服务；③代理记账经费，按照《中华人民共和国政府采购法实施条例》购买代理记账服务，保障水区45家预算单位提供统一的代理记账业务，支付代理记账费用；④运转类公用经费项目，用于临聘人员经费，及时准确向劳务派遣公司支付了临时聘用人员工资、社保，提升履职实效。</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四、绩效评价指标分析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项目决算指标由3个二级指标和6个三级指标构成，权重为20分，实际得分20分。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中华人民共和国政府采购法》、《中华人民共和国招标投标法》、《中华人民共和国民法典》等国家法律法规、政策要求及水党财纪〔2022〕12号《2022年区委财经委员会第12次会议纪要》等市级、区级的相关规定。同时，项目与本部门“负责制定全区政府采购制度并监督管理工作”、“研究拟订政府向社会力  量购买服务的政策措施和管理办法并组织实施工作”、“管理全区财政统一发放工资津贴工作”等职责范围相符，属于部门履职所需。此外，本项目属于公共财政支持范围，符合中央、地方事权支出责任划分原则。因此，立项依据充分，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依据《2022年区委财经委员会第12次会议纪要》、《中华人民共和国政府采购法实施条例》和规定的项目管理程序申请设立实施。按照2022年区委财经委员会第12次会议决议安排监管企业补贴（区国有资产管理委员会办公室）经费，根据严格按照采购法实行采购服务流程，支付服务费用及代理记账费用，按照水区人社局核定聘用岗位、人数雇佣临聘人员，发放工资。审批文件、材料符合相关要求，故立项程序规范，得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本项目绩效目标与实际工作内容具有相关性，预期产出效益和效果符合正常的业绩水平，项目与预算确定的项目投资额或资金量相匹配，能较为全面地反映本项目的产出和效益，故绩效目标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本项目实施能够准确把握社会公共服务需求，充分发挥政府主导作用，探索多种有效方式，加大社会组织承接政府购买服务支持力度，帮助企业纾困，为企业解决经营资金现金流困难，推动经济高质量发展。其中，所有目标已细化为具体的绩效指标，例如监管企业补贴项目、财政业务及购买服务项目、代理记账经费项目和运转类公用经费项目，均可通过数量指标、质量指标、时效指标和成本指标予以量化，并具有确切的评价标准，且指标设定均与目标相关。各项指标均能在现实条件下收集到相关数据进行佐证，例如从本单位项目负责人处收集相关文件资料；从财务科收集资金支付相关凭证；从受助企业收集调查问卷等资料，故绩效目标明确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项目资金预算科学，项目预算编制经过科学论证，预算内容与项目内容匹配，预算额度测算依据充分，按照标准编制，预算确定的项目投资额或资金量与工作任务相匹配；预算资金分配依据充分，资金分配额度合理。故预算编制科学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预算内容与项目内容匹配，预算额度测算依据充分，按照标准编制，预算确定的项目投资额或资金量与工作任务相匹配；预算资金分配依据充分，资金分配额度合理资金分配合理。故资金分配合理性指标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经水财发〔2023〕45号《关于下达2023年水磨沟区部门预算的通知》文件批准，于2023年年初部分预算批复，共安排预算6456.48万元，资金到位6456.48万元，资金到位率100%。本项目内所有子项目资金均于2022年支付完成，资金支付做往来账处理，2023年按区财政局《关于消化2022年新增暂付性款项的通知》要求，2023年将该款项做账务处理列入当年收支，且年中无资金调整情况。故资金到位率指标得分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年年初部分预算批复，共安排预算6456.48万元，资金执行率6456.48万元，资金执行率100%。本项目内所有子项目资金均于2022年支付完成，资金支付做往来账处理，2023年按区财政局《关于消化2022年新增暂付性款项的通知》要求，于2023年6月将该款项做账务处理列入当年收支。故预算执行率得分为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国家财经法规和财务管理制度以及有关专项资金管理办法的规定。同时，资金的拨付有完整的审批程序，需要提供《资金支付申请表》、《水磨沟区基本建设项目资金支付审批表》、发票、合同、验收单等手续，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管理制度健全性：我局已制定相应的内控制度，其中包括预算管理制度、财务管理制度、收入与支出管理等制度，且制度合法、合规、完整，为项目顺利实施提供重要保障。故管理制度健全性得分为3分。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我局严格遵守相关法律法规和相关管理规定，项目调整及支出调整手续完备，整体管理合理有序，项目完成后，及时将会计凭证、文件等相关资料分类归档，制度执行有效。故制度执行有效性指标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项目产出指标由4个二级指标和7个三级指标构成，权重为40分，实际得分40分。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数量指标“补助发放企业数”的目标值是1个，我单位实际完成1个。该条指标赋分3分，得分3分。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数量指标“购买服务数”的目标值是不少于1个，我单位实际完成14个。该条指标赋分4分，得分4分。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数量指标“补临聘人员数”的目标值是23个，我单位实际完成23个。该条指标赋分4分，得分4分。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数量指标“代理记账服务预算单位数”的目标值是45个，我单位实际完成45个。该条指标赋分4分，得分4分。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质量指标“经费支付准确率”的目标值100%，2023年度我单位实际完成值100%，准确支付消化2022年暂付款包含项目费用6456.48万元整。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质量指标“项目完成度”的目标值=100%，我单位于2022年12月已完成消化2022年暂付款项目。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成本指标“项目预算控制率”目标值=100%，我单位实际预算控制率=100%。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综上，该部分指标满分40分，得分45分。</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项目效益指标由1个二级指标和1个三级指标构成，权重为15分，实际得分15分。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减轻企业资金压力，实现良性运转”，指标值：有效促进，实际完成值：有效促进，达成年度指标。贯彻落实各级政府助企纾困政策措施，带动中小微企业创业及就业做出突出贡献。为减轻乌鲁木齐创博国有资产投资经营有限公司（以下简称创博公司）资金压力，实现企业良性运转。</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综上，该指标满分15分，得分15分。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无</w:t>
      </w:r>
    </w:p>
    <w:p>
      <w:pPr>
        <w:spacing w:line="540" w:lineRule="exact"/>
        <w:ind w:firstLine="567"/>
        <w:rPr>
          <w:rStyle w:val="18"/>
          <w:rFonts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五、主要经验及做法、存在的问题及原因分析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强化制度保障。各项目预算资金申请及审批程序完整、资金到位及时、支付有序。严格按照财政局支付要求及本单位财务管理制度及内控制度的规定履行审批流程及支付程序，项目管理过程合规，整体项目预算支出进度达到预期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专项资金绩效管理。通过专项绩效评价工作的开展，进一步加强专项支出的绩效管理，完善业务和财务管理制度，健全和落实财务监控机制，有效提高专项资金的使用效益和效率，确保财政资金的使用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3.科学安排项目预算。根据下一年度的工作计划，提前预算，规范操作、严格控制开支范围，节约成本，提高效率。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不够完善。管理制度是项目管理工作能否顺利实施的关键，需要依靠完善的项目管理制度提高管理力度，但是从当前的实际情况来看，部分项目管理制度不够完善，没有覆盖工程项目的全部过程，存在一定的管理漏洞和局限性，针对财政业务项目中某个环节的管理力度不足，从而导致财政业务项目中部分项目缺乏科学有效的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管理形式单一。建设单位虽然在项目管理方面取得一定创新，管理人员素质得到提升、管理执行力度更强，但是从实际工作情况来看，依然存在着管理形式过于单一的问题，管理形式没有得到全面创新，缺乏对新技术、新平台的应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3.预算执行率较低且追加、调减支出随意性较大，受财力影响，财政预算支出的重点在于保运转，保民生，有限财力与刚性支出日益增长的矛盾冲突，导致预算执行率比较低，同时影响了预算的约束力和权威性。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4.财务管理仍显薄弱。存在会计原始凭证附件不够齐全，账务处理欠规范等现象，主要原因是单位内控管理不够严密，会计人员业务上把关不严。</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六、有关建议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制定业务管理制度，降低项目实施风险实施单位应依据国家相关标准制定各类业务管理制度，对各类项目，应在项目招投标管理、合同管理、前期申报、档案管理等方面作详细要求和规定。通过健全业务管理制度，加强本单位各项业务的管理工作，建立规范化、科学化的管理体制，提高项目管理质量，降低项目实施风险，加强对项目顺利实施的保障作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（二）提高预算执行进度，发挥资金使用效益，根据项目实施进度申请相应资金预算，提高项目进度与预算申请匹配度，避免过多占用财政资金，造成财政资金浪费。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做好财务核算，强化财政资金管理实施单位应压实管理责任，做好财政资金拨付到位的监督审查工作，强化财政资金管理，建立本项目相关资金专项核算账目，并严格落实内外部监管制度，保证项目资金做到专款专用，规范 资金运行，坚决杜绝截留、挤占、挪用、虚列支出等现象发生。</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七、其他需要说明的问题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 w:val="7EF24E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13</TotalTime>
  <ScaleCrop>false</ScaleCrop>
  <LinksUpToDate>false</LinksUpToDate>
  <CharactersWithSpaces>640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2024-09-14T05:33:37Z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y fmtid="{D5CDD505-2E9C-101B-9397-08002B2CF9AE}" pid="3" name="ICV">
    <vt:lpwstr>C734C92AAAF24344A0E4232D8EB3359B</vt:lpwstr>
  </property>
</Properties>
</file>