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乌鲁木齐市水磨沟区妇女联合会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乌鲁木齐市水磨沟区妇女联合会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付红梅</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 项目背景、主要内容及实施情况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实施背景：深入开展“巾帼心向党、喜迎二十大”群众性宣传教育活动，以“百千万巾帼大宣讲”、“文化润疆进家庭”行动等为载体，铸牢中华民族共同体意识，引领全区妇女与党思想上同心、目标上同向、行动上同行。深化“建设法治首府·巾帼在行动”活动，加大民法典、妇女权益保障法、反家庭暴力法等法律法规宣传力度，提高广大妇女儿童法律意识。在市妇联要求下，深入开展“家家幸福安康工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项目2023年的主要实施内容：1、发放2022年妇联临聘人员2人劳务费，保障妇联2022年办公室工作正常运转。 2、妇女儿童发展经费保障2022年妇联组织妇女儿童各类庆祝及慰问活动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2023年当年完成情况，实际完成情况为：①：按时发放2022年妇联临聘人员2人劳务费，保障妇联2022年办公室工作正常运转;②妇女儿童发展经费保障2022年妇联组织妇女儿童各类庆祝及慰问活动317场。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资金投入和使用情况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该项目资金投入情况：经水财发【2023】45号-关于下达2023年水磨沟区部门预算的通知及预算表，项目系2023年本级资金，共安排预算21.56万元，于2023年年初部分预算批复项目，年中无资金调整情况。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使用情况：总预算情况21.56万元、资金投入包括发放2022年妇联临聘人员2人劳务费，保障妇联2022年办公室工作正常运转；妇女儿童发展经费保障2022年妇联组织妇女儿童各类庆祝及慰问活动，总支出是21.56万元，预算执行率100%。</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（二）项目绩效目标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该项目为当年一次性项目。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总体绩效目标：发放妇联临聘人员2人劳务费，保障妇联办公室工作正常运转；妇女儿童发展经费保障妇联组织妇女儿童各类庆祝及慰问活动。提高妇联临聘人员的生活质量；有序开展各类妇女儿童活动，提高市域社会治理能力和水平，提高广大妇女儿童法律意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阶段性目标为：准时发放2022年妇联临聘人员2人劳务费，按月及时发放劳务费，保障妇联2022年办公室工作正常运转；春节、三八、六一等重要节点，妇联组织妇女儿童各类庆祝及慰问活动，共组织317场庆祝及慰问活动。</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首先，需要描述项目的目标、范围和要求是否能够通过绩效评价指标体系完整地体现。项目的目标范围，以举办活动场次、全年发放次数、支付准确率、劳务费发放及时率等可以来衡量项目的产出数量，此次项目目标可以通过绩效指标设定的范围与要求进行量化，能够通过绩效评价指标体系完整地体现。</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绩效评价完整性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首先，需要描述项目的目标、范围和要求是否能够通过绩效评价指标体系完整地体现。项目的目标范围，以举办活动场次、全年发放次数、支付准确率、劳务费发放及时率等可以来衡量项目的产出数量，此次项目目标可以通过绩效指标设定的范围与要求进行量化，能够通过绩效评价指标体系完整地体现。</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其次，应分析项目的计划和执行过程，以便于体现项目的进展情况和完成度。从收到资金之后，对于资金的分配，项目进行过程中的有序合理计划安排，项目的完成度100%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最后，需要对评价数据的来源、采集进行描述，以确保数据的准确性和完整性。数据来源于会计凭证、银行回单，问卷，通过群众直接反馈，财会数据记录采集数据，同时群众直接反馈属于一手资料，无弄虚作假、财政数据真实准确，得到领导肯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评价目的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评价对象</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（1）绩效评价的对象：消化2022年暂付款项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绩效评价范围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（1）时间范围：2023年1月1日至2023年12月31日。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项目范围：消化暂付款项目的基本情况、评价工作的开展情况，准时发放2022年妇联临聘人员2人劳务费，保障妇联2022年办公室工作正常运转；按照节点妇联组织妇女儿童各类庆祝及慰问活动、项目实现的产出情况妇女儿童发展经费保障2022年妇联组织妇女儿童各类庆祝及慰问活动317场、取得的效益情况深入开展“巾帼心向党、喜迎二十大”群众性宣传教育活动，以“百千万巾帼大宣讲”、“文化润疆进家庭”行动等为载体，铸牢中华民族共同体意识，引领全区妇女与党思想上同心、目标上同向、行动上同行。主要经验及做法深入开展“巾帼心向党、喜迎二十大”群众性宣传教育活动，以“百千万巾帼大宣讲”、“文化润疆进家庭”行动等为载体，铸牢中华民族共同体意识，引领全区妇女与党思想上同心、目标上同向、行动上同行。年内共组织宣讲317 场，参与人员13385人次。依托新媒体矩阵，广泛传播党的声音，全面宣传妇女儿童工作，在各类新闻媒体上稿25篇。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年初设立的绩效目标，我单位建立了相关评价体系，根据本项目特点，本次评价主要采用比较法，对项目总预算和明细预算的内容、标准、计划是否经济合理进行深入分析，对临聘人员劳务费进行客观评价，得出相应绩效评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通过对专项资金专项使用，严格执行项目资金批准的使用计划，我单位严格按照相关规定执行，确保项目顺利开展。本项目实施有效提高我单位临聘人员生活质量和幸福指数。我单位年内妇女儿童各类活动高质量开展，提升辖区妇女儿童幸福感获得感。</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在项目执行过程中也发行一些问题，比如我单位妇联专干频繁更换，流动性大，导致各街道妇联活动开展质量层次不齐，对妇联业务知识掌握不准确、不及时。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这就需要各街道重视妇联工作，明确妇联工作人员标准，如果因不可抗拒因素需要更换妇联专干，新专干需要接受为期3天的业务培训。</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结合该项目特点，制定符合项目实际的绩效评价指标体系及评分标准，通过数据采集、问卷调查等形式，消化2022年暂付款项项目进行客观评价，最终评分结果为：总分为100分，绩效评级为“优秀”。））</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（二）绩效评价原则、评价指标体系、评价方法、评价标准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 评价原则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（1）科学公正。绩效评价应当运用科学合理的方法，按照规范的程序，对项目绩效进行客观、公正的反映。</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（4）公开透明。绩效评价结果应依法依规公开，并自觉接受社会监督。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绩效评价指标体系作为衡量绩效目标实现程度的考核工具，一般遵循以下原则：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（1）相关性原则：绩效评价指标应当与绩效目标有直接的联系，能够恰当反映目标的实现程度。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（2）重要性原则：应当优先使用最具评价对象代表性、最能反映评价要求的核心指标。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（3）可比性原则：对同类评价对象要设定共性的绩效评价指标，以便于评价结果可以相互比较。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本项目的评价指标体系建立如表1-1所示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表1-1 项目支出绩效评价指标体系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指标解释</w:t>
      </w:r>
      <w:r>
        <w:rPr>
          <w:rStyle w:val="17"/>
          <w:rFonts w:hint="eastAsia" w:ascii="楷体" w:hAnsi="楷体" w:eastAsia="楷体"/>
          <w:b w:val="0"/>
          <w:bCs w:val="0"/>
          <w:spacing w:val="-4"/>
          <w:sz w:val="32"/>
          <w:szCs w:val="32"/>
        </w:rPr>
        <w:tab/>
        <w:t>指标说明</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充分性</w:t>
      </w:r>
      <w:r>
        <w:rPr>
          <w:rStyle w:val="17"/>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①项目立项是否符合国家法律法规、国民经济发展规划和相关政策；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②项目立项是否符合行业发展规划和政策要求；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③项目立项是否与部门职责范围相符，属于部门履职所需；</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④项目是否属于公共财政支持范围，是否符合中央、地方事权支出责任划分原则；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⑤项目是否与相关部门同类项目或部门内部相关项目重复。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规范性</w:t>
      </w:r>
      <w:r>
        <w:rPr>
          <w:rStyle w:val="17"/>
          <w:rFonts w:hint="eastAsia" w:ascii="楷体" w:hAnsi="楷体" w:eastAsia="楷体"/>
          <w:b w:val="0"/>
          <w:bCs w:val="0"/>
          <w:spacing w:val="-4"/>
          <w:sz w:val="32"/>
          <w:szCs w:val="32"/>
        </w:rPr>
        <w:tab/>
        <w:t>项目申请、设立过程是否符合相关要求，用以反映和考核项目立项的规范情况。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①项目是否按照规定的程序申请设立；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②审批文件、材料是否符合相关要求；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③事前是否已经过必要的可行性研究、专家论证、风险评估、绩效评估、集体决策。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（如未设定预算绩效目标，也可考核其他工作任务目标）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①项目是否有绩效目标；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②项目绩效目标与实际工作内容是否具有相关性；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③项目预期产出效益和效果是否符合正常的业绩水平；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④是否与预算确定的项目投资额或资金量相匹配。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明确性</w:t>
      </w:r>
      <w:r>
        <w:rPr>
          <w:rStyle w:val="17"/>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①是否将项目绩效目标细化分解为具体的绩效指标；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②是否通过清晰、可衡量的指标值予以体现；</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③是否与项目目标任务数或计划数相对应。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科学性</w:t>
      </w:r>
      <w:r>
        <w:rPr>
          <w:rStyle w:val="17"/>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①预算编制是否经过科学论证；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②预算内容与项目内容是否匹配；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③预算额度测算依据是否充分，是否按照标准编制；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④预算确定的项目投资额或资金量是否与工作任务相匹配。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①预算资金分配依据是否充分；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②资金分配额度是否合理，与项目单位或地方实际是否相适应。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7"/>
          <w:rFonts w:hint="eastAsia" w:ascii="楷体" w:hAnsi="楷体" w:eastAsia="楷体"/>
          <w:b w:val="0"/>
          <w:bCs w:val="0"/>
          <w:spacing w:val="-4"/>
          <w:sz w:val="32"/>
          <w:szCs w:val="32"/>
        </w:rPr>
        <w:tab/>
        <w:t>资金到位率=（实际到位资金/预算资金）×100%。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实际到位资金：一定时期（本年度或项目期）内落实到具体项目的资金。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预算资金：一定时期（本年度或项目期）内预算安排到具体项目的资金。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项目预算资金是否按照计划执行，用以反映或考核项目预算执行情况。</w:t>
      </w:r>
      <w:r>
        <w:rPr>
          <w:rStyle w:val="17"/>
          <w:rFonts w:hint="eastAsia" w:ascii="楷体" w:hAnsi="楷体" w:eastAsia="楷体"/>
          <w:b w:val="0"/>
          <w:bCs w:val="0"/>
          <w:spacing w:val="-4"/>
          <w:sz w:val="32"/>
          <w:szCs w:val="32"/>
        </w:rPr>
        <w:tab/>
        <w:t>预算执行率=（实际支出资金/实际到位资金）×100%。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实际支出资金：一定时期（本年度或项目期）内项目实际拨付的资金。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资金使用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合规性</w:t>
      </w:r>
      <w:r>
        <w:rPr>
          <w:rStyle w:val="17"/>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①是否符合国家财经法规和财务管理制度以及有关专项资金管理办法的规定；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②资金的拨付是否有完整的审批程序和手续；</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③是否符合项目预算批复或合同规定的用途；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④是否存在截留、挤占、挪用、虚列支出等情况。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健全性</w:t>
      </w:r>
      <w:r>
        <w:rPr>
          <w:rStyle w:val="17"/>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①是否已制定或具有相应的财务和业务管理制度；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②财务和业务管理制度是否合法、合规、完整。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有效性</w:t>
      </w:r>
      <w:r>
        <w:rPr>
          <w:rStyle w:val="17"/>
          <w:rFonts w:hint="eastAsia" w:ascii="楷体" w:hAnsi="楷体" w:eastAsia="楷体"/>
          <w:b w:val="0"/>
          <w:bCs w:val="0"/>
          <w:spacing w:val="-4"/>
          <w:sz w:val="32"/>
          <w:szCs w:val="32"/>
        </w:rPr>
        <w:tab/>
        <w:t>项目实施是否符合相关管理规定，用以反映和考核相关管理制度的有效执行情况。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①是否遵守相关法律法规和相关管理规定；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②项目调整及支出调整手续是否完备；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③项目合同书、验收报告、技术鉴定等资料是否齐全并及时归档；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④项目实施的人员条件、场地设备、信息支撑等是否落实到位。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举办活动场次</w:t>
      </w:r>
      <w:r>
        <w:rPr>
          <w:rStyle w:val="17"/>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7"/>
          <w:rFonts w:hint="eastAsia" w:ascii="楷体" w:hAnsi="楷体" w:eastAsia="楷体"/>
          <w:b w:val="0"/>
          <w:bCs w:val="0"/>
          <w:spacing w:val="-4"/>
          <w:sz w:val="32"/>
          <w:szCs w:val="32"/>
        </w:rPr>
        <w:tab/>
        <w:t>实际完成率=（实际产出数/计划产出数）×100%。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实际产出数：一定时期（本年度或项目期）内项目实际产出的产品或提供的服务数量。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全年发放次数</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支付准确率</w:t>
      </w:r>
      <w:r>
        <w:rPr>
          <w:rStyle w:val="17"/>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7"/>
          <w:rFonts w:hint="eastAsia" w:ascii="楷体" w:hAnsi="楷体" w:eastAsia="楷体"/>
          <w:b w:val="0"/>
          <w:bCs w:val="0"/>
          <w:spacing w:val="-4"/>
          <w:sz w:val="32"/>
          <w:szCs w:val="32"/>
        </w:rPr>
        <w:tab/>
        <w:t>质量达标率=（质量达标产出数/实际产出数）×100%。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劳务费发放及时率</w:t>
      </w:r>
      <w:r>
        <w:rPr>
          <w:rStyle w:val="17"/>
          <w:rFonts w:hint="eastAsia" w:ascii="楷体" w:hAnsi="楷体" w:eastAsia="楷体"/>
          <w:b w:val="0"/>
          <w:bCs w:val="0"/>
          <w:spacing w:val="-4"/>
          <w:sz w:val="32"/>
          <w:szCs w:val="32"/>
        </w:rPr>
        <w:tab/>
        <w:t>项目实际完成时间与计划完成时间的比较，用以反映和考核项目产出时效目标的实现程度。</w:t>
      </w:r>
      <w:r>
        <w:rPr>
          <w:rStyle w:val="17"/>
          <w:rFonts w:hint="eastAsia" w:ascii="楷体" w:hAnsi="楷体" w:eastAsia="楷体"/>
          <w:b w:val="0"/>
          <w:bCs w:val="0"/>
          <w:spacing w:val="-4"/>
          <w:sz w:val="32"/>
          <w:szCs w:val="32"/>
        </w:rPr>
        <w:tab/>
        <w:t>实际完成时间：项目实施单位完成该项目实际所耗用的时间。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计划完成时间：按照项目实施计划或相关规定完成该项目所需的时间。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妇女儿童发展经费</w:t>
      </w:r>
      <w:r>
        <w:rPr>
          <w:rStyle w:val="17"/>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成本节约率=[（计划成本-实际成本）/计划成本]×100%。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实际成本：项目实施单位如期、保质、保量完成既定工作目标实际所耗费的支出。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计划成本：项目实施单位为完成工作目标计划安排的支出，一般以项目预算为参考。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劳务费</w:t>
      </w:r>
      <w:r>
        <w:rPr>
          <w:rStyle w:val="17"/>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7"/>
          <w:rFonts w:hint="eastAsia" w:ascii="楷体" w:hAnsi="楷体" w:eastAsia="楷体"/>
          <w:b w:val="0"/>
          <w:bCs w:val="0"/>
          <w:spacing w:val="-4"/>
          <w:sz w:val="32"/>
          <w:szCs w:val="32"/>
        </w:rPr>
        <w:tab/>
        <w:t>成本节约率=[（计划成本-实际成本）/计划成本]×100%。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实际成本：项目实施单位如期、保质、保量完成既定工作目标实际所耗费的支出。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计划成本：项目实施单位为完成工作目标计划安排的支出，一般以项目预算为参考。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保障职工正常生活</w:t>
      </w:r>
      <w:r>
        <w:rPr>
          <w:rStyle w:val="17"/>
          <w:rFonts w:hint="eastAsia" w:ascii="楷体" w:hAnsi="楷体" w:eastAsia="楷体"/>
          <w:b w:val="0"/>
          <w:bCs w:val="0"/>
          <w:spacing w:val="-4"/>
          <w:sz w:val="32"/>
          <w:szCs w:val="32"/>
        </w:rPr>
        <w:tab/>
        <w:t>项目实施所产生的效益。</w:t>
      </w:r>
      <w:r>
        <w:rPr>
          <w:rStyle w:val="17"/>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活动参与人员满意度</w:t>
      </w:r>
      <w:r>
        <w:rPr>
          <w:rStyle w:val="17"/>
          <w:rFonts w:hint="eastAsia" w:ascii="楷体" w:hAnsi="楷体" w:eastAsia="楷体"/>
          <w:b w:val="0"/>
          <w:bCs w:val="0"/>
          <w:spacing w:val="-4"/>
          <w:sz w:val="32"/>
          <w:szCs w:val="32"/>
        </w:rPr>
        <w:tab/>
        <w:t>社会公众或服务对象对项目实施效果的满意程度。</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（1）成本效益分析法。是指将投入与产出、效益进行关联性分析的方法。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（2）比较法。是指将实施情况与绩效目标、历史情况、不同部门和地区同类支出情况进行比较的方法。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（3）因素分析法。是指综合分析影响绩效目标实现、实施效果的内外部因素的方法。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（4）最低成本法。是指在绩效目标确定的前提下，成本最小者为优的方法。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（5）公众评判法。是指通过专家评估、公众问卷及抽样调查等方式进行评判的方法。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（6）标杆管理法。是指以国内外同行业中较高的绩效水平为标杆进行评判的方法。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（7）其他评价方法。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绩效评价标准主要包括计划标准、行业标准、历史标准等，用于对绩效指标完成情况进行比较。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（1）计划标准。指以预先制定的目标、计划、预算、定额等作为评价标准。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（2）行业标准。指参照国家公布的行业指标数据制定的评价标准。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在上述评价标准的基础上，本次评价依据以下文件为重要指导和准绳：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·《中共中央国务院关于全面实施预算绩效管理的意见》（中发〔2018〕34号）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·《关于印发&lt;乌鲁木齐市本级部门预算绩效目标管理暂行办法&gt;的通知》（乌财预〔2018〕56号）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·《关于做好2019年部门预算项目支出绩效目标管理有关事宜的通知》（乌财预〔2018〕76号）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·《项目支出绩效评价管理办法》（财预〔2020〕10号）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·关于印发《水磨沟区儿童发展规划》和《水磨沟区妇女发展规划》的通知（水政发〔2022〕28 号 ）、《妇联财务管理制度》</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三、综合评价情况及评价结论</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（一）评价结论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结合项目特点，制定符合项目实际的绩效评价指标体系及评分标准，通过数据采集、问卷调查及访谈等形式，对2023年消化暂付款进行客观评价，最终评分结果为：总分为100分，绩效评级为“优秀”。</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项目各部分权重和绩效分值如表3-1所示：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表3-1 项目各部分权重和绩效分值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分值</w:t>
      </w:r>
      <w:r>
        <w:rPr>
          <w:rStyle w:val="17"/>
          <w:rFonts w:hint="eastAsia" w:ascii="楷体" w:hAnsi="楷体" w:eastAsia="楷体"/>
          <w:b w:val="0"/>
          <w:bCs w:val="0"/>
          <w:spacing w:val="-4"/>
          <w:sz w:val="32"/>
          <w:szCs w:val="32"/>
        </w:rPr>
        <w:tab/>
        <w:t>得分</w:t>
      </w:r>
      <w:r>
        <w:rPr>
          <w:rStyle w:val="17"/>
          <w:rFonts w:hint="eastAsia" w:ascii="楷体" w:hAnsi="楷体" w:eastAsia="楷体"/>
          <w:b w:val="0"/>
          <w:bCs w:val="0"/>
          <w:spacing w:val="-4"/>
          <w:sz w:val="32"/>
          <w:szCs w:val="32"/>
        </w:rPr>
        <w:tab/>
        <w:t>得分率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立项依据充分性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立项程序规范性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绩效指标明确性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预算编制科学性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资金使用合规性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管理制度健全性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制度执行有效性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举办活动场次</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全年发放次数</w:t>
      </w:r>
      <w:r>
        <w:rPr>
          <w:rStyle w:val="17"/>
          <w:rFonts w:hint="eastAsia" w:ascii="楷体" w:hAnsi="楷体" w:eastAsia="楷体"/>
          <w:b w:val="0"/>
          <w:bCs w:val="0"/>
          <w:spacing w:val="-4"/>
          <w:sz w:val="32"/>
          <w:szCs w:val="32"/>
        </w:rPr>
        <w:tab/>
        <w:t>7</w:t>
      </w:r>
      <w:r>
        <w:rPr>
          <w:rStyle w:val="17"/>
          <w:rFonts w:hint="eastAsia" w:ascii="楷体" w:hAnsi="楷体" w:eastAsia="楷体"/>
          <w:b w:val="0"/>
          <w:bCs w:val="0"/>
          <w:spacing w:val="-4"/>
          <w:sz w:val="32"/>
          <w:szCs w:val="32"/>
        </w:rPr>
        <w:tab/>
        <w:t>7</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支付准确率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劳务费发放及时率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妇女儿童发展经费</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劳务费</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保障职工正常生活</w:t>
      </w:r>
      <w:r>
        <w:rPr>
          <w:rStyle w:val="17"/>
          <w:rFonts w:hint="eastAsia" w:ascii="楷体" w:hAnsi="楷体" w:eastAsia="楷体"/>
          <w:b w:val="0"/>
          <w:bCs w:val="0"/>
          <w:spacing w:val="-4"/>
          <w:sz w:val="32"/>
          <w:szCs w:val="32"/>
        </w:rPr>
        <w:tab/>
        <w:t>15</w:t>
      </w:r>
      <w:r>
        <w:rPr>
          <w:rStyle w:val="17"/>
          <w:rFonts w:hint="eastAsia" w:ascii="楷体" w:hAnsi="楷体" w:eastAsia="楷体"/>
          <w:b w:val="0"/>
          <w:bCs w:val="0"/>
          <w:spacing w:val="-4"/>
          <w:sz w:val="32"/>
          <w:szCs w:val="32"/>
        </w:rPr>
        <w:tab/>
        <w:t>15</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活动参与人员满意度</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临聘工作人员满意度</w:t>
      </w:r>
      <w:r>
        <w:rPr>
          <w:rStyle w:val="17"/>
          <w:rFonts w:hint="eastAsia" w:ascii="楷体" w:hAnsi="楷体" w:eastAsia="楷体"/>
          <w:b w:val="0"/>
          <w:bCs w:val="0"/>
          <w:spacing w:val="-4"/>
          <w:sz w:val="32"/>
          <w:szCs w:val="32"/>
        </w:rPr>
        <w:tab/>
        <w:t>1</w:t>
      </w:r>
      <w:r>
        <w:rPr>
          <w:rStyle w:val="17"/>
          <w:rFonts w:hint="eastAsia" w:ascii="楷体" w:hAnsi="楷体" w:eastAsia="楷体"/>
          <w:b w:val="0"/>
          <w:bCs w:val="0"/>
          <w:spacing w:val="-4"/>
          <w:sz w:val="32"/>
          <w:szCs w:val="32"/>
        </w:rPr>
        <w:tab/>
        <w:t>1</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（二）主要绩效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区财政及时拨付，单位在此次评价期间内，有序完成设定目标的全部工作任务，全年发放次数、举办活动场次、支付准确率、劳务费发放及时率等，以确保妇联日常工作的正常运转，为辖区妇女儿童发展提供了强有力的支撑。</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四、绩效评价指标分析</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7"/>
          <w:rFonts w:hint="eastAsia" w:ascii="楷体" w:hAnsi="楷体" w:eastAsia="楷体"/>
          <w:spacing w:val="-4"/>
          <w:sz w:val="32"/>
          <w:szCs w:val="32"/>
        </w:rPr>
        <w:t>项目决策情况</w:t>
      </w:r>
    </w:p>
    <w:p>
      <w:pPr>
        <w:tabs>
          <w:tab w:val="center" w:pos="4295"/>
        </w:tabs>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项目决算指标由3个二级指标和6个三级指标构成，权重为20分，实际得分20分。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项目立项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依据充分性：项目立项符合，《妇女权益保障法》、《中华人民共和国民法典》政策要求。同时，项目与水磨沟区妇女联合会部门职责范围相符，属于部门履职所需。此外，本项目属于公共财政支持范围，符合中央、地方事权支出责任划分原则。因此，立项依据充分，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立项程序规范性: 项目根据《水磨沟区儿童发展规划》和《水磨沟区妇女发展规划》的通知（水政发〔2022〕28 号 ）实施，获得水磨沟区财政局的资金，根据水磨沟区财政要求，按时、按计划报送资金使用证明至水区财政局，取得水区财政局的批准。材料符合相关要求，故立项程序规范，得4分。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综上，该指标满分8分，得分8分。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明确性：其中，目标已细化为具体的绩效指标举办活动场次、全年发放次数、支付准确率、劳务费发放及时率、妇女儿童发展经费、劳务费等，可通过数量指标、质量指标、时效指标和成本指标予以量化，并具有确切的评价标准，且指标设定均与目标相关。各项指标均能在现实条件下收集到相关数据进行佐证，数据来源于会计凭证、银行回单，问卷，通过群众直接反馈，财会数据记录采集数据，同时群众直接反馈属于一手资料，无弄虚作假、财政数据真实准确，得到领导肯定。并与当年项目年度计划相对应，故绩效目标明确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资金投入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标准编制，预算确定的项目投资额或资金量与工作任务相匹配；预算资金分配依据充分，资金分配额度合理，故预算编制科学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分配合理性：资金预算内容与项目内容匹配，预算额度测算依据充分，按照标准编制，预算确定的项目投资额或资金量与工作任务相匹配；预算资金分配依据充分，资金分配额度合理资金分配合理。故资金分配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tab/>
      </w:r>
    </w:p>
    <w:p>
      <w:pPr>
        <w:spacing w:line="540" w:lineRule="exact"/>
        <w:ind w:firstLine="567" w:firstLineChars="181"/>
        <w:rPr>
          <w:rStyle w:val="17"/>
          <w:rFonts w:ascii="楷体" w:hAnsi="楷体" w:eastAsia="楷体"/>
          <w:spacing w:val="-4"/>
          <w:sz w:val="32"/>
          <w:szCs w:val="32"/>
        </w:rPr>
      </w:pPr>
      <w:r>
        <w:rPr>
          <w:rFonts w:hint="eastAsia" w:ascii="楷体" w:hAnsi="楷体" w:eastAsia="楷体"/>
          <w:b/>
          <w:spacing w:val="-4"/>
          <w:sz w:val="32"/>
          <w:szCs w:val="32"/>
        </w:rPr>
        <w:t>（二）</w:t>
      </w:r>
      <w:r>
        <w:rPr>
          <w:rStyle w:val="17"/>
          <w:rFonts w:hint="eastAsia" w:ascii="楷体" w:hAnsi="楷体" w:eastAsia="楷体"/>
          <w:spacing w:val="-4"/>
          <w:sz w:val="32"/>
          <w:szCs w:val="32"/>
        </w:rPr>
        <w:t>项目过程情况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项目过程指标由2个二级指标和5个三级指标构成，权重为20分，实际得分20分。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资金管理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资金到位率：21.56万元。共安排预算21.56万元，其中雇员及临聘人员工资15.62万万元，妇女儿童发展经费5.94万元，资金到位21.56万元，资金到位率100%。故资金到位率指标得分5分。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执行率：财政安排预算21.56万元，资金执行21.56万元，资金执行率100%。本项目内所有子项目资金均于2022年支付完成，资金支付做往来账处理，2023年按区财政局《关于消化2022年新增暂付款项的通知》要求，于2023年6月将该款项做账务处理列入当年收支，故预算执行率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使用合规性：本项目资金的使用符合《中华人民共和国财政部令第113号----行政单位财务规则》及其他国家财经法规和财务管理制度以及有关专项资金管理办法的规定。同时，资金的拨付有完整审批程序，需要提供《资金支付申请表》手续，符合项目预算批复或合同规定的用途，不存在截留、挤占、挪用、虚列支出等情况。故资金使用合规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综上，该指标满分13分，得分13分。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组织实施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管理制度健全性：水磨沟区妇女联合会已制定相应的财务管理制度，且制度合法、合规、完整，为项目顺利实施提供重要保障。故管理制度健全性得分为3分。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制度执行有效性：根据评价小组核查情况，水磨沟区妇女联合会严格遵守相关法律法规和相关管理规定，项目调整及支出调整手续完备，整体管理合理有序，项目完成后，及时将会计凭证等相关资料分类归档，制度执行有效。故制度执行有效性指标得分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7"/>
          <w:rFonts w:hint="eastAsia" w:ascii="楷体" w:hAnsi="楷体" w:eastAsia="楷体"/>
          <w:spacing w:val="-4"/>
          <w:sz w:val="32"/>
          <w:szCs w:val="32"/>
        </w:rPr>
        <w:t>项目产出情况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项目产出指标由4个二级指标和6个三级指标构成，权重为40分，实际得分40分。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产出数量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数量指标“举办活动场次”的目标值是&gt;=6次， 2023年度我单位实际完成317次，原因是深入开展“巾帼心向党、喜迎二十大”群众性宣传教育活动，以“百千万巾帼大宣讲”、“文化润疆进家庭”行动等为载体，铸牢中华民族共同体意识，引领全区妇女与党思想上同心、目标上同向、行动上同行。该指标赋分3分，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数量指标“全年发放次数”的目标值是&lt;=12次，2023年度我单位完成12次。该指标赋分7分，得分7分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该指标赋分10分，得分10分，得分率100%。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产出质量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支付准确率：准时支付水磨沟区妇联临聘人员每个月工资。目标值：100%，实际完成值100%。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该指标赋分10分，得分10分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质量达标率得分为10分。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产出时效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劳务费发放及时率目标值100%实际值100%，都准时发放了劳务费故完成及时性得分为10分。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产出成本</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本项目实际支出21.56万元，其中雇员及临聘人员工资15.62万万元，妇女儿童发展经费5.94万元，资金到位21.56万元，无超支情况，项目资金全部完成，得分为10分。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7"/>
          <w:rFonts w:hint="eastAsia" w:ascii="楷体" w:hAnsi="楷体" w:eastAsia="楷体"/>
          <w:spacing w:val="-4"/>
          <w:sz w:val="32"/>
          <w:szCs w:val="32"/>
        </w:rPr>
        <w:t>项目效益情况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实施效益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经济效益指标：不适用。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社会效益指标：评价指标保障职工正常生活，指标值：有效改善，实际完成值：有效提高，达成年度指标。本项目的实施，保障了妇联临聘人员正常生活，有效提高了临聘人员生活质量和家庭幸福指数。</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生态效益指标：不适用。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综上，该指标满分15分，得分15分。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满意度指标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群众满意度：评价指标活动参与人员满意度，指标值：≥100%，实际完成值： 100%。通过设置问卷调查的方式进行考评评价，共计调查样本总量为25个样本，有效调查问卷25份。其中，统计“临聘工作人员满意度”和“活动参与人员满意度”的平均值为100%。故满意度指标得分为5分。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综上，该指标满分5分，得分5分。</w:t>
      </w:r>
    </w:p>
    <w:p>
      <w:pPr>
        <w:spacing w:line="540" w:lineRule="exact"/>
        <w:ind w:firstLine="567"/>
        <w:rPr>
          <w:rStyle w:val="17"/>
          <w:rFonts w:ascii="楷体" w:hAnsi="楷体" w:eastAsia="楷体"/>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7"/>
          <w:rFonts w:hint="eastAsia" w:ascii="楷体" w:hAnsi="楷体" w:eastAsia="楷体"/>
          <w:b w:val="0"/>
          <w:bCs w:val="0"/>
          <w:spacing w:val="-4"/>
          <w:sz w:val="32"/>
          <w:szCs w:val="32"/>
        </w:rPr>
        <w:t>妇联始终坚持把党对妇联工作的领导作为根本政治原则，坚定捍卫“两个确立”，坚决做到“两个维护”。严格贯彻落实中央、自治区党委、市委、区委的各项决策部署，不断推进新时代妇女思想政治引领工作走深走实。持续在学深悟透习近平新时代中国特色社会主义思想上下功夫，不断巩固党史学习教育成果，推动“四史”宣传教育进入寻常百姓家。深入开展“巾帼心向党、喜迎二十大”群众性宣传教育活动，以“百千万巾帼大宣讲”、“文化润疆进家庭”行动等为载体，铸牢中华民族共同体意识，引领全区妇女与党思想上同心、目标上同向、行动上同行。年内共组织宣讲317 场，参与人员13385人次。依托新媒体矩阵，广泛传播党的声音，全面宣传妇女儿童工作，在各类新闻媒体上稿25篇。</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六、有关建议</w:t>
      </w:r>
    </w:p>
    <w:p>
      <w:pPr>
        <w:spacing w:line="540" w:lineRule="exact"/>
        <w:ind w:firstLine="567"/>
        <w:rPr>
          <w:rStyle w:val="17"/>
          <w:rFonts w:ascii="楷体" w:hAnsi="楷体" w:eastAsia="楷体"/>
          <w:spacing w:val="-4"/>
          <w:sz w:val="32"/>
          <w:szCs w:val="32"/>
        </w:rPr>
      </w:pPr>
      <w:r>
        <w:rPr>
          <w:rStyle w:val="17"/>
          <w:rFonts w:hint="eastAsia" w:ascii="楷体" w:hAnsi="楷体" w:eastAsia="楷体"/>
          <w:b w:val="0"/>
          <w:bCs w:val="0"/>
          <w:spacing w:val="-4"/>
          <w:sz w:val="32"/>
          <w:szCs w:val="32"/>
        </w:rPr>
        <w:t>明确妇联工作人员标准，如果因不可抗拒因素需要更换妇联专干，新专干需要接受为期3天的业务培训。</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七、其他需要说明的问题</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（一）项目支出政策和路径设计科学，符合实际需要；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（二）项目安排准确，未发现背离项目立项初衷的情况；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（三）项目的申报、审核机制完善；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（四）未发现虚假行为和骗取财政资金的问题。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8A462F5"/>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2024-09-18T10:43:26Z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C734C92AAAF24344A0E4232D8EB3359B</vt:lpwstr>
  </property>
</Properties>
</file>