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52A78E">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8DE8E54">
      <w:pPr>
        <w:spacing w:line="540" w:lineRule="exact"/>
        <w:jc w:val="center"/>
        <w:rPr>
          <w:rFonts w:ascii="华文中宋" w:hAnsi="华文中宋" w:eastAsia="华文中宋" w:cs="宋体"/>
          <w:b/>
          <w:kern w:val="0"/>
          <w:sz w:val="52"/>
          <w:szCs w:val="52"/>
        </w:rPr>
      </w:pPr>
    </w:p>
    <w:p w14:paraId="677E77F9">
      <w:pPr>
        <w:spacing w:line="540" w:lineRule="exact"/>
        <w:jc w:val="center"/>
        <w:rPr>
          <w:rFonts w:ascii="华文中宋" w:hAnsi="华文中宋" w:eastAsia="华文中宋" w:cs="宋体"/>
          <w:b/>
          <w:kern w:val="0"/>
          <w:sz w:val="52"/>
          <w:szCs w:val="52"/>
        </w:rPr>
      </w:pPr>
    </w:p>
    <w:p w14:paraId="3044C01D">
      <w:pPr>
        <w:spacing w:line="540" w:lineRule="exact"/>
        <w:jc w:val="center"/>
        <w:rPr>
          <w:rFonts w:ascii="华文中宋" w:hAnsi="华文中宋" w:eastAsia="华文中宋" w:cs="宋体"/>
          <w:b/>
          <w:kern w:val="0"/>
          <w:sz w:val="52"/>
          <w:szCs w:val="52"/>
        </w:rPr>
      </w:pPr>
    </w:p>
    <w:p w14:paraId="619320DC">
      <w:pPr>
        <w:spacing w:line="540" w:lineRule="exact"/>
        <w:jc w:val="center"/>
        <w:rPr>
          <w:rFonts w:ascii="华文中宋" w:hAnsi="华文中宋" w:eastAsia="华文中宋" w:cs="宋体"/>
          <w:b/>
          <w:kern w:val="0"/>
          <w:sz w:val="52"/>
          <w:szCs w:val="52"/>
        </w:rPr>
      </w:pPr>
    </w:p>
    <w:p w14:paraId="6DFE015F">
      <w:pPr>
        <w:spacing w:line="540" w:lineRule="exact"/>
        <w:jc w:val="center"/>
        <w:rPr>
          <w:rFonts w:ascii="华文中宋" w:hAnsi="华文中宋" w:eastAsia="华文中宋" w:cs="宋体"/>
          <w:b/>
          <w:kern w:val="0"/>
          <w:sz w:val="52"/>
          <w:szCs w:val="52"/>
        </w:rPr>
      </w:pPr>
    </w:p>
    <w:p w14:paraId="4954B12B">
      <w:pPr>
        <w:spacing w:line="540" w:lineRule="exact"/>
        <w:jc w:val="center"/>
        <w:rPr>
          <w:rFonts w:ascii="华文中宋" w:hAnsi="华文中宋" w:eastAsia="华文中宋" w:cs="宋体"/>
          <w:b/>
          <w:kern w:val="0"/>
          <w:sz w:val="52"/>
          <w:szCs w:val="52"/>
        </w:rPr>
      </w:pPr>
    </w:p>
    <w:p w14:paraId="2AC133FB">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435AA9E">
      <w:pPr>
        <w:spacing w:line="540" w:lineRule="exact"/>
        <w:jc w:val="center"/>
        <w:rPr>
          <w:rFonts w:ascii="华文中宋" w:hAnsi="华文中宋" w:eastAsia="华文中宋" w:cs="宋体"/>
          <w:b/>
          <w:kern w:val="0"/>
          <w:sz w:val="52"/>
          <w:szCs w:val="52"/>
        </w:rPr>
      </w:pPr>
    </w:p>
    <w:p w14:paraId="134E1C94">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7DC4E80C">
      <w:pPr>
        <w:spacing w:line="540" w:lineRule="exact"/>
        <w:jc w:val="center"/>
        <w:rPr>
          <w:rFonts w:hAnsi="宋体" w:eastAsia="仿宋_GB2312" w:cs="宋体"/>
          <w:kern w:val="0"/>
          <w:sz w:val="30"/>
          <w:szCs w:val="30"/>
        </w:rPr>
      </w:pPr>
    </w:p>
    <w:p w14:paraId="60C2AD32">
      <w:pPr>
        <w:spacing w:line="540" w:lineRule="exact"/>
        <w:jc w:val="center"/>
        <w:rPr>
          <w:rFonts w:hAnsi="宋体" w:eastAsia="仿宋_GB2312" w:cs="宋体"/>
          <w:kern w:val="0"/>
          <w:sz w:val="30"/>
          <w:szCs w:val="30"/>
        </w:rPr>
      </w:pPr>
    </w:p>
    <w:p w14:paraId="5A0C3902">
      <w:pPr>
        <w:spacing w:line="540" w:lineRule="exact"/>
        <w:jc w:val="center"/>
        <w:rPr>
          <w:rFonts w:hAnsi="宋体" w:eastAsia="仿宋_GB2312" w:cs="宋体"/>
          <w:kern w:val="0"/>
          <w:sz w:val="30"/>
          <w:szCs w:val="30"/>
        </w:rPr>
      </w:pPr>
    </w:p>
    <w:p w14:paraId="32DD70E8">
      <w:pPr>
        <w:spacing w:line="540" w:lineRule="exact"/>
        <w:jc w:val="center"/>
        <w:rPr>
          <w:rFonts w:hAnsi="宋体" w:eastAsia="仿宋_GB2312" w:cs="宋体"/>
          <w:kern w:val="0"/>
          <w:sz w:val="30"/>
          <w:szCs w:val="30"/>
        </w:rPr>
      </w:pPr>
    </w:p>
    <w:p w14:paraId="109C3800">
      <w:pPr>
        <w:spacing w:line="540" w:lineRule="exact"/>
        <w:jc w:val="center"/>
        <w:rPr>
          <w:rFonts w:hAnsi="宋体" w:eastAsia="仿宋_GB2312" w:cs="宋体"/>
          <w:kern w:val="0"/>
          <w:sz w:val="30"/>
          <w:szCs w:val="30"/>
        </w:rPr>
      </w:pPr>
    </w:p>
    <w:p w14:paraId="2164AD9A">
      <w:pPr>
        <w:spacing w:line="540" w:lineRule="exact"/>
        <w:jc w:val="center"/>
        <w:rPr>
          <w:rFonts w:hAnsi="宋体" w:eastAsia="仿宋_GB2312" w:cs="宋体"/>
          <w:kern w:val="0"/>
          <w:sz w:val="30"/>
          <w:szCs w:val="30"/>
        </w:rPr>
      </w:pPr>
    </w:p>
    <w:p w14:paraId="50F32E8B">
      <w:pPr>
        <w:spacing w:line="540" w:lineRule="exact"/>
        <w:rPr>
          <w:rFonts w:hAnsi="宋体" w:eastAsia="仿宋_GB2312" w:cs="宋体"/>
          <w:kern w:val="0"/>
          <w:sz w:val="30"/>
          <w:szCs w:val="30"/>
        </w:rPr>
      </w:pPr>
    </w:p>
    <w:p w14:paraId="6B6FCCFA">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14:paraId="6FA1153B">
      <w:pPr>
        <w:spacing w:line="700" w:lineRule="exact"/>
        <w:ind w:firstLine="1080" w:firstLineChars="300"/>
        <w:jc w:val="both"/>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消化2022年暂付款项</w:t>
      </w:r>
    </w:p>
    <w:p w14:paraId="74B45520">
      <w:pPr>
        <w:spacing w:line="540" w:lineRule="exact"/>
        <w:ind w:firstLine="1080" w:firstLineChars="300"/>
        <w:jc w:val="left"/>
        <w:rPr>
          <w:rStyle w:val="19"/>
          <w:rFonts w:hint="eastAsia" w:ascii="楷体" w:hAnsi="楷体" w:eastAsia="楷体"/>
          <w:spacing w:val="-4"/>
          <w:sz w:val="24"/>
          <w:szCs w:val="24"/>
          <w:lang w:eastAsia="zh-CN"/>
        </w:rPr>
      </w:pPr>
      <w:r>
        <w:rPr>
          <w:rFonts w:hint="eastAsia" w:hAnsi="宋体" w:eastAsia="仿宋_GB2312" w:cs="宋体"/>
          <w:kern w:val="0"/>
          <w:sz w:val="36"/>
          <w:szCs w:val="36"/>
        </w:rPr>
        <w:t>实施单位（公章）：</w:t>
      </w:r>
      <w:r>
        <w:rPr>
          <w:rStyle w:val="19"/>
          <w:rFonts w:hint="eastAsia" w:ascii="楷体" w:hAnsi="楷体" w:eastAsia="楷体"/>
          <w:spacing w:val="-4"/>
          <w:sz w:val="24"/>
          <w:szCs w:val="24"/>
        </w:rPr>
        <w:t>乌鲁木齐市水磨沟</w:t>
      </w:r>
      <w:r>
        <w:rPr>
          <w:rStyle w:val="19"/>
          <w:rFonts w:hint="eastAsia" w:ascii="楷体" w:hAnsi="楷体" w:eastAsia="楷体"/>
          <w:spacing w:val="-4"/>
          <w:sz w:val="24"/>
          <w:szCs w:val="24"/>
          <w:lang w:eastAsia="zh-CN"/>
        </w:rPr>
        <w:t>区南湖广场管理中心</w:t>
      </w:r>
    </w:p>
    <w:p w14:paraId="69039DE2">
      <w:pPr>
        <w:spacing w:line="540" w:lineRule="exact"/>
        <w:ind w:firstLine="1080" w:firstLineChars="300"/>
        <w:jc w:val="left"/>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4"/>
          <w:szCs w:val="24"/>
        </w:rPr>
        <w:t>乌鲁木齐市水磨沟</w:t>
      </w:r>
      <w:r>
        <w:rPr>
          <w:rStyle w:val="19"/>
          <w:rFonts w:hint="eastAsia" w:ascii="楷体" w:hAnsi="楷体" w:eastAsia="楷体"/>
          <w:spacing w:val="-4"/>
          <w:sz w:val="24"/>
          <w:szCs w:val="24"/>
          <w:lang w:eastAsia="zh-CN"/>
        </w:rPr>
        <w:t>区南湖广场管理中心</w:t>
      </w:r>
    </w:p>
    <w:p w14:paraId="0557C143">
      <w:pPr>
        <w:spacing w:line="540" w:lineRule="exact"/>
        <w:ind w:firstLine="1080" w:firstLineChars="300"/>
        <w:jc w:val="left"/>
        <w:rPr>
          <w:rFonts w:hint="eastAsia" w:ascii="楷体" w:hAnsi="楷体" w:eastAsia="仿宋_GB2312"/>
          <w:b/>
          <w:bCs/>
          <w:spacing w:val="-4"/>
          <w:sz w:val="32"/>
          <w:szCs w:val="32"/>
          <w:lang w:eastAsia="zh-CN"/>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lang w:eastAsia="zh-CN"/>
        </w:rPr>
        <w:t>杨光文</w:t>
      </w:r>
    </w:p>
    <w:p w14:paraId="6362DFAF">
      <w:pPr>
        <w:spacing w:line="540" w:lineRule="exact"/>
        <w:ind w:firstLine="1080" w:firstLineChars="300"/>
        <w:jc w:val="left"/>
        <w:rPr>
          <w:rStyle w:val="19"/>
          <w:rFonts w:ascii="黑体" w:hAnsi="黑体" w:eastAsia="黑体"/>
          <w:b w:val="0"/>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2024年05月19日</w:t>
      </w:r>
    </w:p>
    <w:p w14:paraId="7D4C68BD">
      <w:pPr>
        <w:spacing w:line="540" w:lineRule="exact"/>
        <w:ind w:firstLine="640"/>
        <w:rPr>
          <w:rStyle w:val="19"/>
          <w:rFonts w:hint="eastAsia" w:ascii="黑体" w:hAnsi="黑体" w:eastAsia="黑体"/>
          <w:b w:val="0"/>
          <w:spacing w:val="-4"/>
          <w:sz w:val="32"/>
          <w:szCs w:val="32"/>
        </w:rPr>
      </w:pPr>
    </w:p>
    <w:p w14:paraId="53BA78B3">
      <w:pPr>
        <w:spacing w:line="540" w:lineRule="exact"/>
        <w:ind w:firstLine="640"/>
        <w:rPr>
          <w:rStyle w:val="19"/>
          <w:rFonts w:hint="eastAsia" w:ascii="黑体" w:hAnsi="黑体" w:eastAsia="黑体"/>
          <w:b w:val="0"/>
          <w:spacing w:val="-4"/>
          <w:sz w:val="32"/>
          <w:szCs w:val="32"/>
        </w:rPr>
      </w:pPr>
    </w:p>
    <w:p w14:paraId="1C5FD07E">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2D549D2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w:t>
      </w:r>
    </w:p>
    <w:p w14:paraId="644CF04D">
      <w:pPr>
        <w:spacing w:line="540" w:lineRule="exact"/>
        <w:ind w:firstLine="567"/>
        <w:rPr>
          <w:rStyle w:val="19"/>
          <w:rFonts w:hint="eastAsia" w:ascii="楷体" w:hAnsi="楷体" w:eastAsia="楷体"/>
          <w:b w:val="0"/>
          <w:bCs w:val="0"/>
          <w:spacing w:val="-4"/>
          <w:sz w:val="32"/>
          <w:szCs w:val="32"/>
          <w:vertAlign w:val="baseline"/>
          <w:lang w:eastAsia="zh-CN"/>
        </w:rPr>
      </w:pPr>
      <w:r>
        <w:rPr>
          <w:rStyle w:val="19"/>
          <w:rFonts w:hint="eastAsia" w:ascii="楷体" w:hAnsi="楷体" w:eastAsia="楷体"/>
          <w:b w:val="0"/>
          <w:bCs w:val="0"/>
          <w:spacing w:val="-4"/>
          <w:sz w:val="32"/>
          <w:szCs w:val="32"/>
        </w:rPr>
        <w:t>该项目实施背景：按照项目绩效评价要求，选取资金支出占比超过20%项目，按全口径部门支出决算金额计算，2022年4月，自治区财政厅印发《关于进一步加强自治区财政暂付款管理有关事项的通知》（新财库[2022]20号），要求各地严格执行财政部有关规定，严禁暂付性款项科目混用，严禁违规新增暂付性款项，加强对暂付款的监测分析，及时通报预警，落实工作责任，严肃追责问责。根据水财发【2023】45号-关于下达2023年水磨沟区部门预算的通知，乌鲁木齐市水磨沟</w:t>
      </w:r>
      <w:r>
        <w:rPr>
          <w:rStyle w:val="19"/>
          <w:rFonts w:hint="eastAsia" w:ascii="楷体" w:hAnsi="楷体" w:eastAsia="楷体"/>
          <w:b w:val="0"/>
          <w:bCs w:val="0"/>
          <w:spacing w:val="-4"/>
          <w:sz w:val="32"/>
          <w:szCs w:val="32"/>
          <w:lang w:eastAsia="zh-CN"/>
        </w:rPr>
        <w:t>区南湖广场管理中心</w:t>
      </w:r>
      <w:r>
        <w:rPr>
          <w:rStyle w:val="19"/>
          <w:rFonts w:hint="eastAsia" w:ascii="楷体" w:hAnsi="楷体" w:eastAsia="楷体"/>
          <w:b w:val="0"/>
          <w:bCs w:val="0"/>
          <w:spacing w:val="-4"/>
          <w:sz w:val="32"/>
          <w:szCs w:val="32"/>
        </w:rPr>
        <w:t>2023年初设立项目“消化2022年暂付款项”，项目内包含4项资金，具体内容如下：</w:t>
      </w:r>
      <w:r>
        <w:rPr>
          <w:rStyle w:val="19"/>
          <w:rFonts w:hint="eastAsia" w:ascii="楷体" w:hAnsi="楷体" w:eastAsia="楷体"/>
          <w:b w:val="0"/>
          <w:bCs w:val="0"/>
          <w:spacing w:val="-4"/>
          <w:sz w:val="32"/>
          <w:szCs w:val="32"/>
        </w:rPr>
        <w:cr/>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2935"/>
        <w:gridCol w:w="2936"/>
        <w:gridCol w:w="2936"/>
      </w:tblGrid>
      <w:tr w14:paraId="29737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935" w:type="dxa"/>
          </w:tcPr>
          <w:p w14:paraId="3B7661D0">
            <w:pPr>
              <w:spacing w:line="540" w:lineRule="exact"/>
              <w:jc w:val="center"/>
              <w:rPr>
                <w:rStyle w:val="19"/>
                <w:rFonts w:hint="eastAsia" w:ascii="楷体" w:hAnsi="楷体" w:eastAsia="楷体"/>
                <w:b w:val="0"/>
                <w:bCs w:val="0"/>
                <w:spacing w:val="-4"/>
                <w:sz w:val="32"/>
                <w:szCs w:val="32"/>
                <w:vertAlign w:val="baseline"/>
                <w:lang w:eastAsia="zh-CN"/>
              </w:rPr>
            </w:pPr>
            <w:r>
              <w:rPr>
                <w:rStyle w:val="19"/>
                <w:rFonts w:hint="eastAsia" w:ascii="楷体" w:hAnsi="楷体" w:eastAsia="楷体"/>
                <w:b w:val="0"/>
                <w:bCs w:val="0"/>
                <w:spacing w:val="-4"/>
                <w:sz w:val="32"/>
                <w:szCs w:val="32"/>
              </w:rPr>
              <w:t>序号</w:t>
            </w:r>
          </w:p>
        </w:tc>
        <w:tc>
          <w:tcPr>
            <w:tcW w:w="2936" w:type="dxa"/>
          </w:tcPr>
          <w:p w14:paraId="0CC50521">
            <w:pPr>
              <w:spacing w:line="540" w:lineRule="exact"/>
              <w:jc w:val="center"/>
              <w:rPr>
                <w:rStyle w:val="19"/>
                <w:rFonts w:hint="eastAsia" w:ascii="楷体" w:hAnsi="楷体" w:eastAsia="楷体"/>
                <w:b w:val="0"/>
                <w:bCs w:val="0"/>
                <w:spacing w:val="-4"/>
                <w:sz w:val="32"/>
                <w:szCs w:val="32"/>
                <w:vertAlign w:val="baseline"/>
                <w:lang w:eastAsia="zh-CN"/>
              </w:rPr>
            </w:pPr>
            <w:r>
              <w:rPr>
                <w:rStyle w:val="19"/>
                <w:rFonts w:hint="eastAsia" w:ascii="楷体" w:hAnsi="楷体" w:eastAsia="楷体"/>
                <w:b w:val="0"/>
                <w:bCs w:val="0"/>
                <w:spacing w:val="-4"/>
                <w:sz w:val="32"/>
                <w:szCs w:val="32"/>
              </w:rPr>
              <w:t>名称</w:t>
            </w:r>
          </w:p>
        </w:tc>
        <w:tc>
          <w:tcPr>
            <w:tcW w:w="2936" w:type="dxa"/>
          </w:tcPr>
          <w:p w14:paraId="019A0944">
            <w:pPr>
              <w:spacing w:line="540" w:lineRule="exact"/>
              <w:jc w:val="center"/>
              <w:rPr>
                <w:rStyle w:val="19"/>
                <w:rFonts w:hint="eastAsia" w:ascii="楷体" w:hAnsi="楷体" w:eastAsia="楷体"/>
                <w:b w:val="0"/>
                <w:bCs w:val="0"/>
                <w:spacing w:val="-4"/>
                <w:sz w:val="32"/>
                <w:szCs w:val="32"/>
                <w:vertAlign w:val="baseline"/>
                <w:lang w:eastAsia="zh-CN"/>
              </w:rPr>
            </w:pPr>
            <w:r>
              <w:rPr>
                <w:rStyle w:val="19"/>
                <w:rFonts w:hint="eastAsia" w:ascii="楷体" w:hAnsi="楷体" w:eastAsia="楷体"/>
                <w:b w:val="0"/>
                <w:bCs w:val="0"/>
                <w:spacing w:val="-4"/>
                <w:sz w:val="32"/>
                <w:szCs w:val="32"/>
              </w:rPr>
              <w:t>金额（元）</w:t>
            </w:r>
          </w:p>
        </w:tc>
      </w:tr>
      <w:tr w14:paraId="207E7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935" w:type="dxa"/>
          </w:tcPr>
          <w:p w14:paraId="590CECA6">
            <w:pPr>
              <w:spacing w:line="540" w:lineRule="exact"/>
              <w:jc w:val="center"/>
              <w:rPr>
                <w:rStyle w:val="19"/>
                <w:rFonts w:hint="default" w:ascii="楷体" w:hAnsi="楷体" w:eastAsia="楷体"/>
                <w:b w:val="0"/>
                <w:bCs w:val="0"/>
                <w:spacing w:val="-4"/>
                <w:sz w:val="32"/>
                <w:szCs w:val="32"/>
                <w:vertAlign w:val="baseline"/>
                <w:lang w:val="en-US" w:eastAsia="zh-CN"/>
              </w:rPr>
            </w:pPr>
            <w:r>
              <w:rPr>
                <w:rStyle w:val="19"/>
                <w:rFonts w:hint="eastAsia" w:ascii="楷体" w:hAnsi="楷体" w:eastAsia="楷体"/>
                <w:b w:val="0"/>
                <w:bCs w:val="0"/>
                <w:spacing w:val="-4"/>
                <w:sz w:val="32"/>
                <w:szCs w:val="32"/>
                <w:vertAlign w:val="baseline"/>
                <w:lang w:val="en-US" w:eastAsia="zh-CN"/>
              </w:rPr>
              <w:t>1</w:t>
            </w:r>
          </w:p>
        </w:tc>
        <w:tc>
          <w:tcPr>
            <w:tcW w:w="2936" w:type="dxa"/>
          </w:tcPr>
          <w:p w14:paraId="49E1C903">
            <w:pPr>
              <w:spacing w:line="540" w:lineRule="exact"/>
              <w:jc w:val="center"/>
              <w:rPr>
                <w:rStyle w:val="19"/>
                <w:rFonts w:hint="eastAsia" w:ascii="楷体" w:hAnsi="楷体" w:eastAsia="楷体"/>
                <w:b w:val="0"/>
                <w:bCs w:val="0"/>
                <w:spacing w:val="-4"/>
                <w:sz w:val="32"/>
                <w:szCs w:val="32"/>
                <w:vertAlign w:val="baseline"/>
                <w:lang w:eastAsia="zh-CN"/>
              </w:rPr>
            </w:pPr>
            <w:r>
              <w:rPr>
                <w:rStyle w:val="19"/>
                <w:rFonts w:hint="eastAsia" w:ascii="楷体" w:hAnsi="楷体" w:eastAsia="楷体"/>
                <w:b w:val="0"/>
                <w:bCs w:val="0"/>
                <w:spacing w:val="-4"/>
                <w:sz w:val="18"/>
                <w:szCs w:val="18"/>
              </w:rPr>
              <w:t>南湖广场市级公岗保洁员绩效工资</w:t>
            </w:r>
          </w:p>
        </w:tc>
        <w:tc>
          <w:tcPr>
            <w:tcW w:w="2936" w:type="dxa"/>
          </w:tcPr>
          <w:p w14:paraId="01229EA6">
            <w:pPr>
              <w:spacing w:line="540" w:lineRule="exact"/>
              <w:jc w:val="center"/>
              <w:rPr>
                <w:rStyle w:val="19"/>
                <w:rFonts w:hint="eastAsia" w:ascii="楷体" w:hAnsi="楷体" w:eastAsia="楷体"/>
                <w:b w:val="0"/>
                <w:bCs w:val="0"/>
                <w:spacing w:val="-4"/>
                <w:sz w:val="32"/>
                <w:szCs w:val="32"/>
                <w:vertAlign w:val="baseline"/>
                <w:lang w:eastAsia="zh-CN"/>
              </w:rPr>
            </w:pPr>
            <w:r>
              <w:rPr>
                <w:rStyle w:val="19"/>
                <w:rFonts w:hint="eastAsia" w:ascii="楷体" w:hAnsi="楷体" w:eastAsia="楷体"/>
                <w:b w:val="0"/>
                <w:bCs w:val="0"/>
                <w:spacing w:val="-4"/>
                <w:sz w:val="32"/>
                <w:szCs w:val="32"/>
              </w:rPr>
              <w:t>55000</w:t>
            </w:r>
          </w:p>
        </w:tc>
      </w:tr>
      <w:tr w14:paraId="5C411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935" w:type="dxa"/>
          </w:tcPr>
          <w:p w14:paraId="58DEE499">
            <w:pPr>
              <w:spacing w:line="540" w:lineRule="exact"/>
              <w:jc w:val="center"/>
              <w:rPr>
                <w:rStyle w:val="19"/>
                <w:rFonts w:hint="default" w:ascii="楷体" w:hAnsi="楷体" w:eastAsia="楷体"/>
                <w:b w:val="0"/>
                <w:bCs w:val="0"/>
                <w:spacing w:val="-4"/>
                <w:sz w:val="32"/>
                <w:szCs w:val="32"/>
                <w:vertAlign w:val="baseline"/>
                <w:lang w:val="en-US" w:eastAsia="zh-CN"/>
              </w:rPr>
            </w:pPr>
            <w:r>
              <w:rPr>
                <w:rStyle w:val="19"/>
                <w:rFonts w:hint="eastAsia" w:ascii="楷体" w:hAnsi="楷体" w:eastAsia="楷体"/>
                <w:b w:val="0"/>
                <w:bCs w:val="0"/>
                <w:spacing w:val="-4"/>
                <w:sz w:val="32"/>
                <w:szCs w:val="32"/>
                <w:vertAlign w:val="baseline"/>
                <w:lang w:val="en-US" w:eastAsia="zh-CN"/>
              </w:rPr>
              <w:t>2</w:t>
            </w:r>
          </w:p>
        </w:tc>
        <w:tc>
          <w:tcPr>
            <w:tcW w:w="2936" w:type="dxa"/>
          </w:tcPr>
          <w:p w14:paraId="48CA0C81">
            <w:pPr>
              <w:spacing w:line="540" w:lineRule="exact"/>
              <w:jc w:val="center"/>
              <w:rPr>
                <w:rStyle w:val="19"/>
                <w:rFonts w:hint="eastAsia" w:ascii="楷体" w:hAnsi="楷体" w:eastAsia="楷体"/>
                <w:b w:val="0"/>
                <w:bCs w:val="0"/>
                <w:spacing w:val="-4"/>
                <w:sz w:val="32"/>
                <w:szCs w:val="32"/>
                <w:vertAlign w:val="baseline"/>
                <w:lang w:eastAsia="zh-CN"/>
              </w:rPr>
            </w:pPr>
            <w:r>
              <w:rPr>
                <w:rStyle w:val="19"/>
                <w:rFonts w:hint="eastAsia" w:ascii="楷体" w:hAnsi="楷体" w:eastAsia="楷体"/>
                <w:b w:val="0"/>
                <w:bCs w:val="0"/>
                <w:spacing w:val="-4"/>
                <w:sz w:val="22"/>
                <w:szCs w:val="22"/>
              </w:rPr>
              <w:t>南湖广场安保人员外包经费</w:t>
            </w:r>
          </w:p>
        </w:tc>
        <w:tc>
          <w:tcPr>
            <w:tcW w:w="2936" w:type="dxa"/>
          </w:tcPr>
          <w:p w14:paraId="0C31FB80">
            <w:pPr>
              <w:spacing w:line="540" w:lineRule="exact"/>
              <w:jc w:val="center"/>
              <w:rPr>
                <w:rStyle w:val="19"/>
                <w:rFonts w:hint="default" w:ascii="楷体" w:hAnsi="楷体" w:eastAsia="楷体"/>
                <w:b w:val="0"/>
                <w:bCs w:val="0"/>
                <w:spacing w:val="-4"/>
                <w:sz w:val="32"/>
                <w:szCs w:val="32"/>
                <w:vertAlign w:val="baseline"/>
                <w:lang w:val="en-US" w:eastAsia="zh-CN"/>
              </w:rPr>
            </w:pPr>
            <w:r>
              <w:rPr>
                <w:rStyle w:val="19"/>
                <w:rFonts w:hint="eastAsia" w:ascii="楷体" w:hAnsi="楷体" w:eastAsia="楷体"/>
                <w:b w:val="0"/>
                <w:bCs w:val="0"/>
                <w:spacing w:val="-4"/>
                <w:sz w:val="32"/>
                <w:szCs w:val="32"/>
                <w:vertAlign w:val="baseline"/>
                <w:lang w:val="en-US" w:eastAsia="zh-CN"/>
              </w:rPr>
              <w:t>3356124</w:t>
            </w:r>
          </w:p>
        </w:tc>
      </w:tr>
      <w:tr w14:paraId="3A191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935" w:type="dxa"/>
          </w:tcPr>
          <w:p w14:paraId="2192738A">
            <w:pPr>
              <w:spacing w:line="540" w:lineRule="exact"/>
              <w:jc w:val="center"/>
              <w:rPr>
                <w:rStyle w:val="19"/>
                <w:rFonts w:hint="default" w:ascii="楷体" w:hAnsi="楷体" w:eastAsia="楷体"/>
                <w:b w:val="0"/>
                <w:bCs w:val="0"/>
                <w:spacing w:val="-4"/>
                <w:sz w:val="32"/>
                <w:szCs w:val="32"/>
                <w:vertAlign w:val="baseline"/>
                <w:lang w:val="en-US" w:eastAsia="zh-CN"/>
              </w:rPr>
            </w:pPr>
            <w:r>
              <w:rPr>
                <w:rStyle w:val="19"/>
                <w:rFonts w:hint="eastAsia" w:ascii="楷体" w:hAnsi="楷体" w:eastAsia="楷体"/>
                <w:b w:val="0"/>
                <w:bCs w:val="0"/>
                <w:spacing w:val="-4"/>
                <w:sz w:val="32"/>
                <w:szCs w:val="32"/>
                <w:vertAlign w:val="baseline"/>
                <w:lang w:val="en-US" w:eastAsia="zh-CN"/>
              </w:rPr>
              <w:t>3</w:t>
            </w:r>
          </w:p>
        </w:tc>
        <w:tc>
          <w:tcPr>
            <w:tcW w:w="2936" w:type="dxa"/>
          </w:tcPr>
          <w:p w14:paraId="3E8234E4">
            <w:pPr>
              <w:spacing w:line="540" w:lineRule="exact"/>
              <w:jc w:val="center"/>
              <w:rPr>
                <w:rStyle w:val="19"/>
                <w:rFonts w:hint="eastAsia" w:ascii="楷体" w:hAnsi="楷体" w:eastAsia="楷体"/>
                <w:b w:val="0"/>
                <w:bCs w:val="0"/>
                <w:spacing w:val="-4"/>
                <w:sz w:val="32"/>
                <w:szCs w:val="32"/>
                <w:vertAlign w:val="baseline"/>
                <w:lang w:eastAsia="zh-CN"/>
              </w:rPr>
            </w:pPr>
            <w:r>
              <w:rPr>
                <w:rStyle w:val="19"/>
                <w:rFonts w:hint="eastAsia" w:ascii="楷体" w:hAnsi="楷体" w:eastAsia="楷体"/>
                <w:b w:val="0"/>
                <w:bCs w:val="0"/>
                <w:spacing w:val="-4"/>
                <w:sz w:val="24"/>
                <w:szCs w:val="24"/>
                <w:vertAlign w:val="baseline"/>
                <w:lang w:eastAsia="zh-CN"/>
              </w:rPr>
              <w:t>市场化养护经费</w:t>
            </w:r>
          </w:p>
        </w:tc>
        <w:tc>
          <w:tcPr>
            <w:tcW w:w="2936" w:type="dxa"/>
          </w:tcPr>
          <w:p w14:paraId="58601F0A">
            <w:pPr>
              <w:spacing w:line="540" w:lineRule="exact"/>
              <w:jc w:val="center"/>
              <w:rPr>
                <w:rStyle w:val="19"/>
                <w:rFonts w:hint="default" w:ascii="楷体" w:hAnsi="楷体" w:eastAsia="楷体"/>
                <w:b w:val="0"/>
                <w:bCs w:val="0"/>
                <w:spacing w:val="-4"/>
                <w:sz w:val="32"/>
                <w:szCs w:val="32"/>
                <w:vertAlign w:val="baseline"/>
                <w:lang w:val="en-US" w:eastAsia="zh-CN"/>
              </w:rPr>
            </w:pPr>
            <w:r>
              <w:rPr>
                <w:rStyle w:val="19"/>
                <w:rFonts w:hint="eastAsia" w:ascii="楷体" w:hAnsi="楷体" w:eastAsia="楷体"/>
                <w:b w:val="0"/>
                <w:bCs w:val="0"/>
                <w:spacing w:val="-4"/>
                <w:sz w:val="32"/>
                <w:szCs w:val="32"/>
                <w:vertAlign w:val="baseline"/>
                <w:lang w:val="en-US" w:eastAsia="zh-CN"/>
              </w:rPr>
              <w:t>1416791</w:t>
            </w:r>
          </w:p>
        </w:tc>
      </w:tr>
      <w:tr w14:paraId="75DA7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935" w:type="dxa"/>
          </w:tcPr>
          <w:p w14:paraId="4926EAC2">
            <w:pPr>
              <w:spacing w:line="540" w:lineRule="exact"/>
              <w:jc w:val="center"/>
              <w:rPr>
                <w:rStyle w:val="19"/>
                <w:rFonts w:hint="default" w:ascii="楷体" w:hAnsi="楷体" w:eastAsia="楷体"/>
                <w:b w:val="0"/>
                <w:bCs w:val="0"/>
                <w:spacing w:val="-4"/>
                <w:sz w:val="32"/>
                <w:szCs w:val="32"/>
                <w:vertAlign w:val="baseline"/>
                <w:lang w:val="en-US" w:eastAsia="zh-CN"/>
              </w:rPr>
            </w:pPr>
            <w:r>
              <w:rPr>
                <w:rStyle w:val="19"/>
                <w:rFonts w:hint="eastAsia" w:ascii="楷体" w:hAnsi="楷体" w:eastAsia="楷体"/>
                <w:b w:val="0"/>
                <w:bCs w:val="0"/>
                <w:spacing w:val="-4"/>
                <w:sz w:val="32"/>
                <w:szCs w:val="32"/>
                <w:vertAlign w:val="baseline"/>
                <w:lang w:val="en-US" w:eastAsia="zh-CN"/>
              </w:rPr>
              <w:t>4</w:t>
            </w:r>
          </w:p>
        </w:tc>
        <w:tc>
          <w:tcPr>
            <w:tcW w:w="2936" w:type="dxa"/>
          </w:tcPr>
          <w:p w14:paraId="138ECEB4">
            <w:pPr>
              <w:spacing w:line="540" w:lineRule="exact"/>
              <w:jc w:val="center"/>
              <w:rPr>
                <w:rStyle w:val="19"/>
                <w:rFonts w:hint="eastAsia" w:ascii="楷体" w:hAnsi="楷体" w:eastAsia="楷体"/>
                <w:b w:val="0"/>
                <w:bCs w:val="0"/>
                <w:spacing w:val="-4"/>
                <w:sz w:val="24"/>
                <w:szCs w:val="24"/>
                <w:vertAlign w:val="baseline"/>
                <w:lang w:eastAsia="zh-CN"/>
              </w:rPr>
            </w:pPr>
            <w:r>
              <w:rPr>
                <w:rStyle w:val="19"/>
                <w:rFonts w:hint="eastAsia" w:ascii="楷体" w:hAnsi="楷体" w:eastAsia="楷体"/>
                <w:b w:val="0"/>
                <w:bCs w:val="0"/>
                <w:spacing w:val="-4"/>
                <w:sz w:val="24"/>
                <w:szCs w:val="24"/>
                <w:vertAlign w:val="baseline"/>
                <w:lang w:eastAsia="zh-CN"/>
              </w:rPr>
              <w:t>运转类公用经费项目</w:t>
            </w:r>
          </w:p>
        </w:tc>
        <w:tc>
          <w:tcPr>
            <w:tcW w:w="2936" w:type="dxa"/>
          </w:tcPr>
          <w:p w14:paraId="43C28451">
            <w:pPr>
              <w:spacing w:line="540" w:lineRule="exact"/>
              <w:jc w:val="center"/>
              <w:rPr>
                <w:rStyle w:val="19"/>
                <w:rFonts w:hint="default" w:ascii="楷体" w:hAnsi="楷体" w:eastAsia="楷体"/>
                <w:b w:val="0"/>
                <w:bCs w:val="0"/>
                <w:spacing w:val="-4"/>
                <w:sz w:val="32"/>
                <w:szCs w:val="32"/>
                <w:vertAlign w:val="baseline"/>
                <w:lang w:val="en-US" w:eastAsia="zh-CN"/>
              </w:rPr>
            </w:pPr>
            <w:r>
              <w:rPr>
                <w:rStyle w:val="19"/>
                <w:rFonts w:hint="eastAsia" w:ascii="楷体" w:hAnsi="楷体" w:eastAsia="楷体"/>
                <w:b w:val="0"/>
                <w:bCs w:val="0"/>
                <w:spacing w:val="-4"/>
                <w:sz w:val="32"/>
                <w:szCs w:val="32"/>
                <w:vertAlign w:val="baseline"/>
                <w:lang w:val="en-US" w:eastAsia="zh-CN"/>
              </w:rPr>
              <w:t>614400</w:t>
            </w:r>
          </w:p>
        </w:tc>
      </w:tr>
    </w:tbl>
    <w:p w14:paraId="20451EBC">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项目的主要实施内容：①南湖广场市级公岗保洁员绩效工资，主要用于支付临时聘用人员工资;②南湖广场安保人员外包经费，主要用于支付</w:t>
      </w:r>
      <w:r>
        <w:rPr>
          <w:rStyle w:val="19"/>
          <w:rFonts w:hint="eastAsia" w:ascii="楷体" w:hAnsi="楷体" w:eastAsia="楷体"/>
          <w:b w:val="0"/>
          <w:bCs w:val="0"/>
          <w:spacing w:val="-4"/>
          <w:sz w:val="32"/>
          <w:szCs w:val="32"/>
          <w:lang w:eastAsia="zh-CN"/>
        </w:rPr>
        <w:t>安保人员工资</w:t>
      </w:r>
      <w:r>
        <w:rPr>
          <w:rStyle w:val="19"/>
          <w:rFonts w:hint="eastAsia" w:ascii="楷体" w:hAnsi="楷体" w:eastAsia="楷体"/>
          <w:b w:val="0"/>
          <w:bCs w:val="0"/>
          <w:spacing w:val="-4"/>
          <w:sz w:val="32"/>
          <w:szCs w:val="32"/>
        </w:rPr>
        <w:t>;③</w:t>
      </w:r>
      <w:r>
        <w:rPr>
          <w:rStyle w:val="19"/>
          <w:rFonts w:hint="eastAsia" w:ascii="楷体" w:hAnsi="楷体" w:eastAsia="楷体"/>
          <w:b w:val="0"/>
          <w:bCs w:val="0"/>
          <w:spacing w:val="-4"/>
          <w:sz w:val="32"/>
          <w:szCs w:val="32"/>
          <w:lang w:eastAsia="zh-CN"/>
        </w:rPr>
        <w:t>市场化养护经费</w:t>
      </w:r>
      <w:r>
        <w:rPr>
          <w:rStyle w:val="19"/>
          <w:rFonts w:hint="eastAsia" w:ascii="楷体" w:hAnsi="楷体" w:eastAsia="楷体"/>
          <w:b w:val="0"/>
          <w:bCs w:val="0"/>
          <w:spacing w:val="-4"/>
          <w:sz w:val="32"/>
          <w:szCs w:val="32"/>
        </w:rPr>
        <w:t>，主要用于</w:t>
      </w:r>
      <w:r>
        <w:rPr>
          <w:rStyle w:val="19"/>
          <w:rFonts w:hint="eastAsia" w:ascii="楷体" w:hAnsi="楷体" w:eastAsia="楷体"/>
          <w:b w:val="0"/>
          <w:bCs w:val="0"/>
          <w:spacing w:val="-4"/>
          <w:sz w:val="32"/>
          <w:szCs w:val="32"/>
          <w:lang w:eastAsia="zh-CN"/>
        </w:rPr>
        <w:t>保障广场内部绿化养护产生的费用</w:t>
      </w:r>
      <w:r>
        <w:rPr>
          <w:rStyle w:val="19"/>
          <w:rFonts w:hint="eastAsia" w:ascii="楷体" w:hAnsi="楷体" w:eastAsia="楷体"/>
          <w:b w:val="0"/>
          <w:bCs w:val="0"/>
          <w:spacing w:val="-4"/>
          <w:sz w:val="32"/>
          <w:szCs w:val="32"/>
        </w:rPr>
        <w:t>；④</w:t>
      </w:r>
      <w:r>
        <w:rPr>
          <w:rStyle w:val="19"/>
          <w:rFonts w:hint="eastAsia" w:ascii="楷体" w:hAnsi="楷体" w:eastAsia="楷体"/>
          <w:b w:val="0"/>
          <w:bCs w:val="0"/>
          <w:spacing w:val="-4"/>
          <w:sz w:val="32"/>
          <w:szCs w:val="32"/>
          <w:lang w:eastAsia="zh-CN"/>
        </w:rPr>
        <w:t>运转类公用经费项目</w:t>
      </w:r>
      <w:r>
        <w:rPr>
          <w:rStyle w:val="19"/>
          <w:rFonts w:hint="eastAsia" w:ascii="楷体" w:hAnsi="楷体" w:eastAsia="楷体"/>
          <w:b w:val="0"/>
          <w:bCs w:val="0"/>
          <w:spacing w:val="-4"/>
          <w:sz w:val="32"/>
          <w:szCs w:val="32"/>
        </w:rPr>
        <w:t>，主要为</w:t>
      </w:r>
      <w:r>
        <w:rPr>
          <w:rStyle w:val="19"/>
          <w:rFonts w:hint="eastAsia" w:ascii="楷体" w:hAnsi="楷体" w:eastAsia="楷体"/>
          <w:b w:val="0"/>
          <w:bCs w:val="0"/>
          <w:spacing w:val="-4"/>
          <w:sz w:val="32"/>
          <w:szCs w:val="32"/>
          <w:lang w:eastAsia="zh-CN"/>
        </w:rPr>
        <w:t>保洁人员工资</w:t>
      </w:r>
      <w:r>
        <w:rPr>
          <w:rStyle w:val="19"/>
          <w:rFonts w:hint="eastAsia" w:ascii="楷体" w:hAnsi="楷体" w:eastAsia="楷体"/>
          <w:b w:val="0"/>
          <w:bCs w:val="0"/>
          <w:spacing w:val="-4"/>
          <w:sz w:val="32"/>
          <w:szCs w:val="32"/>
        </w:rPr>
        <w:t>,以上4项费用2022年已全部完成，在2023年调整为往来款项。</w:t>
      </w:r>
      <w:r>
        <w:rPr>
          <w:rStyle w:val="19"/>
          <w:rFonts w:hint="eastAsia" w:ascii="楷体" w:hAnsi="楷体" w:eastAsia="楷体"/>
          <w:b w:val="0"/>
          <w:bCs w:val="0"/>
          <w:spacing w:val="-4"/>
          <w:sz w:val="32"/>
          <w:szCs w:val="32"/>
        </w:rPr>
        <w:cr/>
      </w:r>
    </w:p>
    <w:p w14:paraId="19666738">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2023年当年“消化2022年暂付款项”项目已全部完成完成情况，实际完成情况为：①南湖广场市级公岗保洁员绩效工资，已于2022年全部支付完成;②南湖广场安保人员外包经费，已于2022年全部支付完成;③</w:t>
      </w:r>
      <w:r>
        <w:rPr>
          <w:rStyle w:val="19"/>
          <w:rFonts w:hint="eastAsia" w:ascii="楷体" w:hAnsi="楷体" w:eastAsia="楷体"/>
          <w:b w:val="0"/>
          <w:bCs w:val="0"/>
          <w:spacing w:val="-4"/>
          <w:sz w:val="32"/>
          <w:szCs w:val="32"/>
          <w:lang w:eastAsia="zh-CN"/>
        </w:rPr>
        <w:t>市场化养护经费</w:t>
      </w:r>
      <w:r>
        <w:rPr>
          <w:rStyle w:val="19"/>
          <w:rFonts w:hint="eastAsia" w:ascii="楷体" w:hAnsi="楷体" w:eastAsia="楷体"/>
          <w:b w:val="0"/>
          <w:bCs w:val="0"/>
          <w:spacing w:val="-4"/>
          <w:sz w:val="32"/>
          <w:szCs w:val="32"/>
        </w:rPr>
        <w:t>，已于2022年全部支付完成;④</w:t>
      </w:r>
      <w:r>
        <w:rPr>
          <w:rStyle w:val="19"/>
          <w:rFonts w:hint="eastAsia" w:ascii="楷体" w:hAnsi="楷体" w:eastAsia="楷体"/>
          <w:b w:val="0"/>
          <w:bCs w:val="0"/>
          <w:spacing w:val="-4"/>
          <w:sz w:val="32"/>
          <w:szCs w:val="32"/>
          <w:lang w:eastAsia="zh-CN"/>
        </w:rPr>
        <w:t>运转类公用经费项目</w:t>
      </w:r>
      <w:r>
        <w:rPr>
          <w:rStyle w:val="19"/>
          <w:rFonts w:hint="eastAsia" w:ascii="楷体" w:hAnsi="楷体" w:eastAsia="楷体"/>
          <w:b w:val="0"/>
          <w:bCs w:val="0"/>
          <w:spacing w:val="-4"/>
          <w:sz w:val="32"/>
          <w:szCs w:val="32"/>
        </w:rPr>
        <w:t>，已于2022年全部支付完成。该项目资金投入情况：根据水财发【2023】45号-关于下达2023年水磨沟区部门预算的通知，项目系2023年本级资金，共安排预算</w:t>
      </w:r>
      <w:r>
        <w:rPr>
          <w:rStyle w:val="19"/>
          <w:rFonts w:hint="eastAsia" w:ascii="楷体" w:hAnsi="楷体" w:eastAsia="楷体"/>
          <w:b w:val="0"/>
          <w:bCs w:val="0"/>
          <w:spacing w:val="-4"/>
          <w:sz w:val="32"/>
          <w:szCs w:val="32"/>
          <w:lang w:val="en-US" w:eastAsia="zh-CN"/>
        </w:rPr>
        <w:t>564.23</w:t>
      </w:r>
      <w:r>
        <w:rPr>
          <w:rStyle w:val="19"/>
          <w:rFonts w:hint="eastAsia" w:ascii="楷体" w:hAnsi="楷体" w:eastAsia="楷体"/>
          <w:b w:val="0"/>
          <w:bCs w:val="0"/>
          <w:spacing w:val="-4"/>
          <w:sz w:val="32"/>
          <w:szCs w:val="32"/>
        </w:rPr>
        <w:t>万元，于2023年年初部分预算批复项目，年中资金未调整。</w:t>
      </w:r>
    </w:p>
    <w:p w14:paraId="1EAB1D55">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该项目资金使用情况：该项目为年初部门预算项目，年度资金总额</w:t>
      </w:r>
      <w:r>
        <w:rPr>
          <w:rStyle w:val="19"/>
          <w:rFonts w:hint="eastAsia" w:ascii="楷体" w:hAnsi="楷体" w:eastAsia="楷体"/>
          <w:b w:val="0"/>
          <w:bCs w:val="0"/>
          <w:spacing w:val="-4"/>
          <w:sz w:val="32"/>
          <w:szCs w:val="32"/>
          <w:lang w:val="en-US" w:eastAsia="zh-CN"/>
        </w:rPr>
        <w:t>564.23</w:t>
      </w:r>
      <w:r>
        <w:rPr>
          <w:rStyle w:val="19"/>
          <w:rFonts w:hint="eastAsia" w:ascii="楷体" w:hAnsi="楷体" w:eastAsia="楷体"/>
          <w:b w:val="0"/>
          <w:bCs w:val="0"/>
          <w:spacing w:val="-4"/>
          <w:sz w:val="32"/>
          <w:szCs w:val="32"/>
        </w:rPr>
        <w:t>万元，其中：财政拨款</w:t>
      </w:r>
      <w:r>
        <w:rPr>
          <w:rStyle w:val="19"/>
          <w:rFonts w:hint="eastAsia" w:ascii="楷体" w:hAnsi="楷体" w:eastAsia="楷体"/>
          <w:b w:val="0"/>
          <w:bCs w:val="0"/>
          <w:spacing w:val="-4"/>
          <w:sz w:val="32"/>
          <w:szCs w:val="32"/>
          <w:lang w:val="en-US" w:eastAsia="zh-CN"/>
        </w:rPr>
        <w:t>564.23</w:t>
      </w:r>
      <w:r>
        <w:rPr>
          <w:rStyle w:val="19"/>
          <w:rFonts w:hint="eastAsia" w:ascii="楷体" w:hAnsi="楷体" w:eastAsia="楷体"/>
          <w:b w:val="0"/>
          <w:bCs w:val="0"/>
          <w:spacing w:val="-4"/>
          <w:sz w:val="32"/>
          <w:szCs w:val="32"/>
        </w:rPr>
        <w:t>万元，项目内资金分为4项，①南湖广场市级公岗保洁员绩效工资，已于2022年全部支付完成;②南湖广场安保人员外包经费，已于2022年全部支付完成;③</w:t>
      </w:r>
      <w:r>
        <w:rPr>
          <w:rStyle w:val="19"/>
          <w:rFonts w:hint="eastAsia" w:ascii="楷体" w:hAnsi="楷体" w:eastAsia="楷体"/>
          <w:b w:val="0"/>
          <w:bCs w:val="0"/>
          <w:spacing w:val="-4"/>
          <w:sz w:val="32"/>
          <w:szCs w:val="32"/>
          <w:lang w:eastAsia="zh-CN"/>
        </w:rPr>
        <w:t>市场化养护经费</w:t>
      </w:r>
      <w:r>
        <w:rPr>
          <w:rStyle w:val="19"/>
          <w:rFonts w:hint="eastAsia" w:ascii="楷体" w:hAnsi="楷体" w:eastAsia="楷体"/>
          <w:b w:val="0"/>
          <w:bCs w:val="0"/>
          <w:spacing w:val="-4"/>
          <w:sz w:val="32"/>
          <w:szCs w:val="32"/>
        </w:rPr>
        <w:t>，已于2022年全部支付完成;④</w:t>
      </w:r>
      <w:r>
        <w:rPr>
          <w:rStyle w:val="19"/>
          <w:rFonts w:hint="eastAsia" w:ascii="楷体" w:hAnsi="楷体" w:eastAsia="楷体"/>
          <w:b w:val="0"/>
          <w:bCs w:val="0"/>
          <w:spacing w:val="-4"/>
          <w:sz w:val="32"/>
          <w:szCs w:val="32"/>
          <w:lang w:eastAsia="zh-CN"/>
        </w:rPr>
        <w:t>运转类公用经费项目</w:t>
      </w:r>
      <w:r>
        <w:rPr>
          <w:rStyle w:val="19"/>
          <w:rFonts w:hint="eastAsia" w:ascii="楷体" w:hAnsi="楷体" w:eastAsia="楷体"/>
          <w:b w:val="0"/>
          <w:bCs w:val="0"/>
          <w:spacing w:val="-4"/>
          <w:sz w:val="32"/>
          <w:szCs w:val="32"/>
        </w:rPr>
        <w:t>，已于2022年全部支付完成</w:t>
      </w:r>
      <w:r>
        <w:rPr>
          <w:rStyle w:val="19"/>
          <w:rFonts w:hint="eastAsia" w:ascii="楷体" w:hAnsi="楷体" w:eastAsia="楷体"/>
          <w:b w:val="0"/>
          <w:bCs w:val="0"/>
          <w:spacing w:val="-4"/>
          <w:sz w:val="32"/>
          <w:szCs w:val="32"/>
          <w:lang w:eastAsia="zh-CN"/>
        </w:rPr>
        <w:t>。</w:t>
      </w:r>
      <w:r>
        <w:rPr>
          <w:rStyle w:val="19"/>
          <w:rFonts w:hint="eastAsia" w:ascii="楷体" w:hAnsi="楷体" w:eastAsia="楷体"/>
          <w:b w:val="0"/>
          <w:bCs w:val="0"/>
          <w:spacing w:val="-4"/>
          <w:sz w:val="32"/>
          <w:szCs w:val="32"/>
        </w:rPr>
        <w:t xml:space="preserve">预算执行率100%。 </w:t>
      </w:r>
    </w:p>
    <w:p w14:paraId="6544C16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46FC9FBF">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p>
    <w:p w14:paraId="04022B73">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该项目为当年一次性项目。</w:t>
      </w:r>
    </w:p>
    <w:p w14:paraId="0E9FCC29">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该项目总体绩效目标：①南湖广场市级公岗保洁员绩效工资，目标为</w:t>
      </w:r>
      <w:r>
        <w:rPr>
          <w:rStyle w:val="19"/>
          <w:rFonts w:hint="eastAsia" w:ascii="楷体" w:hAnsi="楷体" w:eastAsia="楷体"/>
          <w:b w:val="0"/>
          <w:bCs w:val="0"/>
          <w:spacing w:val="-4"/>
          <w:sz w:val="32"/>
          <w:szCs w:val="32"/>
          <w:lang w:eastAsia="zh-CN"/>
        </w:rPr>
        <w:t>保障广场环境整洁</w:t>
      </w:r>
      <w:r>
        <w:rPr>
          <w:rStyle w:val="19"/>
          <w:rFonts w:hint="eastAsia" w:ascii="楷体" w:hAnsi="楷体" w:eastAsia="楷体"/>
          <w:b w:val="0"/>
          <w:bCs w:val="0"/>
          <w:spacing w:val="-4"/>
          <w:sz w:val="32"/>
          <w:szCs w:val="32"/>
        </w:rPr>
        <w:t>;②南湖广场安保人员外包经费，目标为改善</w:t>
      </w:r>
      <w:r>
        <w:rPr>
          <w:rStyle w:val="19"/>
          <w:rFonts w:hint="eastAsia" w:ascii="楷体" w:hAnsi="楷体" w:eastAsia="楷体"/>
          <w:b w:val="0"/>
          <w:bCs w:val="0"/>
          <w:spacing w:val="-4"/>
          <w:sz w:val="32"/>
          <w:szCs w:val="32"/>
          <w:lang w:eastAsia="zh-CN"/>
        </w:rPr>
        <w:t>广场</w:t>
      </w:r>
      <w:r>
        <w:rPr>
          <w:rStyle w:val="19"/>
          <w:rFonts w:hint="eastAsia" w:ascii="楷体" w:hAnsi="楷体" w:eastAsia="楷体"/>
          <w:b w:val="0"/>
          <w:bCs w:val="0"/>
          <w:spacing w:val="-4"/>
          <w:sz w:val="32"/>
          <w:szCs w:val="32"/>
        </w:rPr>
        <w:t>内人防、物防、技防条件，提高安全防范水平</w:t>
      </w:r>
      <w:r>
        <w:rPr>
          <w:rStyle w:val="19"/>
          <w:rFonts w:hint="eastAsia" w:ascii="楷体" w:hAnsi="楷体" w:eastAsia="楷体"/>
          <w:b w:val="0"/>
          <w:bCs w:val="0"/>
          <w:spacing w:val="-4"/>
          <w:sz w:val="32"/>
          <w:szCs w:val="32"/>
          <w:lang w:eastAsia="zh-CN"/>
        </w:rPr>
        <w:t>；</w:t>
      </w:r>
      <w:r>
        <w:rPr>
          <w:rStyle w:val="19"/>
          <w:rFonts w:hint="eastAsia" w:ascii="楷体" w:hAnsi="楷体" w:eastAsia="楷体"/>
          <w:b w:val="0"/>
          <w:bCs w:val="0"/>
          <w:spacing w:val="-4"/>
          <w:sz w:val="32"/>
          <w:szCs w:val="32"/>
        </w:rPr>
        <w:t>③</w:t>
      </w:r>
      <w:r>
        <w:rPr>
          <w:rStyle w:val="19"/>
          <w:rFonts w:hint="eastAsia" w:ascii="楷体" w:hAnsi="楷体" w:eastAsia="楷体"/>
          <w:b w:val="0"/>
          <w:bCs w:val="0"/>
          <w:spacing w:val="-4"/>
          <w:sz w:val="32"/>
          <w:szCs w:val="32"/>
          <w:lang w:eastAsia="zh-CN"/>
        </w:rPr>
        <w:t>市场化养护经费</w:t>
      </w:r>
      <w:r>
        <w:rPr>
          <w:rStyle w:val="19"/>
          <w:rFonts w:hint="eastAsia" w:ascii="楷体" w:hAnsi="楷体" w:eastAsia="楷体"/>
          <w:b w:val="0"/>
          <w:bCs w:val="0"/>
          <w:spacing w:val="-4"/>
          <w:sz w:val="32"/>
          <w:szCs w:val="32"/>
        </w:rPr>
        <w:t>，目标为保障</w:t>
      </w:r>
      <w:r>
        <w:rPr>
          <w:rStyle w:val="19"/>
          <w:rFonts w:hint="eastAsia" w:ascii="楷体" w:hAnsi="楷体" w:eastAsia="楷体"/>
          <w:b w:val="0"/>
          <w:bCs w:val="0"/>
          <w:spacing w:val="-4"/>
          <w:sz w:val="32"/>
          <w:szCs w:val="32"/>
          <w:lang w:eastAsia="zh-CN"/>
        </w:rPr>
        <w:t>广场</w:t>
      </w:r>
      <w:r>
        <w:rPr>
          <w:rStyle w:val="19"/>
          <w:rFonts w:hint="eastAsia" w:ascii="楷体" w:hAnsi="楷体" w:eastAsia="楷体"/>
          <w:b w:val="0"/>
          <w:bCs w:val="0"/>
          <w:spacing w:val="-4"/>
          <w:sz w:val="32"/>
          <w:szCs w:val="32"/>
        </w:rPr>
        <w:t>绿化、灌溉、养护、卫生保洁保绿;④</w:t>
      </w:r>
      <w:r>
        <w:rPr>
          <w:rStyle w:val="19"/>
          <w:rFonts w:hint="eastAsia" w:ascii="楷体" w:hAnsi="楷体" w:eastAsia="楷体"/>
          <w:b w:val="0"/>
          <w:bCs w:val="0"/>
          <w:spacing w:val="-4"/>
          <w:sz w:val="32"/>
          <w:szCs w:val="32"/>
          <w:lang w:eastAsia="zh-CN"/>
        </w:rPr>
        <w:t>运转类公用经费项目，</w:t>
      </w:r>
      <w:r>
        <w:rPr>
          <w:rStyle w:val="19"/>
          <w:rFonts w:hint="eastAsia" w:ascii="楷体" w:hAnsi="楷体" w:eastAsia="楷体"/>
          <w:b w:val="0"/>
          <w:bCs w:val="0"/>
          <w:spacing w:val="-4"/>
          <w:sz w:val="32"/>
          <w:szCs w:val="32"/>
        </w:rPr>
        <w:t>目标为</w:t>
      </w:r>
      <w:r>
        <w:rPr>
          <w:rStyle w:val="19"/>
          <w:rFonts w:hint="eastAsia" w:ascii="楷体" w:hAnsi="楷体" w:eastAsia="楷体"/>
          <w:b w:val="0"/>
          <w:bCs w:val="0"/>
          <w:spacing w:val="-4"/>
          <w:sz w:val="32"/>
          <w:szCs w:val="32"/>
          <w:lang w:eastAsia="zh-CN"/>
        </w:rPr>
        <w:t>及时支付保洁人员工资</w:t>
      </w:r>
      <w:r>
        <w:rPr>
          <w:rStyle w:val="19"/>
          <w:rFonts w:hint="eastAsia" w:ascii="楷体" w:hAnsi="楷体" w:eastAsia="楷体"/>
          <w:b w:val="0"/>
          <w:bCs w:val="0"/>
          <w:spacing w:val="-4"/>
          <w:sz w:val="32"/>
          <w:szCs w:val="32"/>
        </w:rPr>
        <w:t>。</w:t>
      </w:r>
    </w:p>
    <w:p w14:paraId="67BDCB89">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该项目阶段性目标为：①及时，按月支付临时聘用人员工资;②及时、准确发放安保人员工资，有效保障安保人员生活；③根据实际情况，对</w:t>
      </w:r>
      <w:r>
        <w:rPr>
          <w:rStyle w:val="19"/>
          <w:rFonts w:hint="eastAsia" w:ascii="楷体" w:hAnsi="楷体" w:eastAsia="楷体"/>
          <w:b w:val="0"/>
          <w:bCs w:val="0"/>
          <w:spacing w:val="-4"/>
          <w:sz w:val="32"/>
          <w:szCs w:val="32"/>
          <w:lang w:eastAsia="zh-CN"/>
        </w:rPr>
        <w:t>广场</w:t>
      </w:r>
      <w:r>
        <w:rPr>
          <w:rStyle w:val="19"/>
          <w:rFonts w:hint="eastAsia" w:ascii="楷体" w:hAnsi="楷体" w:eastAsia="楷体"/>
          <w:b w:val="0"/>
          <w:bCs w:val="0"/>
          <w:spacing w:val="-4"/>
          <w:sz w:val="32"/>
          <w:szCs w:val="32"/>
        </w:rPr>
        <w:t>内绿化、养护情况及时追踪，及时支付相关费用；④及时</w:t>
      </w:r>
      <w:r>
        <w:rPr>
          <w:rStyle w:val="19"/>
          <w:rFonts w:hint="eastAsia" w:ascii="楷体" w:hAnsi="楷体" w:eastAsia="楷体"/>
          <w:b w:val="0"/>
          <w:bCs w:val="0"/>
          <w:spacing w:val="-4"/>
          <w:sz w:val="32"/>
          <w:szCs w:val="32"/>
          <w:lang w:eastAsia="zh-CN"/>
        </w:rPr>
        <w:t>支付保洁人员工资</w:t>
      </w:r>
      <w:r>
        <w:rPr>
          <w:rStyle w:val="19"/>
          <w:rFonts w:hint="eastAsia" w:ascii="楷体" w:hAnsi="楷体" w:eastAsia="楷体"/>
          <w:b w:val="0"/>
          <w:bCs w:val="0"/>
          <w:spacing w:val="-4"/>
          <w:sz w:val="32"/>
          <w:szCs w:val="32"/>
        </w:rPr>
        <w:t xml:space="preserve">。     </w:t>
      </w:r>
    </w:p>
    <w:p w14:paraId="0BA1CCEC">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6C64F0D2">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5A902CCE">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1. 绩效评价完整性</w:t>
      </w:r>
    </w:p>
    <w:p w14:paraId="0D0947CF">
      <w:pPr>
        <w:ind w:firstLine="624" w:firstLineChars="200"/>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首先，消化2022年暂付款项是一个合并金额项目，项目内资金分为4项，①南湖广场市级公岗保洁员绩效工资，②南湖广场安保人员外包经费，③</w:t>
      </w:r>
      <w:r>
        <w:rPr>
          <w:rStyle w:val="19"/>
          <w:rFonts w:hint="eastAsia" w:ascii="楷体" w:hAnsi="楷体" w:eastAsia="楷体"/>
          <w:b w:val="0"/>
          <w:bCs w:val="0"/>
          <w:spacing w:val="-4"/>
          <w:sz w:val="32"/>
          <w:szCs w:val="32"/>
          <w:lang w:eastAsia="zh-CN"/>
        </w:rPr>
        <w:t>市场化养护经费</w:t>
      </w:r>
      <w:r>
        <w:rPr>
          <w:rStyle w:val="19"/>
          <w:rFonts w:hint="eastAsia" w:ascii="楷体" w:hAnsi="楷体" w:eastAsia="楷体"/>
          <w:b w:val="0"/>
          <w:bCs w:val="0"/>
          <w:spacing w:val="-4"/>
          <w:sz w:val="32"/>
          <w:szCs w:val="32"/>
        </w:rPr>
        <w:t>，④</w:t>
      </w:r>
      <w:r>
        <w:rPr>
          <w:rStyle w:val="19"/>
          <w:rFonts w:hint="eastAsia" w:ascii="楷体" w:hAnsi="楷体" w:eastAsia="楷体"/>
          <w:b w:val="0"/>
          <w:bCs w:val="0"/>
          <w:spacing w:val="-4"/>
          <w:sz w:val="32"/>
          <w:szCs w:val="32"/>
          <w:lang w:eastAsia="zh-CN"/>
        </w:rPr>
        <w:t>运转类公用经费项目，</w:t>
      </w:r>
      <w:r>
        <w:rPr>
          <w:rStyle w:val="19"/>
          <w:rFonts w:hint="eastAsia" w:ascii="楷体" w:hAnsi="楷体" w:eastAsia="楷体"/>
          <w:b w:val="0"/>
          <w:bCs w:val="0"/>
          <w:spacing w:val="-4"/>
          <w:sz w:val="32"/>
          <w:szCs w:val="32"/>
        </w:rPr>
        <w:t>分为产出指标、成本指标和效益指标，这4项资金可以通过绩效评价指标体系完整体现，具体如下：</w:t>
      </w:r>
    </w:p>
    <w:p w14:paraId="3A98A916">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（1）产出指标</w:t>
      </w:r>
    </w:p>
    <w:p w14:paraId="425598CC">
      <w:pPr>
        <w:spacing w:line="540" w:lineRule="exact"/>
        <w:ind w:firstLine="624" w:firstLineChars="200"/>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数量指标，发放人数，年度指标值=</w:t>
      </w:r>
      <w:r>
        <w:rPr>
          <w:rStyle w:val="19"/>
          <w:rFonts w:hint="eastAsia" w:ascii="楷体" w:hAnsi="楷体" w:eastAsia="楷体"/>
          <w:b w:val="0"/>
          <w:bCs w:val="0"/>
          <w:spacing w:val="-4"/>
          <w:sz w:val="32"/>
          <w:szCs w:val="32"/>
          <w:lang w:val="en-US" w:eastAsia="zh-CN"/>
        </w:rPr>
        <w:t>100</w:t>
      </w:r>
      <w:r>
        <w:rPr>
          <w:rStyle w:val="19"/>
          <w:rFonts w:hint="eastAsia" w:ascii="楷体" w:hAnsi="楷体" w:eastAsia="楷体"/>
          <w:b w:val="0"/>
          <w:bCs w:val="0"/>
          <w:spacing w:val="-4"/>
          <w:sz w:val="32"/>
          <w:szCs w:val="32"/>
        </w:rPr>
        <w:t>人，实际完成值=</w:t>
      </w:r>
      <w:r>
        <w:rPr>
          <w:rStyle w:val="19"/>
          <w:rFonts w:hint="eastAsia" w:ascii="楷体" w:hAnsi="楷体" w:eastAsia="楷体"/>
          <w:b w:val="0"/>
          <w:bCs w:val="0"/>
          <w:spacing w:val="-4"/>
          <w:sz w:val="32"/>
          <w:szCs w:val="32"/>
          <w:lang w:val="en-US" w:eastAsia="zh-CN"/>
        </w:rPr>
        <w:t>100</w:t>
      </w:r>
      <w:r>
        <w:rPr>
          <w:rStyle w:val="19"/>
          <w:rFonts w:hint="eastAsia" w:ascii="楷体" w:hAnsi="楷体" w:eastAsia="楷体"/>
          <w:b w:val="0"/>
          <w:bCs w:val="0"/>
          <w:spacing w:val="-4"/>
          <w:sz w:val="32"/>
          <w:szCs w:val="32"/>
        </w:rPr>
        <w:t>人。</w:t>
      </w:r>
      <w:r>
        <w:rPr>
          <w:rStyle w:val="19"/>
          <w:rFonts w:hint="eastAsia" w:ascii="楷体" w:hAnsi="楷体" w:eastAsia="楷体"/>
          <w:b w:val="0"/>
          <w:bCs w:val="0"/>
          <w:spacing w:val="-4"/>
          <w:sz w:val="32"/>
          <w:szCs w:val="32"/>
        </w:rPr>
        <w:cr/>
      </w:r>
    </w:p>
    <w:p w14:paraId="5866F72A">
      <w:p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数量指标，发放次数，年度指标值=12次，实际完成值=12次。</w:t>
      </w:r>
    </w:p>
    <w:p w14:paraId="529C4C81">
      <w:p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质量指标，资金支付及时率，年度指标值</w:t>
      </w:r>
      <w:r>
        <w:rPr>
          <w:rStyle w:val="19"/>
          <w:rFonts w:hint="eastAsia" w:ascii="楷体" w:hAnsi="楷体" w:eastAsia="楷体"/>
          <w:b w:val="0"/>
          <w:bCs w:val="0"/>
          <w:spacing w:val="-4"/>
          <w:sz w:val="32"/>
          <w:szCs w:val="32"/>
          <w:lang w:eastAsia="zh-CN"/>
        </w:rPr>
        <w:t>≥</w:t>
      </w:r>
      <w:r>
        <w:rPr>
          <w:rStyle w:val="19"/>
          <w:rFonts w:hint="eastAsia" w:ascii="楷体" w:hAnsi="楷体" w:eastAsia="楷体"/>
          <w:b w:val="0"/>
          <w:bCs w:val="0"/>
          <w:spacing w:val="-4"/>
          <w:sz w:val="32"/>
          <w:szCs w:val="32"/>
          <w:lang w:val="en-US" w:eastAsia="zh-CN"/>
        </w:rPr>
        <w:t>90</w:t>
      </w:r>
      <w:r>
        <w:rPr>
          <w:rStyle w:val="19"/>
          <w:rFonts w:hint="eastAsia" w:ascii="楷体" w:hAnsi="楷体" w:eastAsia="楷体"/>
          <w:b w:val="0"/>
          <w:bCs w:val="0"/>
          <w:spacing w:val="-4"/>
          <w:sz w:val="32"/>
          <w:szCs w:val="32"/>
        </w:rPr>
        <w:t>%，实际完成值=100%。</w:t>
      </w:r>
    </w:p>
    <w:p w14:paraId="7E3E73ED">
      <w:pPr>
        <w:spacing w:line="540" w:lineRule="exact"/>
        <w:ind w:firstLine="624" w:firstLineChars="200"/>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lang w:eastAsia="zh-CN"/>
        </w:rPr>
        <w:t>时效</w:t>
      </w:r>
      <w:r>
        <w:rPr>
          <w:rStyle w:val="19"/>
          <w:rFonts w:hint="eastAsia" w:ascii="楷体" w:hAnsi="楷体" w:eastAsia="楷体"/>
          <w:b w:val="0"/>
          <w:bCs w:val="0"/>
          <w:spacing w:val="-4"/>
          <w:sz w:val="32"/>
          <w:szCs w:val="32"/>
        </w:rPr>
        <w:t>指标，支付准确率，年度指标值=100%，实际完成值=100%。</w:t>
      </w:r>
    </w:p>
    <w:p w14:paraId="450092C0">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（2）成本指标</w:t>
      </w:r>
    </w:p>
    <w:p w14:paraId="11E036AC">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经济成本指标，南湖广场市级公岗保洁员绩效工资经费，年度指标值=5.50万元，实际完成值=5.50万元。</w:t>
      </w:r>
    </w:p>
    <w:p w14:paraId="6E0A314B">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经济成本指标，南湖广场安保人员外包经费，年度指标值=355.61万元，实际完成值=355.61万元。</w:t>
      </w:r>
    </w:p>
    <w:p w14:paraId="6DD3197F">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经济成本指标，市场化养护经费，年度指标值=141.68万元，实际完成值=141.68万元。</w:t>
      </w:r>
    </w:p>
    <w:p w14:paraId="1357F946">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经济成本指标，运转类公用经费项目，年度指标值=61.44万元，实际完成值=61.44万元。</w:t>
      </w:r>
    </w:p>
    <w:p w14:paraId="476E800B">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（3）效益指标</w:t>
      </w:r>
    </w:p>
    <w:p w14:paraId="17BD9CE9">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社会效益指标，提高办公效率，年度指标值为有效提高，实际完成值为完全达到预期。</w:t>
      </w:r>
    </w:p>
    <w:p w14:paraId="4CF11A1E">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其次，消化2022年暂付款项项目中所涉及资金已于2022年全部完成，①南湖广场市级公岗保洁员绩效工资，②南湖广场安保人员外包经费，③</w:t>
      </w:r>
      <w:r>
        <w:rPr>
          <w:rStyle w:val="19"/>
          <w:rFonts w:hint="eastAsia" w:ascii="楷体" w:hAnsi="楷体" w:eastAsia="楷体"/>
          <w:b w:val="0"/>
          <w:bCs w:val="0"/>
          <w:spacing w:val="-4"/>
          <w:sz w:val="32"/>
          <w:szCs w:val="32"/>
          <w:lang w:eastAsia="zh-CN"/>
        </w:rPr>
        <w:t>市场化养护经费</w:t>
      </w:r>
      <w:r>
        <w:rPr>
          <w:rStyle w:val="19"/>
          <w:rFonts w:hint="eastAsia" w:ascii="楷体" w:hAnsi="楷体" w:eastAsia="楷体"/>
          <w:b w:val="0"/>
          <w:bCs w:val="0"/>
          <w:spacing w:val="-4"/>
          <w:sz w:val="32"/>
          <w:szCs w:val="32"/>
        </w:rPr>
        <w:t>，④</w:t>
      </w:r>
      <w:r>
        <w:rPr>
          <w:rStyle w:val="19"/>
          <w:rFonts w:hint="eastAsia" w:ascii="楷体" w:hAnsi="楷体" w:eastAsia="楷体"/>
          <w:b w:val="0"/>
          <w:bCs w:val="0"/>
          <w:spacing w:val="-4"/>
          <w:sz w:val="32"/>
          <w:szCs w:val="32"/>
          <w:lang w:eastAsia="zh-CN"/>
        </w:rPr>
        <w:t>运转类公用经费项目</w:t>
      </w:r>
      <w:r>
        <w:rPr>
          <w:rStyle w:val="19"/>
          <w:rFonts w:hint="eastAsia" w:ascii="楷体" w:hAnsi="楷体" w:eastAsia="楷体"/>
          <w:b w:val="0"/>
          <w:bCs w:val="0"/>
          <w:spacing w:val="-4"/>
          <w:sz w:val="32"/>
          <w:szCs w:val="32"/>
        </w:rPr>
        <w:t xml:space="preserve">；完成度100%。 </w:t>
      </w:r>
    </w:p>
    <w:p w14:paraId="7E02D8ED">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最后，数据来源为乌鲁木齐市水磨沟</w:t>
      </w:r>
      <w:r>
        <w:rPr>
          <w:rStyle w:val="19"/>
          <w:rFonts w:hint="eastAsia" w:ascii="楷体" w:hAnsi="楷体" w:eastAsia="楷体"/>
          <w:b w:val="0"/>
          <w:bCs w:val="0"/>
          <w:spacing w:val="-4"/>
          <w:sz w:val="32"/>
          <w:szCs w:val="32"/>
          <w:lang w:eastAsia="zh-CN"/>
        </w:rPr>
        <w:t>区南湖广场管理中心</w:t>
      </w:r>
      <w:r>
        <w:rPr>
          <w:rStyle w:val="19"/>
          <w:rFonts w:hint="eastAsia" w:ascii="楷体" w:hAnsi="楷体" w:eastAsia="楷体"/>
          <w:b w:val="0"/>
          <w:bCs w:val="0"/>
          <w:spacing w:val="-4"/>
          <w:sz w:val="32"/>
          <w:szCs w:val="32"/>
        </w:rPr>
        <w:t>2022年1-12月会计凭证中的国库集中支付凭证及会计账簿中的辅助明细账，评价数据的来源、采集方式合法合规，可以保证数据的准确性和完整性。</w:t>
      </w:r>
    </w:p>
    <w:p w14:paraId="6EB3540F">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2. 评价目的</w:t>
      </w:r>
    </w:p>
    <w:p w14:paraId="7523CD91">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消化2022年暂付款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14:paraId="5BE73BB9">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3. 评价对象</w:t>
      </w:r>
    </w:p>
    <w:p w14:paraId="06A1AE59">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（1）绩效评价的对象：消化2022年暂付款项</w:t>
      </w:r>
    </w:p>
    <w:p w14:paraId="59FD7CF6">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4. 绩效评价范围</w:t>
      </w:r>
    </w:p>
    <w:p w14:paraId="36CCD16C">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（1）时间范围：2023年1月1日至2023年12月31日。</w:t>
      </w:r>
    </w:p>
    <w:p w14:paraId="2F42067B">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（2）项目范围：</w:t>
      </w:r>
    </w:p>
    <w:p w14:paraId="613C5C9D">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为确保</w:t>
      </w:r>
      <w:r>
        <w:rPr>
          <w:rStyle w:val="19"/>
          <w:rFonts w:hint="eastAsia" w:ascii="楷体" w:hAnsi="楷体" w:eastAsia="楷体"/>
          <w:b w:val="0"/>
          <w:bCs w:val="0"/>
          <w:spacing w:val="-4"/>
          <w:sz w:val="32"/>
          <w:szCs w:val="32"/>
          <w:lang w:eastAsia="zh-CN"/>
        </w:rPr>
        <w:t>广场内部游客</w:t>
      </w:r>
      <w:r>
        <w:rPr>
          <w:rStyle w:val="19"/>
          <w:rFonts w:hint="eastAsia" w:ascii="楷体" w:hAnsi="楷体" w:eastAsia="楷体"/>
          <w:b w:val="0"/>
          <w:bCs w:val="0"/>
          <w:spacing w:val="-4"/>
          <w:sz w:val="32"/>
          <w:szCs w:val="32"/>
        </w:rPr>
        <w:t>安全，工作正常运行，人员的后勤得到保障，美化环境，使生态环境得到改善和提高，2023年初设立项目“消化2022年暂付款项”。该项目为年初部门预算项目，年度资金总额564.23万元，其中：财政拨款564.23万元，项目内资金分为4项，①南湖广场市级公岗保洁员绩效工资，②南湖广场安保人员外包经费，③</w:t>
      </w:r>
      <w:r>
        <w:rPr>
          <w:rStyle w:val="19"/>
          <w:rFonts w:hint="eastAsia" w:ascii="楷体" w:hAnsi="楷体" w:eastAsia="楷体"/>
          <w:b w:val="0"/>
          <w:bCs w:val="0"/>
          <w:spacing w:val="-4"/>
          <w:sz w:val="32"/>
          <w:szCs w:val="32"/>
          <w:lang w:eastAsia="zh-CN"/>
        </w:rPr>
        <w:t>市场化养护经费</w:t>
      </w:r>
      <w:r>
        <w:rPr>
          <w:rStyle w:val="19"/>
          <w:rFonts w:hint="eastAsia" w:ascii="楷体" w:hAnsi="楷体" w:eastAsia="楷体"/>
          <w:b w:val="0"/>
          <w:bCs w:val="0"/>
          <w:spacing w:val="-4"/>
          <w:sz w:val="32"/>
          <w:szCs w:val="32"/>
        </w:rPr>
        <w:t>，④</w:t>
      </w:r>
      <w:r>
        <w:rPr>
          <w:rStyle w:val="19"/>
          <w:rFonts w:hint="eastAsia" w:ascii="楷体" w:hAnsi="楷体" w:eastAsia="楷体"/>
          <w:b w:val="0"/>
          <w:bCs w:val="0"/>
          <w:spacing w:val="-4"/>
          <w:sz w:val="32"/>
          <w:szCs w:val="32"/>
          <w:lang w:eastAsia="zh-CN"/>
        </w:rPr>
        <w:t>运转类公用经费项目</w:t>
      </w:r>
      <w:r>
        <w:rPr>
          <w:rStyle w:val="19"/>
          <w:rFonts w:hint="eastAsia" w:ascii="楷体" w:hAnsi="楷体" w:eastAsia="楷体"/>
          <w:b w:val="0"/>
          <w:bCs w:val="0"/>
          <w:spacing w:val="-4"/>
          <w:sz w:val="32"/>
          <w:szCs w:val="32"/>
        </w:rPr>
        <w:t>，上述4项费用于2022年已全部完成，在2023年调整为往来款项。</w:t>
      </w:r>
    </w:p>
    <w:p w14:paraId="42977601">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项目评价时间范围为2023年1月1日至2023年12月31日。评价中对其完整性、目的进行了阐述；阐述了科学公正、统筹兼顾、激励约束、公开透明的评价原则，对指标体系的相关性原则、重要性原则、可比性原则、系统性原则及经济性原则内容进行了叙述；对成本效益分析法、比较法、因素分析法、公众评判法、标杆管理法等评价方法进行了说明。</w:t>
      </w:r>
    </w:p>
    <w:p w14:paraId="6D99947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本项目实际支出</w:t>
      </w:r>
      <w:r>
        <w:rPr>
          <w:rStyle w:val="19"/>
          <w:rFonts w:hint="eastAsia" w:ascii="楷体" w:hAnsi="楷体" w:eastAsia="楷体"/>
          <w:b w:val="0"/>
          <w:bCs w:val="0"/>
          <w:spacing w:val="-4"/>
          <w:sz w:val="32"/>
          <w:szCs w:val="32"/>
          <w:lang w:val="en-US" w:eastAsia="zh-CN"/>
        </w:rPr>
        <w:t>564.23</w:t>
      </w:r>
      <w:r>
        <w:rPr>
          <w:rStyle w:val="19"/>
          <w:rFonts w:hint="eastAsia" w:ascii="楷体" w:hAnsi="楷体" w:eastAsia="楷体"/>
          <w:b w:val="0"/>
          <w:bCs w:val="0"/>
          <w:spacing w:val="-4"/>
          <w:sz w:val="32"/>
          <w:szCs w:val="32"/>
        </w:rPr>
        <w:t>万元，无超支情况，项目资金全部完成，项目的实行保障了南湖广场能够为市民提供更好的体验感，增加了游客的安全保障南湖广场各项工作正常运行</w:t>
      </w:r>
      <w:r>
        <w:rPr>
          <w:rStyle w:val="19"/>
          <w:rFonts w:hint="eastAsia" w:ascii="楷体" w:hAnsi="楷体" w:eastAsia="楷体"/>
          <w:b w:val="0"/>
          <w:bCs w:val="0"/>
          <w:spacing w:val="-4"/>
          <w:sz w:val="32"/>
          <w:szCs w:val="32"/>
          <w:lang w:eastAsia="zh-CN"/>
        </w:rPr>
        <w:t>；为</w:t>
      </w:r>
      <w:r>
        <w:rPr>
          <w:rStyle w:val="19"/>
          <w:rFonts w:hint="eastAsia" w:ascii="楷体" w:hAnsi="楷体" w:eastAsia="楷体"/>
          <w:b w:val="0"/>
          <w:bCs w:val="0"/>
          <w:spacing w:val="-4"/>
          <w:sz w:val="32"/>
          <w:szCs w:val="32"/>
        </w:rPr>
        <w:t>南湖广场日常管理、绿化管养、卫生保洁、设施管理维护及公共场所安全实施奠定了基础。</w:t>
      </w:r>
    </w:p>
    <w:p w14:paraId="5CE4ABAB">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阐述了在建立清晰的暂付款管理制度、明确责任主体、制定暂付款消化计划、实行分类管理等方面的主要经验和做法；阐述了在制度建设滞后、内部控制不健全、权责不明晰、外部环境制约方面存在的问题及原因分析；对制度建设滞后、内部控制不健全、权责不明晰、外部环境制约这些问题提出了有关建议。</w:t>
      </w:r>
    </w:p>
    <w:p w14:paraId="10F9A9B0">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结合项目特点，制定符合项目实际的绩效评价指标体系及评分标准，通过数据采集、问卷调查及访谈等形式，对2023年消化2022年暂付款项目进行客观评价，最终评分结果为：总分为100分，绩效评级为“优”。</w:t>
      </w:r>
    </w:p>
    <w:p w14:paraId="4D91113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5CC3A7E5">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1. 评价原则</w:t>
      </w:r>
    </w:p>
    <w:p w14:paraId="1199FB50">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（1）科学公正。绩效评价应当运用科学合理的方法，按照规范的程序，对项目绩效进行客观、公正的反映。</w:t>
      </w:r>
    </w:p>
    <w:p w14:paraId="5AA9DB35">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783484D7">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p>
    <w:p w14:paraId="284925F3">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（4）公开透明。绩效评价结果应依法依规公开，并自觉接受社会监督。</w:t>
      </w:r>
    </w:p>
    <w:p w14:paraId="55EA7CC4">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2. 评价指标体系</w:t>
      </w:r>
    </w:p>
    <w:p w14:paraId="43D762F2">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绩效评价指标体系作为衡量绩效目标实现程度的考核工具，一般遵循以下原则：</w:t>
      </w:r>
    </w:p>
    <w:p w14:paraId="2DA78F42">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（1）相关性原则：绩效评价指标应当与绩效目标有直接的联系，能够恰当反映目标的实现程度。</w:t>
      </w:r>
    </w:p>
    <w:p w14:paraId="320E560C">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（2）重要性原则：应当优先使用最具评价对象代表性、最能反映评价要求的核心指标。</w:t>
      </w:r>
    </w:p>
    <w:p w14:paraId="70F99381">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（3）可比性原则：对同类评价对象要设定共性的绩效评价指标，以便于评价结果可以相互比较。</w:t>
      </w:r>
    </w:p>
    <w:p w14:paraId="4DF3E314">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p>
    <w:p w14:paraId="586E8A16">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p>
    <w:p w14:paraId="32299680">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本项目的评价指标体系建立如表2-1</w:t>
      </w:r>
    </w:p>
    <w:p w14:paraId="23A6B0DF">
      <w:pPr>
        <w:rPr>
          <w:rStyle w:val="19"/>
          <w:rFonts w:hint="eastAsia" w:ascii="楷体" w:hAnsi="楷体" w:eastAsia="楷体"/>
          <w:b w:val="0"/>
          <w:bCs w:val="0"/>
          <w:spacing w:val="-4"/>
          <w:sz w:val="32"/>
          <w:szCs w:val="32"/>
        </w:rPr>
        <w:sectPr>
          <w:footerReference r:id="rId3" w:type="default"/>
          <w:pgSz w:w="11906" w:h="16838"/>
          <w:pgMar w:top="1440" w:right="1558" w:bottom="1440" w:left="1757" w:header="851" w:footer="992" w:gutter="0"/>
          <w:cols w:space="425" w:num="1"/>
          <w:docGrid w:type="lines" w:linePitch="312" w:charSpace="0"/>
        </w:sectPr>
      </w:pPr>
    </w:p>
    <w:tbl>
      <w:tblPr>
        <w:tblStyle w:val="16"/>
        <w:tblW w:w="13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14:paraId="705E22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vAlign w:val="center"/>
          </w:tcPr>
          <w:p w14:paraId="6FFD02DA">
            <w:pPr>
              <w:widowControl/>
              <w:ind w:firstLine="0" w:firstLineChars="0"/>
              <w:jc w:val="center"/>
              <w:rPr>
                <w:rFonts w:ascii="Times New Roman" w:hAnsi="Times New Roman" w:eastAsia="黑体" w:cs="Times New Roman"/>
                <w:color w:val="auto"/>
                <w:kern w:val="0"/>
                <w:sz w:val="22"/>
                <w:szCs w:val="22"/>
                <w:highlight w:val="none"/>
              </w:rPr>
            </w:pPr>
            <w:r>
              <w:rPr>
                <w:rFonts w:ascii="Times New Roman" w:hAnsi="Times New Roman" w:eastAsia="黑体" w:cs="Times New Roman"/>
                <w:color w:val="auto"/>
                <w:kern w:val="0"/>
                <w:sz w:val="22"/>
                <w:szCs w:val="22"/>
                <w:highlight w:val="none"/>
              </w:rPr>
              <w:t>一级指标</w:t>
            </w:r>
          </w:p>
        </w:tc>
        <w:tc>
          <w:tcPr>
            <w:tcW w:w="1199" w:type="dxa"/>
            <w:tcBorders>
              <w:tl2br w:val="nil"/>
              <w:tr2bl w:val="nil"/>
            </w:tcBorders>
            <w:shd w:val="clear" w:color="auto" w:fill="D0CECE"/>
            <w:vAlign w:val="center"/>
          </w:tcPr>
          <w:p w14:paraId="111AC6D1">
            <w:pPr>
              <w:widowControl/>
              <w:ind w:firstLine="0" w:firstLineChars="0"/>
              <w:jc w:val="center"/>
              <w:rPr>
                <w:rFonts w:ascii="Times New Roman" w:hAnsi="Times New Roman" w:eastAsia="黑体" w:cs="Times New Roman"/>
                <w:color w:val="auto"/>
                <w:kern w:val="0"/>
                <w:sz w:val="22"/>
                <w:szCs w:val="22"/>
                <w:highlight w:val="none"/>
              </w:rPr>
            </w:pPr>
            <w:r>
              <w:rPr>
                <w:rFonts w:ascii="Times New Roman" w:hAnsi="Times New Roman" w:eastAsia="黑体" w:cs="Times New Roman"/>
                <w:color w:val="auto"/>
                <w:kern w:val="0"/>
                <w:sz w:val="22"/>
                <w:szCs w:val="22"/>
                <w:highlight w:val="none"/>
              </w:rPr>
              <w:t>二级指标</w:t>
            </w:r>
          </w:p>
        </w:tc>
        <w:tc>
          <w:tcPr>
            <w:tcW w:w="1411" w:type="dxa"/>
            <w:tcBorders>
              <w:tl2br w:val="nil"/>
              <w:tr2bl w:val="nil"/>
            </w:tcBorders>
            <w:shd w:val="clear" w:color="auto" w:fill="D0CECE"/>
            <w:vAlign w:val="center"/>
          </w:tcPr>
          <w:p w14:paraId="4AF12587">
            <w:pPr>
              <w:widowControl/>
              <w:ind w:firstLine="0" w:firstLineChars="0"/>
              <w:jc w:val="center"/>
              <w:rPr>
                <w:rFonts w:ascii="Times New Roman" w:hAnsi="Times New Roman" w:eastAsia="黑体" w:cs="Times New Roman"/>
                <w:color w:val="auto"/>
                <w:kern w:val="0"/>
                <w:sz w:val="22"/>
                <w:szCs w:val="22"/>
                <w:highlight w:val="none"/>
              </w:rPr>
            </w:pPr>
            <w:r>
              <w:rPr>
                <w:rFonts w:ascii="Times New Roman" w:hAnsi="Times New Roman" w:eastAsia="黑体" w:cs="Times New Roman"/>
                <w:color w:val="auto"/>
                <w:kern w:val="0"/>
                <w:sz w:val="22"/>
                <w:szCs w:val="22"/>
                <w:highlight w:val="none"/>
              </w:rPr>
              <w:t>三级指标</w:t>
            </w:r>
          </w:p>
        </w:tc>
        <w:tc>
          <w:tcPr>
            <w:tcW w:w="2789" w:type="dxa"/>
            <w:tcBorders>
              <w:tl2br w:val="nil"/>
              <w:tr2bl w:val="nil"/>
            </w:tcBorders>
            <w:shd w:val="clear" w:color="auto" w:fill="D0CECE"/>
            <w:vAlign w:val="center"/>
          </w:tcPr>
          <w:p w14:paraId="56004572">
            <w:pPr>
              <w:widowControl/>
              <w:ind w:firstLine="0" w:firstLineChars="0"/>
              <w:jc w:val="center"/>
              <w:rPr>
                <w:rFonts w:ascii="Times New Roman" w:hAnsi="Times New Roman" w:eastAsia="黑体" w:cs="Times New Roman"/>
                <w:color w:val="auto"/>
                <w:kern w:val="0"/>
                <w:sz w:val="22"/>
                <w:szCs w:val="22"/>
                <w:highlight w:val="none"/>
              </w:rPr>
            </w:pPr>
            <w:r>
              <w:rPr>
                <w:rFonts w:ascii="Times New Roman" w:hAnsi="Times New Roman" w:eastAsia="黑体" w:cs="Times New Roman"/>
                <w:color w:val="auto"/>
                <w:kern w:val="0"/>
                <w:sz w:val="22"/>
                <w:szCs w:val="22"/>
                <w:highlight w:val="none"/>
              </w:rPr>
              <w:t>指标解释</w:t>
            </w:r>
          </w:p>
        </w:tc>
        <w:tc>
          <w:tcPr>
            <w:tcW w:w="7341" w:type="dxa"/>
            <w:tcBorders>
              <w:tl2br w:val="nil"/>
              <w:tr2bl w:val="nil"/>
            </w:tcBorders>
            <w:shd w:val="clear" w:color="auto" w:fill="D0CECE"/>
            <w:vAlign w:val="center"/>
          </w:tcPr>
          <w:p w14:paraId="0F65517E">
            <w:pPr>
              <w:widowControl/>
              <w:ind w:firstLine="0" w:firstLineChars="0"/>
              <w:jc w:val="center"/>
              <w:rPr>
                <w:rFonts w:ascii="Times New Roman" w:hAnsi="Times New Roman" w:eastAsia="黑体" w:cs="Times New Roman"/>
                <w:color w:val="auto"/>
                <w:kern w:val="0"/>
                <w:sz w:val="22"/>
                <w:szCs w:val="22"/>
                <w:highlight w:val="none"/>
              </w:rPr>
            </w:pPr>
            <w:r>
              <w:rPr>
                <w:rFonts w:ascii="Times New Roman" w:hAnsi="Times New Roman" w:eastAsia="黑体" w:cs="Times New Roman"/>
                <w:color w:val="auto"/>
                <w:kern w:val="0"/>
                <w:sz w:val="22"/>
                <w:szCs w:val="22"/>
                <w:highlight w:val="none"/>
              </w:rPr>
              <w:t>指标说明</w:t>
            </w:r>
          </w:p>
        </w:tc>
      </w:tr>
      <w:tr w14:paraId="7A907F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14:paraId="09D1CC75">
            <w:pPr>
              <w:widowControl/>
              <w:ind w:firstLine="0" w:firstLineChars="0"/>
              <w:jc w:val="center"/>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决策</w:t>
            </w:r>
          </w:p>
        </w:tc>
        <w:tc>
          <w:tcPr>
            <w:tcW w:w="1199" w:type="dxa"/>
            <w:vMerge w:val="restart"/>
            <w:tcBorders>
              <w:tl2br w:val="nil"/>
              <w:tr2bl w:val="nil"/>
            </w:tcBorders>
            <w:shd w:val="clear" w:color="auto" w:fill="FFFFFF"/>
            <w:vAlign w:val="center"/>
          </w:tcPr>
          <w:p w14:paraId="21BD110E">
            <w:pPr>
              <w:widowControl/>
              <w:ind w:firstLine="0" w:firstLineChars="0"/>
              <w:jc w:val="center"/>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项目立项</w:t>
            </w:r>
          </w:p>
        </w:tc>
        <w:tc>
          <w:tcPr>
            <w:tcW w:w="1411" w:type="dxa"/>
            <w:tcBorders>
              <w:tl2br w:val="nil"/>
              <w:tr2bl w:val="nil"/>
            </w:tcBorders>
            <w:shd w:val="clear" w:color="auto" w:fill="FFFFFF"/>
            <w:vAlign w:val="center"/>
          </w:tcPr>
          <w:p w14:paraId="77FD3FE5">
            <w:pPr>
              <w:widowControl/>
              <w:ind w:firstLine="0" w:firstLineChars="0"/>
              <w:jc w:val="center"/>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立项依据</w:t>
            </w:r>
          </w:p>
          <w:p w14:paraId="66DDB72D">
            <w:pPr>
              <w:widowControl/>
              <w:ind w:firstLine="0" w:firstLineChars="0"/>
              <w:jc w:val="center"/>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充分性</w:t>
            </w:r>
          </w:p>
        </w:tc>
        <w:tc>
          <w:tcPr>
            <w:tcW w:w="2789" w:type="dxa"/>
            <w:tcBorders>
              <w:tl2br w:val="nil"/>
              <w:tr2bl w:val="nil"/>
            </w:tcBorders>
            <w:shd w:val="clear" w:color="auto" w:fill="FFFFFF"/>
            <w:vAlign w:val="center"/>
          </w:tcPr>
          <w:p w14:paraId="737EF549">
            <w:pPr>
              <w:widowControl/>
              <w:ind w:firstLine="0" w:firstLineChars="0"/>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14:paraId="674926B8">
            <w:pPr>
              <w:widowControl/>
              <w:ind w:firstLine="0" w:firstLineChars="0"/>
              <w:jc w:val="left"/>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评价要点：</w:t>
            </w:r>
          </w:p>
          <w:p w14:paraId="42C7667A">
            <w:pPr>
              <w:widowControl/>
              <w:ind w:firstLine="0" w:firstLineChars="0"/>
              <w:jc w:val="left"/>
              <w:rPr>
                <w:rFonts w:ascii="Times New Roman" w:hAnsi="Times New Roman" w:eastAsia="仿宋_GB2312" w:cs="Times New Roman"/>
                <w:color w:val="auto"/>
                <w:kern w:val="0"/>
                <w:sz w:val="22"/>
                <w:szCs w:val="22"/>
                <w:highlight w:val="none"/>
              </w:rPr>
            </w:pPr>
            <w:r>
              <w:rPr>
                <w:rFonts w:hint="eastAsia" w:ascii="宋体" w:hAnsi="宋体" w:eastAsia="宋体" w:cs="宋体"/>
                <w:color w:val="auto"/>
                <w:kern w:val="0"/>
                <w:sz w:val="22"/>
                <w:szCs w:val="22"/>
                <w:highlight w:val="none"/>
              </w:rPr>
              <w:t>①</w:t>
            </w:r>
            <w:r>
              <w:rPr>
                <w:rFonts w:ascii="Times New Roman" w:hAnsi="Times New Roman" w:eastAsia="仿宋_GB2312" w:cs="Times New Roman"/>
                <w:color w:val="auto"/>
                <w:kern w:val="0"/>
                <w:sz w:val="22"/>
                <w:szCs w:val="22"/>
                <w:highlight w:val="none"/>
              </w:rPr>
              <w:t>项目立项是否符合国家法律法规、国民经济发展规划和相关政策；</w:t>
            </w:r>
          </w:p>
          <w:p w14:paraId="355A2518">
            <w:pPr>
              <w:widowControl/>
              <w:ind w:firstLine="0" w:firstLineChars="0"/>
              <w:jc w:val="left"/>
              <w:rPr>
                <w:rFonts w:ascii="Times New Roman" w:hAnsi="Times New Roman" w:eastAsia="仿宋_GB2312" w:cs="Times New Roman"/>
                <w:color w:val="auto"/>
                <w:kern w:val="0"/>
                <w:sz w:val="22"/>
                <w:szCs w:val="22"/>
                <w:highlight w:val="none"/>
              </w:rPr>
            </w:pPr>
            <w:r>
              <w:rPr>
                <w:rFonts w:hint="eastAsia" w:ascii="宋体" w:hAnsi="宋体" w:eastAsia="宋体" w:cs="宋体"/>
                <w:color w:val="auto"/>
                <w:kern w:val="0"/>
                <w:sz w:val="22"/>
                <w:szCs w:val="22"/>
                <w:highlight w:val="none"/>
              </w:rPr>
              <w:t>②</w:t>
            </w:r>
            <w:r>
              <w:rPr>
                <w:rFonts w:ascii="Times New Roman" w:hAnsi="Times New Roman" w:eastAsia="仿宋_GB2312" w:cs="Times New Roman"/>
                <w:color w:val="auto"/>
                <w:kern w:val="0"/>
                <w:sz w:val="22"/>
                <w:szCs w:val="22"/>
                <w:highlight w:val="none"/>
              </w:rPr>
              <w:t>项目立项是否符合行业发展规划和政策要求；</w:t>
            </w:r>
          </w:p>
          <w:p w14:paraId="08DED0C5">
            <w:pPr>
              <w:widowControl/>
              <w:ind w:firstLine="0" w:firstLineChars="0"/>
              <w:jc w:val="left"/>
              <w:rPr>
                <w:rFonts w:ascii="Times New Roman" w:hAnsi="Times New Roman" w:eastAsia="仿宋_GB2312" w:cs="Times New Roman"/>
                <w:color w:val="auto"/>
                <w:kern w:val="0"/>
                <w:sz w:val="22"/>
                <w:szCs w:val="22"/>
                <w:highlight w:val="none"/>
              </w:rPr>
            </w:pPr>
            <w:r>
              <w:rPr>
                <w:rFonts w:hint="eastAsia" w:ascii="宋体" w:hAnsi="宋体" w:eastAsia="宋体" w:cs="宋体"/>
                <w:color w:val="auto"/>
                <w:kern w:val="0"/>
                <w:sz w:val="22"/>
                <w:szCs w:val="22"/>
                <w:highlight w:val="none"/>
              </w:rPr>
              <w:t>③</w:t>
            </w:r>
            <w:r>
              <w:rPr>
                <w:rFonts w:ascii="Times New Roman" w:hAnsi="Times New Roman" w:eastAsia="仿宋_GB2312" w:cs="Times New Roman"/>
                <w:color w:val="auto"/>
                <w:kern w:val="0"/>
                <w:sz w:val="22"/>
                <w:szCs w:val="22"/>
                <w:highlight w:val="none"/>
              </w:rPr>
              <w:t>项目立项是否与部门职责范围相符，属于部门履职所需；</w:t>
            </w:r>
          </w:p>
          <w:p w14:paraId="63D06DF4">
            <w:pPr>
              <w:widowControl/>
              <w:ind w:firstLine="0" w:firstLineChars="0"/>
              <w:jc w:val="left"/>
              <w:rPr>
                <w:rFonts w:ascii="Times New Roman" w:hAnsi="Times New Roman" w:eastAsia="仿宋_GB2312" w:cs="Times New Roman"/>
                <w:color w:val="auto"/>
                <w:kern w:val="0"/>
                <w:sz w:val="22"/>
                <w:szCs w:val="22"/>
                <w:highlight w:val="none"/>
              </w:rPr>
            </w:pPr>
            <w:r>
              <w:rPr>
                <w:rFonts w:hint="eastAsia" w:ascii="宋体" w:hAnsi="宋体" w:eastAsia="宋体" w:cs="宋体"/>
                <w:color w:val="auto"/>
                <w:kern w:val="0"/>
                <w:sz w:val="22"/>
                <w:szCs w:val="22"/>
                <w:highlight w:val="none"/>
              </w:rPr>
              <w:t>④</w:t>
            </w:r>
            <w:r>
              <w:rPr>
                <w:rFonts w:ascii="Times New Roman" w:hAnsi="Times New Roman" w:eastAsia="仿宋_GB2312" w:cs="Times New Roman"/>
                <w:color w:val="auto"/>
                <w:kern w:val="0"/>
                <w:sz w:val="22"/>
                <w:szCs w:val="22"/>
                <w:highlight w:val="none"/>
              </w:rPr>
              <w:t>项目是否属于公共财政支持范围，是否符合中央、地方事权支出责任划分原则；</w:t>
            </w:r>
          </w:p>
          <w:p w14:paraId="13801677">
            <w:pPr>
              <w:widowControl/>
              <w:ind w:firstLine="0" w:firstLineChars="0"/>
              <w:jc w:val="left"/>
              <w:rPr>
                <w:rFonts w:ascii="Times New Roman" w:hAnsi="Times New Roman" w:eastAsia="仿宋_GB2312" w:cs="Times New Roman"/>
                <w:color w:val="auto"/>
                <w:kern w:val="0"/>
                <w:sz w:val="22"/>
                <w:szCs w:val="22"/>
                <w:highlight w:val="none"/>
              </w:rPr>
            </w:pPr>
            <w:r>
              <w:rPr>
                <w:rFonts w:hint="eastAsia" w:ascii="宋体" w:hAnsi="宋体" w:eastAsia="宋体" w:cs="宋体"/>
                <w:color w:val="auto"/>
                <w:kern w:val="0"/>
                <w:sz w:val="22"/>
                <w:szCs w:val="22"/>
                <w:highlight w:val="none"/>
              </w:rPr>
              <w:t>⑤</w:t>
            </w:r>
            <w:r>
              <w:rPr>
                <w:rFonts w:ascii="Times New Roman" w:hAnsi="Times New Roman" w:eastAsia="仿宋_GB2312" w:cs="Times New Roman"/>
                <w:color w:val="auto"/>
                <w:kern w:val="0"/>
                <w:sz w:val="22"/>
                <w:szCs w:val="22"/>
                <w:highlight w:val="none"/>
              </w:rPr>
              <w:t>项目是否与相关部门同类项目或部门内部相关项目重复。</w:t>
            </w:r>
          </w:p>
        </w:tc>
      </w:tr>
      <w:tr w14:paraId="21A2ED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14:paraId="032570A3">
            <w:pPr>
              <w:widowControl/>
              <w:ind w:firstLine="0" w:firstLineChars="0"/>
              <w:jc w:val="center"/>
              <w:rPr>
                <w:rFonts w:ascii="Times New Roman" w:hAnsi="Times New Roman" w:eastAsia="仿宋_GB2312" w:cs="Times New Roman"/>
                <w:color w:val="auto"/>
                <w:kern w:val="0"/>
                <w:sz w:val="22"/>
                <w:szCs w:val="22"/>
                <w:highlight w:val="none"/>
              </w:rPr>
            </w:pPr>
          </w:p>
        </w:tc>
        <w:tc>
          <w:tcPr>
            <w:tcW w:w="1199" w:type="dxa"/>
            <w:vMerge w:val="continue"/>
            <w:tcBorders>
              <w:tl2br w:val="nil"/>
              <w:tr2bl w:val="nil"/>
            </w:tcBorders>
            <w:shd w:val="clear" w:color="auto" w:fill="FFFFFF"/>
            <w:vAlign w:val="center"/>
          </w:tcPr>
          <w:p w14:paraId="52508B12">
            <w:pPr>
              <w:widowControl/>
              <w:ind w:firstLine="0" w:firstLineChars="0"/>
              <w:jc w:val="center"/>
              <w:rPr>
                <w:rFonts w:ascii="Times New Roman" w:hAnsi="Times New Roman" w:eastAsia="仿宋_GB2312" w:cs="Times New Roman"/>
                <w:color w:val="auto"/>
                <w:kern w:val="0"/>
                <w:sz w:val="22"/>
                <w:szCs w:val="22"/>
                <w:highlight w:val="none"/>
              </w:rPr>
            </w:pPr>
          </w:p>
        </w:tc>
        <w:tc>
          <w:tcPr>
            <w:tcW w:w="1411" w:type="dxa"/>
            <w:tcBorders>
              <w:tl2br w:val="nil"/>
              <w:tr2bl w:val="nil"/>
            </w:tcBorders>
            <w:shd w:val="clear" w:color="auto" w:fill="FFFFFF"/>
            <w:vAlign w:val="center"/>
          </w:tcPr>
          <w:p w14:paraId="1150F990">
            <w:pPr>
              <w:widowControl/>
              <w:ind w:firstLine="0" w:firstLineChars="0"/>
              <w:jc w:val="center"/>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立项程序</w:t>
            </w:r>
          </w:p>
          <w:p w14:paraId="64709287">
            <w:pPr>
              <w:widowControl/>
              <w:ind w:firstLine="0" w:firstLineChars="0"/>
              <w:jc w:val="center"/>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规范性</w:t>
            </w:r>
          </w:p>
        </w:tc>
        <w:tc>
          <w:tcPr>
            <w:tcW w:w="2789" w:type="dxa"/>
            <w:tcBorders>
              <w:tl2br w:val="nil"/>
              <w:tr2bl w:val="nil"/>
            </w:tcBorders>
            <w:shd w:val="clear" w:color="auto" w:fill="FFFFFF"/>
            <w:vAlign w:val="center"/>
          </w:tcPr>
          <w:p w14:paraId="13EE9738">
            <w:pPr>
              <w:widowControl/>
              <w:ind w:firstLine="0" w:firstLineChars="0"/>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14:paraId="63D03EB2">
            <w:pPr>
              <w:widowControl/>
              <w:ind w:firstLine="0" w:firstLineChars="0"/>
              <w:jc w:val="left"/>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评价要点：</w:t>
            </w:r>
          </w:p>
          <w:p w14:paraId="759696FD">
            <w:pPr>
              <w:widowControl/>
              <w:ind w:firstLine="0" w:firstLineChars="0"/>
              <w:jc w:val="left"/>
              <w:rPr>
                <w:rFonts w:ascii="Times New Roman" w:hAnsi="Times New Roman" w:eastAsia="仿宋_GB2312" w:cs="Times New Roman"/>
                <w:color w:val="auto"/>
                <w:kern w:val="0"/>
                <w:sz w:val="22"/>
                <w:szCs w:val="22"/>
                <w:highlight w:val="none"/>
              </w:rPr>
            </w:pPr>
            <w:r>
              <w:rPr>
                <w:rFonts w:hint="eastAsia" w:ascii="宋体" w:hAnsi="宋体" w:eastAsia="宋体" w:cs="宋体"/>
                <w:color w:val="auto"/>
                <w:kern w:val="0"/>
                <w:sz w:val="22"/>
                <w:szCs w:val="22"/>
                <w:highlight w:val="none"/>
              </w:rPr>
              <w:t>①</w:t>
            </w:r>
            <w:r>
              <w:rPr>
                <w:rFonts w:ascii="Times New Roman" w:hAnsi="Times New Roman" w:eastAsia="仿宋_GB2312" w:cs="Times New Roman"/>
                <w:color w:val="auto"/>
                <w:kern w:val="0"/>
                <w:sz w:val="22"/>
                <w:szCs w:val="22"/>
                <w:highlight w:val="none"/>
              </w:rPr>
              <w:t>项目是否按照规定的程序申请设立；</w:t>
            </w:r>
          </w:p>
          <w:p w14:paraId="17951B49">
            <w:pPr>
              <w:widowControl/>
              <w:ind w:firstLine="0" w:firstLineChars="0"/>
              <w:jc w:val="left"/>
              <w:rPr>
                <w:rFonts w:ascii="Times New Roman" w:hAnsi="Times New Roman" w:eastAsia="仿宋_GB2312" w:cs="Times New Roman"/>
                <w:color w:val="auto"/>
                <w:kern w:val="0"/>
                <w:sz w:val="22"/>
                <w:szCs w:val="22"/>
                <w:highlight w:val="none"/>
              </w:rPr>
            </w:pPr>
            <w:r>
              <w:rPr>
                <w:rFonts w:hint="eastAsia" w:ascii="宋体" w:hAnsi="宋体" w:eastAsia="宋体" w:cs="宋体"/>
                <w:color w:val="auto"/>
                <w:kern w:val="0"/>
                <w:sz w:val="22"/>
                <w:szCs w:val="22"/>
                <w:highlight w:val="none"/>
              </w:rPr>
              <w:t>②</w:t>
            </w:r>
            <w:r>
              <w:rPr>
                <w:rFonts w:ascii="Times New Roman" w:hAnsi="Times New Roman" w:eastAsia="仿宋_GB2312" w:cs="Times New Roman"/>
                <w:color w:val="auto"/>
                <w:kern w:val="0"/>
                <w:sz w:val="22"/>
                <w:szCs w:val="22"/>
                <w:highlight w:val="none"/>
              </w:rPr>
              <w:t>审批文件、材料是否符合相关要求；</w:t>
            </w:r>
          </w:p>
          <w:p w14:paraId="0FF4E88D">
            <w:pPr>
              <w:widowControl/>
              <w:ind w:firstLine="0" w:firstLineChars="0"/>
              <w:jc w:val="left"/>
              <w:rPr>
                <w:rFonts w:ascii="Times New Roman" w:hAnsi="Times New Roman" w:eastAsia="仿宋_GB2312" w:cs="Times New Roman"/>
                <w:color w:val="auto"/>
                <w:kern w:val="0"/>
                <w:sz w:val="22"/>
                <w:szCs w:val="22"/>
                <w:highlight w:val="none"/>
              </w:rPr>
            </w:pPr>
            <w:r>
              <w:rPr>
                <w:rFonts w:hint="eastAsia" w:ascii="宋体" w:hAnsi="宋体" w:eastAsia="宋体" w:cs="宋体"/>
                <w:color w:val="auto"/>
                <w:kern w:val="0"/>
                <w:sz w:val="22"/>
                <w:szCs w:val="22"/>
                <w:highlight w:val="none"/>
              </w:rPr>
              <w:t>③</w:t>
            </w:r>
            <w:r>
              <w:rPr>
                <w:rFonts w:ascii="Times New Roman" w:hAnsi="Times New Roman" w:eastAsia="仿宋_GB2312" w:cs="Times New Roman"/>
                <w:color w:val="auto"/>
                <w:kern w:val="0"/>
                <w:sz w:val="22"/>
                <w:szCs w:val="22"/>
                <w:highlight w:val="none"/>
              </w:rPr>
              <w:t>事前是否已经过必要的可行性研究、专家论证、风险评估、绩效评估、集体决策。</w:t>
            </w:r>
          </w:p>
        </w:tc>
      </w:tr>
      <w:tr w14:paraId="613005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14:paraId="755067A0">
            <w:pPr>
              <w:widowControl/>
              <w:ind w:firstLine="0" w:firstLineChars="0"/>
              <w:jc w:val="center"/>
              <w:rPr>
                <w:rFonts w:ascii="Times New Roman" w:hAnsi="Times New Roman" w:eastAsia="仿宋_GB2312" w:cs="Times New Roman"/>
                <w:color w:val="auto"/>
                <w:kern w:val="0"/>
                <w:sz w:val="22"/>
                <w:szCs w:val="22"/>
                <w:highlight w:val="none"/>
              </w:rPr>
            </w:pPr>
          </w:p>
        </w:tc>
        <w:tc>
          <w:tcPr>
            <w:tcW w:w="1199" w:type="dxa"/>
            <w:tcBorders>
              <w:tl2br w:val="nil"/>
              <w:tr2bl w:val="nil"/>
            </w:tcBorders>
            <w:shd w:val="clear" w:color="auto" w:fill="FFFFFF"/>
            <w:vAlign w:val="center"/>
          </w:tcPr>
          <w:p w14:paraId="7845460E">
            <w:pPr>
              <w:widowControl/>
              <w:ind w:firstLine="0" w:firstLineChars="0"/>
              <w:jc w:val="center"/>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绩效目标</w:t>
            </w:r>
          </w:p>
        </w:tc>
        <w:tc>
          <w:tcPr>
            <w:tcW w:w="1411" w:type="dxa"/>
            <w:tcBorders>
              <w:tl2br w:val="nil"/>
              <w:tr2bl w:val="nil"/>
            </w:tcBorders>
            <w:shd w:val="clear" w:color="auto" w:fill="FFFFFF"/>
            <w:vAlign w:val="center"/>
          </w:tcPr>
          <w:p w14:paraId="1B8FE93E">
            <w:pPr>
              <w:widowControl/>
              <w:ind w:firstLine="0" w:firstLineChars="0"/>
              <w:jc w:val="center"/>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绩效目标</w:t>
            </w:r>
          </w:p>
          <w:p w14:paraId="6D71E51E">
            <w:pPr>
              <w:widowControl/>
              <w:ind w:firstLine="0" w:firstLineChars="0"/>
              <w:jc w:val="center"/>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合理性</w:t>
            </w:r>
          </w:p>
        </w:tc>
        <w:tc>
          <w:tcPr>
            <w:tcW w:w="2789" w:type="dxa"/>
            <w:tcBorders>
              <w:tl2br w:val="nil"/>
              <w:tr2bl w:val="nil"/>
            </w:tcBorders>
            <w:shd w:val="clear" w:color="000000" w:fill="FFFFFF"/>
            <w:vAlign w:val="center"/>
          </w:tcPr>
          <w:p w14:paraId="0269BCE3">
            <w:pPr>
              <w:widowControl/>
              <w:ind w:firstLine="0" w:firstLineChars="0"/>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774623BE">
            <w:pPr>
              <w:widowControl/>
              <w:ind w:firstLine="0" w:firstLineChars="0"/>
              <w:jc w:val="left"/>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评价要点：</w:t>
            </w:r>
          </w:p>
          <w:p w14:paraId="7F5B8191">
            <w:pPr>
              <w:widowControl/>
              <w:ind w:firstLine="0" w:firstLineChars="0"/>
              <w:jc w:val="left"/>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（如未设定预算绩效目标，也可考核其他工作任务目标）</w:t>
            </w:r>
          </w:p>
          <w:p w14:paraId="19B234F1">
            <w:pPr>
              <w:widowControl/>
              <w:ind w:firstLine="0" w:firstLineChars="0"/>
              <w:jc w:val="left"/>
              <w:rPr>
                <w:rFonts w:ascii="Times New Roman" w:hAnsi="Times New Roman" w:eastAsia="仿宋_GB2312" w:cs="Times New Roman"/>
                <w:color w:val="auto"/>
                <w:kern w:val="0"/>
                <w:sz w:val="22"/>
                <w:szCs w:val="22"/>
                <w:highlight w:val="none"/>
              </w:rPr>
            </w:pPr>
            <w:r>
              <w:rPr>
                <w:rFonts w:hint="eastAsia" w:ascii="宋体" w:hAnsi="宋体" w:eastAsia="宋体" w:cs="宋体"/>
                <w:color w:val="auto"/>
                <w:kern w:val="0"/>
                <w:sz w:val="22"/>
                <w:szCs w:val="22"/>
                <w:highlight w:val="none"/>
              </w:rPr>
              <w:t>①</w:t>
            </w:r>
            <w:r>
              <w:rPr>
                <w:rFonts w:ascii="Times New Roman" w:hAnsi="Times New Roman" w:eastAsia="仿宋_GB2312" w:cs="Times New Roman"/>
                <w:color w:val="auto"/>
                <w:kern w:val="0"/>
                <w:sz w:val="22"/>
                <w:szCs w:val="22"/>
                <w:highlight w:val="none"/>
              </w:rPr>
              <w:t>项目是否有绩效目标；</w:t>
            </w:r>
          </w:p>
          <w:p w14:paraId="28FDBF7F">
            <w:pPr>
              <w:widowControl/>
              <w:ind w:firstLine="0" w:firstLineChars="0"/>
              <w:jc w:val="left"/>
              <w:rPr>
                <w:rFonts w:ascii="Times New Roman" w:hAnsi="Times New Roman" w:eastAsia="仿宋_GB2312" w:cs="Times New Roman"/>
                <w:color w:val="auto"/>
                <w:kern w:val="0"/>
                <w:sz w:val="22"/>
                <w:szCs w:val="22"/>
                <w:highlight w:val="none"/>
              </w:rPr>
            </w:pPr>
            <w:r>
              <w:rPr>
                <w:rFonts w:hint="eastAsia" w:ascii="宋体" w:hAnsi="宋体" w:eastAsia="宋体" w:cs="宋体"/>
                <w:color w:val="auto"/>
                <w:kern w:val="0"/>
                <w:sz w:val="22"/>
                <w:szCs w:val="22"/>
                <w:highlight w:val="none"/>
              </w:rPr>
              <w:t>②</w:t>
            </w:r>
            <w:r>
              <w:rPr>
                <w:rFonts w:ascii="Times New Roman" w:hAnsi="Times New Roman" w:eastAsia="仿宋_GB2312" w:cs="Times New Roman"/>
                <w:color w:val="auto"/>
                <w:kern w:val="0"/>
                <w:sz w:val="22"/>
                <w:szCs w:val="22"/>
                <w:highlight w:val="none"/>
              </w:rPr>
              <w:t>项目绩效目标与实际工作内容是否具有相关性；</w:t>
            </w:r>
          </w:p>
          <w:p w14:paraId="43B19BA6">
            <w:pPr>
              <w:widowControl/>
              <w:ind w:firstLine="0" w:firstLineChars="0"/>
              <w:jc w:val="left"/>
              <w:rPr>
                <w:rFonts w:ascii="Times New Roman" w:hAnsi="Times New Roman" w:eastAsia="仿宋_GB2312" w:cs="Times New Roman"/>
                <w:color w:val="auto"/>
                <w:kern w:val="0"/>
                <w:sz w:val="22"/>
                <w:szCs w:val="22"/>
                <w:highlight w:val="none"/>
              </w:rPr>
            </w:pPr>
            <w:r>
              <w:rPr>
                <w:rFonts w:hint="eastAsia" w:ascii="宋体" w:hAnsi="宋体" w:eastAsia="宋体" w:cs="宋体"/>
                <w:color w:val="auto"/>
                <w:kern w:val="0"/>
                <w:sz w:val="22"/>
                <w:szCs w:val="22"/>
                <w:highlight w:val="none"/>
              </w:rPr>
              <w:t>③</w:t>
            </w:r>
            <w:r>
              <w:rPr>
                <w:rFonts w:ascii="Times New Roman" w:hAnsi="Times New Roman" w:eastAsia="仿宋_GB2312" w:cs="Times New Roman"/>
                <w:color w:val="auto"/>
                <w:kern w:val="0"/>
                <w:sz w:val="22"/>
                <w:szCs w:val="22"/>
                <w:highlight w:val="none"/>
              </w:rPr>
              <w:t>项目预期产出效益和效果是否符合正常的业绩水平；</w:t>
            </w:r>
          </w:p>
          <w:p w14:paraId="235DCCF9">
            <w:pPr>
              <w:widowControl/>
              <w:ind w:firstLine="0" w:firstLineChars="0"/>
              <w:jc w:val="left"/>
              <w:rPr>
                <w:rFonts w:ascii="Times New Roman" w:hAnsi="Times New Roman" w:eastAsia="仿宋_GB2312" w:cs="Times New Roman"/>
                <w:color w:val="auto"/>
                <w:kern w:val="0"/>
                <w:sz w:val="22"/>
                <w:szCs w:val="22"/>
                <w:highlight w:val="none"/>
              </w:rPr>
            </w:pPr>
            <w:r>
              <w:rPr>
                <w:rFonts w:hint="eastAsia" w:ascii="宋体" w:hAnsi="宋体" w:eastAsia="宋体" w:cs="宋体"/>
                <w:color w:val="auto"/>
                <w:kern w:val="0"/>
                <w:sz w:val="22"/>
                <w:szCs w:val="22"/>
                <w:highlight w:val="none"/>
              </w:rPr>
              <w:t>④</w:t>
            </w:r>
            <w:r>
              <w:rPr>
                <w:rFonts w:ascii="Times New Roman" w:hAnsi="Times New Roman" w:eastAsia="仿宋_GB2312" w:cs="Times New Roman"/>
                <w:color w:val="auto"/>
                <w:kern w:val="0"/>
                <w:sz w:val="22"/>
                <w:szCs w:val="22"/>
                <w:highlight w:val="none"/>
              </w:rPr>
              <w:t>是否与预算确定的项目投资额或资金量相匹配。</w:t>
            </w:r>
          </w:p>
        </w:tc>
      </w:tr>
      <w:tr w14:paraId="7D23D2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14:paraId="31F45D4E">
            <w:pPr>
              <w:widowControl/>
              <w:ind w:firstLine="0" w:firstLineChars="0"/>
              <w:jc w:val="center"/>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决策</w:t>
            </w:r>
          </w:p>
        </w:tc>
        <w:tc>
          <w:tcPr>
            <w:tcW w:w="1199" w:type="dxa"/>
            <w:tcBorders>
              <w:tl2br w:val="nil"/>
              <w:tr2bl w:val="nil"/>
            </w:tcBorders>
            <w:shd w:val="clear" w:color="auto" w:fill="FFFFFF"/>
            <w:vAlign w:val="center"/>
          </w:tcPr>
          <w:p w14:paraId="1D67E638">
            <w:pPr>
              <w:widowControl/>
              <w:ind w:firstLine="0" w:firstLineChars="0"/>
              <w:jc w:val="center"/>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绩效目标</w:t>
            </w:r>
          </w:p>
        </w:tc>
        <w:tc>
          <w:tcPr>
            <w:tcW w:w="1411" w:type="dxa"/>
            <w:tcBorders>
              <w:tl2br w:val="nil"/>
              <w:tr2bl w:val="nil"/>
            </w:tcBorders>
            <w:shd w:val="clear" w:color="auto" w:fill="FFFFFF"/>
            <w:vAlign w:val="center"/>
          </w:tcPr>
          <w:p w14:paraId="4CCB1714">
            <w:pPr>
              <w:widowControl/>
              <w:ind w:firstLine="0" w:firstLineChars="0"/>
              <w:jc w:val="center"/>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绩效指标</w:t>
            </w:r>
          </w:p>
          <w:p w14:paraId="60807186">
            <w:pPr>
              <w:widowControl/>
              <w:ind w:firstLine="0" w:firstLineChars="0"/>
              <w:jc w:val="center"/>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明确性</w:t>
            </w:r>
          </w:p>
        </w:tc>
        <w:tc>
          <w:tcPr>
            <w:tcW w:w="2789" w:type="dxa"/>
            <w:tcBorders>
              <w:tl2br w:val="nil"/>
              <w:tr2bl w:val="nil"/>
            </w:tcBorders>
            <w:shd w:val="clear" w:color="000000" w:fill="FFFFFF"/>
            <w:vAlign w:val="center"/>
          </w:tcPr>
          <w:p w14:paraId="1C38C272">
            <w:pPr>
              <w:widowControl/>
              <w:ind w:firstLine="0" w:firstLineChars="0"/>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3F988426">
            <w:pPr>
              <w:widowControl/>
              <w:ind w:firstLine="0" w:firstLineChars="0"/>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评价要点：</w:t>
            </w:r>
          </w:p>
          <w:p w14:paraId="069C1F61">
            <w:pPr>
              <w:widowControl/>
              <w:ind w:firstLine="0" w:firstLineChars="0"/>
              <w:rPr>
                <w:rFonts w:ascii="Times New Roman" w:hAnsi="Times New Roman" w:eastAsia="仿宋_GB2312" w:cs="Times New Roman"/>
                <w:color w:val="auto"/>
                <w:kern w:val="0"/>
                <w:sz w:val="22"/>
                <w:szCs w:val="22"/>
                <w:highlight w:val="none"/>
              </w:rPr>
            </w:pPr>
            <w:r>
              <w:rPr>
                <w:rFonts w:hint="eastAsia" w:ascii="宋体" w:hAnsi="宋体" w:eastAsia="宋体" w:cs="宋体"/>
                <w:color w:val="auto"/>
                <w:kern w:val="0"/>
                <w:sz w:val="22"/>
                <w:szCs w:val="22"/>
                <w:highlight w:val="none"/>
              </w:rPr>
              <w:t>①</w:t>
            </w:r>
            <w:r>
              <w:rPr>
                <w:rFonts w:ascii="Times New Roman" w:hAnsi="Times New Roman" w:eastAsia="仿宋_GB2312" w:cs="Times New Roman"/>
                <w:color w:val="auto"/>
                <w:kern w:val="0"/>
                <w:sz w:val="22"/>
                <w:szCs w:val="22"/>
                <w:highlight w:val="none"/>
              </w:rPr>
              <w:t>是否将项目绩效目标细化分解为具体的绩效指标；</w:t>
            </w:r>
          </w:p>
          <w:p w14:paraId="3F57C4B5">
            <w:pPr>
              <w:widowControl/>
              <w:ind w:firstLine="0" w:firstLineChars="0"/>
              <w:rPr>
                <w:rFonts w:ascii="Times New Roman" w:hAnsi="Times New Roman" w:eastAsia="仿宋_GB2312" w:cs="Times New Roman"/>
                <w:color w:val="auto"/>
                <w:kern w:val="0"/>
                <w:sz w:val="22"/>
                <w:szCs w:val="22"/>
                <w:highlight w:val="none"/>
              </w:rPr>
            </w:pPr>
            <w:r>
              <w:rPr>
                <w:rFonts w:hint="eastAsia" w:ascii="宋体" w:hAnsi="宋体" w:eastAsia="宋体" w:cs="宋体"/>
                <w:color w:val="auto"/>
                <w:kern w:val="0"/>
                <w:sz w:val="22"/>
                <w:szCs w:val="22"/>
                <w:highlight w:val="none"/>
              </w:rPr>
              <w:t>②</w:t>
            </w:r>
            <w:r>
              <w:rPr>
                <w:rFonts w:ascii="Times New Roman" w:hAnsi="Times New Roman" w:eastAsia="仿宋_GB2312" w:cs="Times New Roman"/>
                <w:color w:val="auto"/>
                <w:kern w:val="0"/>
                <w:sz w:val="22"/>
                <w:szCs w:val="22"/>
                <w:highlight w:val="none"/>
              </w:rPr>
              <w:t>是否通过清晰、可衡量的指标值予以体现；</w:t>
            </w:r>
          </w:p>
          <w:p w14:paraId="069B6D49">
            <w:pPr>
              <w:widowControl/>
              <w:ind w:firstLine="0" w:firstLineChars="0"/>
              <w:rPr>
                <w:rFonts w:ascii="Times New Roman" w:hAnsi="Times New Roman" w:eastAsia="仿宋_GB2312" w:cs="Times New Roman"/>
                <w:color w:val="auto"/>
                <w:kern w:val="0"/>
                <w:sz w:val="22"/>
                <w:szCs w:val="22"/>
                <w:highlight w:val="none"/>
              </w:rPr>
            </w:pPr>
            <w:r>
              <w:rPr>
                <w:rFonts w:hint="eastAsia" w:ascii="宋体" w:hAnsi="宋体" w:eastAsia="宋体" w:cs="宋体"/>
                <w:color w:val="auto"/>
                <w:kern w:val="0"/>
                <w:sz w:val="22"/>
                <w:szCs w:val="22"/>
                <w:highlight w:val="none"/>
              </w:rPr>
              <w:t>③</w:t>
            </w:r>
            <w:r>
              <w:rPr>
                <w:rFonts w:ascii="Times New Roman" w:hAnsi="Times New Roman" w:eastAsia="仿宋_GB2312" w:cs="Times New Roman"/>
                <w:color w:val="auto"/>
                <w:kern w:val="0"/>
                <w:sz w:val="22"/>
                <w:szCs w:val="22"/>
                <w:highlight w:val="none"/>
              </w:rPr>
              <w:t>是否与项目目标任务数或计划数相对应。</w:t>
            </w:r>
          </w:p>
        </w:tc>
      </w:tr>
      <w:tr w14:paraId="275BF8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14:paraId="2A5C5CA3">
            <w:pPr>
              <w:widowControl/>
              <w:ind w:firstLine="0" w:firstLineChars="0"/>
              <w:jc w:val="center"/>
              <w:rPr>
                <w:rFonts w:ascii="Times New Roman" w:hAnsi="Times New Roman" w:eastAsia="仿宋_GB2312" w:cs="Times New Roman"/>
                <w:color w:val="auto"/>
                <w:kern w:val="0"/>
                <w:sz w:val="22"/>
                <w:szCs w:val="22"/>
                <w:highlight w:val="none"/>
              </w:rPr>
            </w:pPr>
          </w:p>
        </w:tc>
        <w:tc>
          <w:tcPr>
            <w:tcW w:w="1199" w:type="dxa"/>
            <w:vMerge w:val="restart"/>
            <w:tcBorders>
              <w:tl2br w:val="nil"/>
              <w:tr2bl w:val="nil"/>
            </w:tcBorders>
            <w:shd w:val="clear" w:color="auto" w:fill="FFFFFF"/>
            <w:vAlign w:val="center"/>
          </w:tcPr>
          <w:p w14:paraId="582354DC">
            <w:pPr>
              <w:widowControl/>
              <w:ind w:firstLine="0" w:firstLineChars="0"/>
              <w:jc w:val="center"/>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资金投入</w:t>
            </w:r>
          </w:p>
        </w:tc>
        <w:tc>
          <w:tcPr>
            <w:tcW w:w="1411" w:type="dxa"/>
            <w:tcBorders>
              <w:tl2br w:val="nil"/>
              <w:tr2bl w:val="nil"/>
            </w:tcBorders>
            <w:shd w:val="clear" w:color="auto" w:fill="FFFFFF"/>
            <w:vAlign w:val="center"/>
          </w:tcPr>
          <w:p w14:paraId="06712C1D">
            <w:pPr>
              <w:widowControl/>
              <w:ind w:firstLine="0" w:firstLineChars="0"/>
              <w:jc w:val="center"/>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预算编制</w:t>
            </w:r>
          </w:p>
          <w:p w14:paraId="228DF9C0">
            <w:pPr>
              <w:widowControl/>
              <w:ind w:firstLine="0" w:firstLineChars="0"/>
              <w:jc w:val="center"/>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科学性</w:t>
            </w:r>
          </w:p>
        </w:tc>
        <w:tc>
          <w:tcPr>
            <w:tcW w:w="2789" w:type="dxa"/>
            <w:tcBorders>
              <w:tl2br w:val="nil"/>
              <w:tr2bl w:val="nil"/>
            </w:tcBorders>
            <w:shd w:val="clear" w:color="auto" w:fill="FFFFFF"/>
            <w:vAlign w:val="center"/>
          </w:tcPr>
          <w:p w14:paraId="160EA929">
            <w:pPr>
              <w:widowControl/>
              <w:ind w:firstLine="0" w:firstLineChars="0"/>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011DBA01">
            <w:pPr>
              <w:widowControl/>
              <w:ind w:firstLine="0" w:firstLineChars="0"/>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评价要点：</w:t>
            </w:r>
          </w:p>
          <w:p w14:paraId="7EC86230">
            <w:pPr>
              <w:widowControl/>
              <w:ind w:firstLine="0" w:firstLineChars="0"/>
              <w:rPr>
                <w:rFonts w:ascii="Times New Roman" w:hAnsi="Times New Roman" w:eastAsia="仿宋_GB2312" w:cs="Times New Roman"/>
                <w:color w:val="auto"/>
                <w:kern w:val="0"/>
                <w:sz w:val="22"/>
                <w:szCs w:val="22"/>
                <w:highlight w:val="none"/>
              </w:rPr>
            </w:pPr>
            <w:r>
              <w:rPr>
                <w:rFonts w:hint="eastAsia" w:ascii="宋体" w:hAnsi="宋体" w:eastAsia="宋体" w:cs="宋体"/>
                <w:color w:val="auto"/>
                <w:kern w:val="0"/>
                <w:sz w:val="22"/>
                <w:szCs w:val="22"/>
                <w:highlight w:val="none"/>
              </w:rPr>
              <w:t>①</w:t>
            </w:r>
            <w:r>
              <w:rPr>
                <w:rFonts w:ascii="Times New Roman" w:hAnsi="Times New Roman" w:eastAsia="仿宋_GB2312" w:cs="Times New Roman"/>
                <w:color w:val="auto"/>
                <w:kern w:val="0"/>
                <w:sz w:val="22"/>
                <w:szCs w:val="22"/>
                <w:highlight w:val="none"/>
              </w:rPr>
              <w:t>预算编制是否经过科学论证；</w:t>
            </w:r>
          </w:p>
          <w:p w14:paraId="7598E928">
            <w:pPr>
              <w:widowControl/>
              <w:ind w:firstLine="0" w:firstLineChars="0"/>
              <w:rPr>
                <w:rFonts w:ascii="Times New Roman" w:hAnsi="Times New Roman" w:eastAsia="仿宋_GB2312" w:cs="Times New Roman"/>
                <w:color w:val="auto"/>
                <w:kern w:val="0"/>
                <w:sz w:val="22"/>
                <w:szCs w:val="22"/>
                <w:highlight w:val="none"/>
              </w:rPr>
            </w:pPr>
            <w:r>
              <w:rPr>
                <w:rFonts w:hint="eastAsia" w:ascii="宋体" w:hAnsi="宋体" w:eastAsia="宋体" w:cs="宋体"/>
                <w:color w:val="auto"/>
                <w:kern w:val="0"/>
                <w:sz w:val="22"/>
                <w:szCs w:val="22"/>
                <w:highlight w:val="none"/>
              </w:rPr>
              <w:t>②</w:t>
            </w:r>
            <w:r>
              <w:rPr>
                <w:rFonts w:ascii="Times New Roman" w:hAnsi="Times New Roman" w:eastAsia="仿宋_GB2312" w:cs="Times New Roman"/>
                <w:color w:val="auto"/>
                <w:kern w:val="0"/>
                <w:sz w:val="22"/>
                <w:szCs w:val="22"/>
                <w:highlight w:val="none"/>
              </w:rPr>
              <w:t>预算内容与项目内容是否匹配；</w:t>
            </w:r>
          </w:p>
          <w:p w14:paraId="17958192">
            <w:pPr>
              <w:widowControl/>
              <w:ind w:firstLine="0" w:firstLineChars="0"/>
              <w:rPr>
                <w:rFonts w:ascii="Times New Roman" w:hAnsi="Times New Roman" w:eastAsia="仿宋_GB2312" w:cs="Times New Roman"/>
                <w:color w:val="auto"/>
                <w:kern w:val="0"/>
                <w:sz w:val="22"/>
                <w:szCs w:val="22"/>
                <w:highlight w:val="none"/>
              </w:rPr>
            </w:pPr>
            <w:r>
              <w:rPr>
                <w:rFonts w:hint="eastAsia" w:ascii="宋体" w:hAnsi="宋体" w:eastAsia="宋体" w:cs="宋体"/>
                <w:color w:val="auto"/>
                <w:kern w:val="0"/>
                <w:sz w:val="22"/>
                <w:szCs w:val="22"/>
                <w:highlight w:val="none"/>
              </w:rPr>
              <w:t>③</w:t>
            </w:r>
            <w:r>
              <w:rPr>
                <w:rFonts w:ascii="Times New Roman" w:hAnsi="Times New Roman" w:eastAsia="仿宋_GB2312" w:cs="Times New Roman"/>
                <w:color w:val="auto"/>
                <w:kern w:val="0"/>
                <w:sz w:val="22"/>
                <w:szCs w:val="22"/>
                <w:highlight w:val="none"/>
              </w:rPr>
              <w:t>预算额度测算依据是否充分，是否按照标准编制；</w:t>
            </w:r>
          </w:p>
          <w:p w14:paraId="71CC7B5A">
            <w:pPr>
              <w:widowControl/>
              <w:ind w:firstLine="0" w:firstLineChars="0"/>
              <w:rPr>
                <w:rFonts w:ascii="Times New Roman" w:hAnsi="Times New Roman" w:eastAsia="仿宋_GB2312" w:cs="Times New Roman"/>
                <w:color w:val="auto"/>
                <w:kern w:val="0"/>
                <w:sz w:val="22"/>
                <w:szCs w:val="22"/>
                <w:highlight w:val="none"/>
              </w:rPr>
            </w:pPr>
            <w:r>
              <w:rPr>
                <w:rFonts w:hint="eastAsia" w:ascii="宋体" w:hAnsi="宋体" w:eastAsia="宋体" w:cs="宋体"/>
                <w:color w:val="auto"/>
                <w:kern w:val="0"/>
                <w:sz w:val="22"/>
                <w:szCs w:val="22"/>
                <w:highlight w:val="none"/>
              </w:rPr>
              <w:t>④</w:t>
            </w:r>
            <w:r>
              <w:rPr>
                <w:rFonts w:ascii="Times New Roman" w:hAnsi="Times New Roman" w:eastAsia="仿宋_GB2312" w:cs="Times New Roman"/>
                <w:color w:val="auto"/>
                <w:kern w:val="0"/>
                <w:sz w:val="22"/>
                <w:szCs w:val="22"/>
                <w:highlight w:val="none"/>
              </w:rPr>
              <w:t>预算确定的项目投资额或资金量是否与工作任务相匹配。</w:t>
            </w:r>
          </w:p>
        </w:tc>
      </w:tr>
      <w:tr w14:paraId="5510A5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14:paraId="767B98F5">
            <w:pPr>
              <w:widowControl/>
              <w:ind w:firstLine="0" w:firstLineChars="0"/>
              <w:jc w:val="center"/>
              <w:rPr>
                <w:rFonts w:ascii="Times New Roman" w:hAnsi="Times New Roman" w:eastAsia="仿宋_GB2312" w:cs="Times New Roman"/>
                <w:color w:val="auto"/>
                <w:kern w:val="0"/>
                <w:sz w:val="22"/>
                <w:szCs w:val="22"/>
                <w:highlight w:val="none"/>
              </w:rPr>
            </w:pPr>
          </w:p>
        </w:tc>
        <w:tc>
          <w:tcPr>
            <w:tcW w:w="1199" w:type="dxa"/>
            <w:vMerge w:val="continue"/>
            <w:tcBorders>
              <w:tl2br w:val="nil"/>
              <w:tr2bl w:val="nil"/>
            </w:tcBorders>
            <w:shd w:val="clear" w:color="auto" w:fill="FFFFFF"/>
            <w:vAlign w:val="center"/>
          </w:tcPr>
          <w:p w14:paraId="6CD2B8F4">
            <w:pPr>
              <w:widowControl/>
              <w:ind w:firstLine="0" w:firstLineChars="0"/>
              <w:jc w:val="center"/>
              <w:rPr>
                <w:rFonts w:ascii="Times New Roman" w:hAnsi="Times New Roman" w:eastAsia="仿宋_GB2312" w:cs="Times New Roman"/>
                <w:color w:val="auto"/>
                <w:kern w:val="0"/>
                <w:sz w:val="22"/>
                <w:szCs w:val="22"/>
                <w:highlight w:val="none"/>
              </w:rPr>
            </w:pPr>
          </w:p>
        </w:tc>
        <w:tc>
          <w:tcPr>
            <w:tcW w:w="1411" w:type="dxa"/>
            <w:tcBorders>
              <w:tl2br w:val="nil"/>
              <w:tr2bl w:val="nil"/>
            </w:tcBorders>
            <w:shd w:val="clear" w:color="auto" w:fill="FFFFFF"/>
            <w:vAlign w:val="center"/>
          </w:tcPr>
          <w:p w14:paraId="21404748">
            <w:pPr>
              <w:widowControl/>
              <w:ind w:firstLine="0" w:firstLineChars="0"/>
              <w:jc w:val="center"/>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资金分配</w:t>
            </w:r>
          </w:p>
          <w:p w14:paraId="50CA40CD">
            <w:pPr>
              <w:widowControl/>
              <w:ind w:firstLine="0" w:firstLineChars="0"/>
              <w:jc w:val="center"/>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合理性</w:t>
            </w:r>
          </w:p>
        </w:tc>
        <w:tc>
          <w:tcPr>
            <w:tcW w:w="2789" w:type="dxa"/>
            <w:tcBorders>
              <w:tl2br w:val="nil"/>
              <w:tr2bl w:val="nil"/>
            </w:tcBorders>
            <w:shd w:val="clear" w:color="auto" w:fill="FFFFFF"/>
            <w:vAlign w:val="center"/>
          </w:tcPr>
          <w:p w14:paraId="44BC74EB">
            <w:pPr>
              <w:widowControl/>
              <w:ind w:firstLine="0" w:firstLineChars="0"/>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14:paraId="57B46398">
            <w:pPr>
              <w:widowControl/>
              <w:ind w:firstLine="0" w:firstLineChars="0"/>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评价要点：</w:t>
            </w:r>
          </w:p>
          <w:p w14:paraId="7D9505F3">
            <w:pPr>
              <w:widowControl/>
              <w:ind w:firstLine="0" w:firstLineChars="0"/>
              <w:rPr>
                <w:rFonts w:ascii="Times New Roman" w:hAnsi="Times New Roman" w:eastAsia="仿宋_GB2312" w:cs="Times New Roman"/>
                <w:color w:val="auto"/>
                <w:kern w:val="0"/>
                <w:sz w:val="22"/>
                <w:szCs w:val="22"/>
                <w:highlight w:val="none"/>
              </w:rPr>
            </w:pPr>
            <w:r>
              <w:rPr>
                <w:rFonts w:hint="eastAsia" w:ascii="宋体" w:hAnsi="宋体" w:eastAsia="宋体" w:cs="宋体"/>
                <w:color w:val="auto"/>
                <w:kern w:val="0"/>
                <w:sz w:val="22"/>
                <w:szCs w:val="22"/>
                <w:highlight w:val="none"/>
              </w:rPr>
              <w:t>①</w:t>
            </w:r>
            <w:r>
              <w:rPr>
                <w:rFonts w:ascii="Times New Roman" w:hAnsi="Times New Roman" w:eastAsia="仿宋_GB2312" w:cs="Times New Roman"/>
                <w:color w:val="auto"/>
                <w:kern w:val="0"/>
                <w:sz w:val="22"/>
                <w:szCs w:val="22"/>
                <w:highlight w:val="none"/>
              </w:rPr>
              <w:t>预算资金分配依据是否充分；</w:t>
            </w:r>
          </w:p>
          <w:p w14:paraId="66A7B8C8">
            <w:pPr>
              <w:widowControl/>
              <w:ind w:firstLine="0" w:firstLineChars="0"/>
              <w:rPr>
                <w:rFonts w:ascii="Times New Roman" w:hAnsi="Times New Roman" w:eastAsia="仿宋_GB2312" w:cs="Times New Roman"/>
                <w:color w:val="auto"/>
                <w:kern w:val="0"/>
                <w:sz w:val="22"/>
                <w:szCs w:val="22"/>
                <w:highlight w:val="none"/>
              </w:rPr>
            </w:pPr>
            <w:r>
              <w:rPr>
                <w:rFonts w:hint="eastAsia" w:ascii="宋体" w:hAnsi="宋体" w:eastAsia="宋体" w:cs="宋体"/>
                <w:color w:val="auto"/>
                <w:kern w:val="0"/>
                <w:sz w:val="22"/>
                <w:szCs w:val="22"/>
                <w:highlight w:val="none"/>
              </w:rPr>
              <w:t>②</w:t>
            </w:r>
            <w:r>
              <w:rPr>
                <w:rFonts w:ascii="Times New Roman" w:hAnsi="Times New Roman" w:eastAsia="仿宋_GB2312" w:cs="Times New Roman"/>
                <w:color w:val="auto"/>
                <w:kern w:val="0"/>
                <w:sz w:val="22"/>
                <w:szCs w:val="22"/>
                <w:highlight w:val="none"/>
              </w:rPr>
              <w:t>资金分配额度是否合理，与项目单位或地方实际是否相适应。</w:t>
            </w:r>
          </w:p>
        </w:tc>
      </w:tr>
      <w:tr w14:paraId="758FD9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14:paraId="32731B82">
            <w:pPr>
              <w:widowControl/>
              <w:ind w:firstLine="0" w:firstLineChars="0"/>
              <w:jc w:val="center"/>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过程</w:t>
            </w:r>
          </w:p>
        </w:tc>
        <w:tc>
          <w:tcPr>
            <w:tcW w:w="1199" w:type="dxa"/>
            <w:vMerge w:val="restart"/>
            <w:tcBorders>
              <w:tl2br w:val="nil"/>
              <w:tr2bl w:val="nil"/>
            </w:tcBorders>
            <w:shd w:val="clear" w:color="auto" w:fill="FFFFFF"/>
            <w:vAlign w:val="center"/>
          </w:tcPr>
          <w:p w14:paraId="5E52D20C">
            <w:pPr>
              <w:widowControl/>
              <w:ind w:firstLine="0" w:firstLineChars="0"/>
              <w:jc w:val="center"/>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资金管理</w:t>
            </w:r>
          </w:p>
        </w:tc>
        <w:tc>
          <w:tcPr>
            <w:tcW w:w="1411" w:type="dxa"/>
            <w:tcBorders>
              <w:tl2br w:val="nil"/>
              <w:tr2bl w:val="nil"/>
            </w:tcBorders>
            <w:shd w:val="clear" w:color="auto" w:fill="FFFFFF"/>
            <w:vAlign w:val="center"/>
          </w:tcPr>
          <w:p w14:paraId="414F8C0C">
            <w:pPr>
              <w:widowControl/>
              <w:ind w:firstLine="0" w:firstLineChars="0"/>
              <w:jc w:val="center"/>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资金到位率</w:t>
            </w:r>
          </w:p>
        </w:tc>
        <w:tc>
          <w:tcPr>
            <w:tcW w:w="2789" w:type="dxa"/>
            <w:tcBorders>
              <w:tl2br w:val="nil"/>
              <w:tr2bl w:val="nil"/>
            </w:tcBorders>
            <w:shd w:val="clear" w:color="000000" w:fill="FFFFFF"/>
            <w:vAlign w:val="center"/>
          </w:tcPr>
          <w:p w14:paraId="77C47D1D">
            <w:pPr>
              <w:widowControl/>
              <w:ind w:firstLine="0" w:firstLineChars="0"/>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1F87516C">
            <w:pPr>
              <w:widowControl/>
              <w:ind w:firstLine="0" w:firstLineChars="0"/>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资金到位率=（实际到位资金/预算资金）×100%。</w:t>
            </w:r>
          </w:p>
          <w:p w14:paraId="73EDC3CA">
            <w:pPr>
              <w:widowControl/>
              <w:ind w:firstLine="0" w:firstLineChars="0"/>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实际到位资金：一定时期（本年度或项目期）内落实到具体项目的资金。</w:t>
            </w:r>
          </w:p>
          <w:p w14:paraId="5C76C7AD">
            <w:pPr>
              <w:widowControl/>
              <w:ind w:firstLine="0" w:firstLineChars="0"/>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预算资金：一定时期（本年度或项目期）内预算安排到具体项目的资金。</w:t>
            </w:r>
          </w:p>
        </w:tc>
      </w:tr>
      <w:tr w14:paraId="009C6B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14:paraId="1FD3809C">
            <w:pPr>
              <w:widowControl/>
              <w:ind w:firstLine="0" w:firstLineChars="0"/>
              <w:jc w:val="center"/>
              <w:rPr>
                <w:rFonts w:ascii="Times New Roman" w:hAnsi="Times New Roman" w:eastAsia="仿宋_GB2312" w:cs="Times New Roman"/>
                <w:color w:val="auto"/>
                <w:kern w:val="0"/>
                <w:sz w:val="22"/>
                <w:szCs w:val="22"/>
                <w:highlight w:val="none"/>
              </w:rPr>
            </w:pPr>
          </w:p>
        </w:tc>
        <w:tc>
          <w:tcPr>
            <w:tcW w:w="1199" w:type="dxa"/>
            <w:vMerge w:val="continue"/>
            <w:tcBorders>
              <w:tl2br w:val="nil"/>
              <w:tr2bl w:val="nil"/>
            </w:tcBorders>
            <w:shd w:val="clear" w:color="auto" w:fill="FFFFFF"/>
            <w:vAlign w:val="center"/>
          </w:tcPr>
          <w:p w14:paraId="46E5EFA6">
            <w:pPr>
              <w:widowControl/>
              <w:ind w:firstLine="0" w:firstLineChars="0"/>
              <w:jc w:val="center"/>
              <w:rPr>
                <w:rFonts w:ascii="Times New Roman" w:hAnsi="Times New Roman" w:eastAsia="仿宋_GB2312" w:cs="Times New Roman"/>
                <w:color w:val="auto"/>
                <w:kern w:val="0"/>
                <w:sz w:val="22"/>
                <w:szCs w:val="22"/>
                <w:highlight w:val="none"/>
              </w:rPr>
            </w:pPr>
          </w:p>
        </w:tc>
        <w:tc>
          <w:tcPr>
            <w:tcW w:w="1411" w:type="dxa"/>
            <w:tcBorders>
              <w:tl2br w:val="nil"/>
              <w:tr2bl w:val="nil"/>
            </w:tcBorders>
            <w:shd w:val="clear" w:color="auto" w:fill="FFFFFF"/>
            <w:vAlign w:val="center"/>
          </w:tcPr>
          <w:p w14:paraId="7B2D2372">
            <w:pPr>
              <w:widowControl/>
              <w:ind w:firstLine="0" w:firstLineChars="0"/>
              <w:jc w:val="center"/>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预算执行率</w:t>
            </w:r>
          </w:p>
        </w:tc>
        <w:tc>
          <w:tcPr>
            <w:tcW w:w="2789" w:type="dxa"/>
            <w:tcBorders>
              <w:tl2br w:val="nil"/>
              <w:tr2bl w:val="nil"/>
            </w:tcBorders>
            <w:shd w:val="clear" w:color="auto" w:fill="FFFFFF"/>
            <w:vAlign w:val="center"/>
          </w:tcPr>
          <w:p w14:paraId="5674AC6D">
            <w:pPr>
              <w:widowControl/>
              <w:ind w:firstLine="0" w:firstLineChars="0"/>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14:paraId="22D136BE">
            <w:pPr>
              <w:widowControl/>
              <w:ind w:firstLine="0" w:firstLineChars="0"/>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预算执行率=（实际支出资金/实际到位资金）×100%。</w:t>
            </w:r>
          </w:p>
          <w:p w14:paraId="3DD5C061">
            <w:pPr>
              <w:widowControl/>
              <w:ind w:firstLine="0" w:firstLineChars="0"/>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实际支出资金：一定时期（本年度或项目期）内项目实际拨付的资金。</w:t>
            </w:r>
          </w:p>
        </w:tc>
      </w:tr>
      <w:tr w14:paraId="1C8AD5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14:paraId="74B52CC1">
            <w:pPr>
              <w:widowControl/>
              <w:ind w:firstLine="0" w:firstLineChars="0"/>
              <w:jc w:val="center"/>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过程</w:t>
            </w:r>
          </w:p>
        </w:tc>
        <w:tc>
          <w:tcPr>
            <w:tcW w:w="1199" w:type="dxa"/>
            <w:tcBorders>
              <w:tl2br w:val="nil"/>
              <w:tr2bl w:val="nil"/>
            </w:tcBorders>
            <w:shd w:val="clear" w:color="auto" w:fill="FFFFFF"/>
            <w:vAlign w:val="center"/>
          </w:tcPr>
          <w:p w14:paraId="23E97405">
            <w:pPr>
              <w:widowControl/>
              <w:ind w:firstLine="0" w:firstLineChars="0"/>
              <w:jc w:val="center"/>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资金管理</w:t>
            </w:r>
          </w:p>
        </w:tc>
        <w:tc>
          <w:tcPr>
            <w:tcW w:w="1411" w:type="dxa"/>
            <w:tcBorders>
              <w:tl2br w:val="nil"/>
              <w:tr2bl w:val="nil"/>
            </w:tcBorders>
            <w:shd w:val="clear" w:color="auto" w:fill="FFFFFF"/>
            <w:vAlign w:val="center"/>
          </w:tcPr>
          <w:p w14:paraId="5D4F053D">
            <w:pPr>
              <w:widowControl/>
              <w:ind w:firstLine="0" w:firstLineChars="0"/>
              <w:jc w:val="center"/>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资金使用</w:t>
            </w:r>
          </w:p>
          <w:p w14:paraId="188BF3D4">
            <w:pPr>
              <w:widowControl/>
              <w:ind w:firstLine="0" w:firstLineChars="0"/>
              <w:jc w:val="center"/>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合规性</w:t>
            </w:r>
          </w:p>
        </w:tc>
        <w:tc>
          <w:tcPr>
            <w:tcW w:w="2789" w:type="dxa"/>
            <w:tcBorders>
              <w:tl2br w:val="nil"/>
              <w:tr2bl w:val="nil"/>
            </w:tcBorders>
            <w:shd w:val="clear" w:color="000000" w:fill="FFFFFF"/>
            <w:vAlign w:val="center"/>
          </w:tcPr>
          <w:p w14:paraId="33F0F207">
            <w:pPr>
              <w:widowControl/>
              <w:ind w:firstLine="0" w:firstLineChars="0"/>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14:paraId="09FC0FD0">
            <w:pPr>
              <w:widowControl/>
              <w:ind w:firstLine="0" w:firstLineChars="0"/>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评价要点：</w:t>
            </w:r>
          </w:p>
          <w:p w14:paraId="1582702D">
            <w:pPr>
              <w:widowControl/>
              <w:ind w:firstLine="0" w:firstLineChars="0"/>
              <w:rPr>
                <w:rFonts w:ascii="Times New Roman" w:hAnsi="Times New Roman" w:eastAsia="仿宋_GB2312" w:cs="Times New Roman"/>
                <w:color w:val="auto"/>
                <w:kern w:val="0"/>
                <w:sz w:val="22"/>
                <w:szCs w:val="22"/>
                <w:highlight w:val="none"/>
              </w:rPr>
            </w:pPr>
            <w:r>
              <w:rPr>
                <w:rFonts w:hint="eastAsia" w:ascii="宋体" w:hAnsi="宋体" w:eastAsia="宋体" w:cs="宋体"/>
                <w:color w:val="auto"/>
                <w:kern w:val="0"/>
                <w:sz w:val="22"/>
                <w:szCs w:val="22"/>
                <w:highlight w:val="none"/>
              </w:rPr>
              <w:t>①</w:t>
            </w:r>
            <w:r>
              <w:rPr>
                <w:rFonts w:ascii="Times New Roman" w:hAnsi="Times New Roman" w:eastAsia="仿宋_GB2312" w:cs="Times New Roman"/>
                <w:color w:val="auto"/>
                <w:kern w:val="0"/>
                <w:sz w:val="22"/>
                <w:szCs w:val="22"/>
                <w:highlight w:val="none"/>
              </w:rPr>
              <w:t>是否符合国家财经法规和财务管理制度以及有关专项资金管理办法的规定；</w:t>
            </w:r>
          </w:p>
          <w:p w14:paraId="5FF6C6FE">
            <w:pPr>
              <w:widowControl/>
              <w:ind w:firstLine="0" w:firstLineChars="0"/>
              <w:rPr>
                <w:rFonts w:ascii="Times New Roman" w:hAnsi="Times New Roman" w:eastAsia="仿宋_GB2312" w:cs="Times New Roman"/>
                <w:color w:val="auto"/>
                <w:kern w:val="0"/>
                <w:sz w:val="22"/>
                <w:szCs w:val="22"/>
                <w:highlight w:val="none"/>
              </w:rPr>
            </w:pPr>
            <w:r>
              <w:rPr>
                <w:rFonts w:hint="eastAsia" w:ascii="宋体" w:hAnsi="宋体" w:eastAsia="宋体" w:cs="宋体"/>
                <w:color w:val="auto"/>
                <w:kern w:val="0"/>
                <w:sz w:val="22"/>
                <w:szCs w:val="22"/>
                <w:highlight w:val="none"/>
              </w:rPr>
              <w:t>②</w:t>
            </w:r>
            <w:r>
              <w:rPr>
                <w:rFonts w:ascii="Times New Roman" w:hAnsi="Times New Roman" w:eastAsia="仿宋_GB2312" w:cs="Times New Roman"/>
                <w:color w:val="auto"/>
                <w:kern w:val="0"/>
                <w:sz w:val="22"/>
                <w:szCs w:val="22"/>
                <w:highlight w:val="none"/>
              </w:rPr>
              <w:t>资金的拨付是否有完整的审批程序和手续；</w:t>
            </w:r>
          </w:p>
          <w:p w14:paraId="3E885A96">
            <w:pPr>
              <w:widowControl/>
              <w:ind w:firstLine="0" w:firstLineChars="0"/>
              <w:rPr>
                <w:rFonts w:ascii="Times New Roman" w:hAnsi="Times New Roman" w:eastAsia="仿宋_GB2312" w:cs="Times New Roman"/>
                <w:color w:val="auto"/>
                <w:kern w:val="0"/>
                <w:sz w:val="22"/>
                <w:szCs w:val="22"/>
                <w:highlight w:val="none"/>
              </w:rPr>
            </w:pPr>
            <w:r>
              <w:rPr>
                <w:rFonts w:hint="eastAsia" w:ascii="宋体" w:hAnsi="宋体" w:eastAsia="宋体" w:cs="宋体"/>
                <w:color w:val="auto"/>
                <w:kern w:val="0"/>
                <w:sz w:val="22"/>
                <w:szCs w:val="22"/>
                <w:highlight w:val="none"/>
              </w:rPr>
              <w:t>③</w:t>
            </w:r>
            <w:r>
              <w:rPr>
                <w:rFonts w:ascii="Times New Roman" w:hAnsi="Times New Roman" w:eastAsia="仿宋_GB2312" w:cs="Times New Roman"/>
                <w:color w:val="auto"/>
                <w:kern w:val="0"/>
                <w:sz w:val="22"/>
                <w:szCs w:val="22"/>
                <w:highlight w:val="none"/>
              </w:rPr>
              <w:t>是否符合项目预算批复或合同规定的用途；</w:t>
            </w:r>
          </w:p>
          <w:p w14:paraId="3E6D93AF">
            <w:pPr>
              <w:widowControl/>
              <w:ind w:firstLine="0" w:firstLineChars="0"/>
              <w:rPr>
                <w:rFonts w:ascii="Times New Roman" w:hAnsi="Times New Roman" w:eastAsia="仿宋_GB2312" w:cs="Times New Roman"/>
                <w:color w:val="auto"/>
                <w:kern w:val="0"/>
                <w:sz w:val="22"/>
                <w:szCs w:val="22"/>
                <w:highlight w:val="none"/>
              </w:rPr>
            </w:pPr>
            <w:r>
              <w:rPr>
                <w:rFonts w:hint="eastAsia" w:ascii="宋体" w:hAnsi="宋体" w:eastAsia="宋体" w:cs="宋体"/>
                <w:color w:val="auto"/>
                <w:kern w:val="0"/>
                <w:sz w:val="22"/>
                <w:szCs w:val="22"/>
                <w:highlight w:val="none"/>
              </w:rPr>
              <w:t>④</w:t>
            </w:r>
            <w:r>
              <w:rPr>
                <w:rFonts w:ascii="Times New Roman" w:hAnsi="Times New Roman" w:eastAsia="仿宋_GB2312" w:cs="Times New Roman"/>
                <w:color w:val="auto"/>
                <w:kern w:val="0"/>
                <w:sz w:val="22"/>
                <w:szCs w:val="22"/>
                <w:highlight w:val="none"/>
              </w:rPr>
              <w:t>是否存在截留、挤占、挪用、虚列支出等情况。</w:t>
            </w:r>
          </w:p>
        </w:tc>
      </w:tr>
      <w:tr w14:paraId="6CCCDA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14:paraId="435D802C">
            <w:pPr>
              <w:widowControl/>
              <w:ind w:firstLine="0" w:firstLineChars="0"/>
              <w:jc w:val="center"/>
              <w:rPr>
                <w:rFonts w:ascii="Times New Roman" w:hAnsi="Times New Roman" w:eastAsia="仿宋_GB2312" w:cs="Times New Roman"/>
                <w:color w:val="auto"/>
                <w:kern w:val="0"/>
                <w:sz w:val="22"/>
                <w:szCs w:val="22"/>
                <w:highlight w:val="none"/>
              </w:rPr>
            </w:pPr>
          </w:p>
        </w:tc>
        <w:tc>
          <w:tcPr>
            <w:tcW w:w="1199" w:type="dxa"/>
            <w:vMerge w:val="restart"/>
            <w:tcBorders>
              <w:tl2br w:val="nil"/>
              <w:tr2bl w:val="nil"/>
            </w:tcBorders>
            <w:shd w:val="clear" w:color="auto" w:fill="FFFFFF"/>
            <w:vAlign w:val="center"/>
          </w:tcPr>
          <w:p w14:paraId="20411CFD">
            <w:pPr>
              <w:widowControl/>
              <w:ind w:firstLine="0" w:firstLineChars="0"/>
              <w:jc w:val="center"/>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组织实施</w:t>
            </w:r>
          </w:p>
        </w:tc>
        <w:tc>
          <w:tcPr>
            <w:tcW w:w="1411" w:type="dxa"/>
            <w:tcBorders>
              <w:tl2br w:val="nil"/>
              <w:tr2bl w:val="nil"/>
            </w:tcBorders>
            <w:shd w:val="clear" w:color="auto" w:fill="FFFFFF"/>
            <w:vAlign w:val="center"/>
          </w:tcPr>
          <w:p w14:paraId="02D3AA71">
            <w:pPr>
              <w:widowControl/>
              <w:ind w:firstLine="0" w:firstLineChars="0"/>
              <w:jc w:val="center"/>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管理制度</w:t>
            </w:r>
          </w:p>
          <w:p w14:paraId="10B57DAA">
            <w:pPr>
              <w:widowControl/>
              <w:ind w:firstLine="0" w:firstLineChars="0"/>
              <w:jc w:val="center"/>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健全性</w:t>
            </w:r>
          </w:p>
        </w:tc>
        <w:tc>
          <w:tcPr>
            <w:tcW w:w="2789" w:type="dxa"/>
            <w:tcBorders>
              <w:tl2br w:val="nil"/>
              <w:tr2bl w:val="nil"/>
            </w:tcBorders>
            <w:shd w:val="clear" w:color="000000" w:fill="FFFFFF"/>
            <w:vAlign w:val="center"/>
          </w:tcPr>
          <w:p w14:paraId="10010D4A">
            <w:pPr>
              <w:widowControl/>
              <w:ind w:firstLine="0" w:firstLineChars="0"/>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5AA6FD7F">
            <w:pPr>
              <w:widowControl/>
              <w:ind w:firstLine="0" w:firstLineChars="0"/>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评价要点：</w:t>
            </w:r>
          </w:p>
          <w:p w14:paraId="3E2F06BF">
            <w:pPr>
              <w:widowControl/>
              <w:ind w:firstLine="0" w:firstLineChars="0"/>
              <w:rPr>
                <w:rFonts w:ascii="Times New Roman" w:hAnsi="Times New Roman" w:eastAsia="仿宋_GB2312" w:cs="Times New Roman"/>
                <w:color w:val="auto"/>
                <w:kern w:val="0"/>
                <w:sz w:val="22"/>
                <w:szCs w:val="22"/>
                <w:highlight w:val="none"/>
              </w:rPr>
            </w:pPr>
            <w:r>
              <w:rPr>
                <w:rFonts w:hint="eastAsia" w:ascii="宋体" w:hAnsi="宋体" w:eastAsia="宋体" w:cs="宋体"/>
                <w:color w:val="auto"/>
                <w:kern w:val="0"/>
                <w:sz w:val="22"/>
                <w:szCs w:val="22"/>
                <w:highlight w:val="none"/>
              </w:rPr>
              <w:t>①</w:t>
            </w:r>
            <w:r>
              <w:rPr>
                <w:rFonts w:ascii="Times New Roman" w:hAnsi="Times New Roman" w:eastAsia="仿宋_GB2312" w:cs="Times New Roman"/>
                <w:color w:val="auto"/>
                <w:kern w:val="0"/>
                <w:sz w:val="22"/>
                <w:szCs w:val="22"/>
                <w:highlight w:val="none"/>
              </w:rPr>
              <w:t>是否已制定或具有相应的财务和业务管理制度；</w:t>
            </w:r>
          </w:p>
          <w:p w14:paraId="6471088E">
            <w:pPr>
              <w:widowControl/>
              <w:ind w:firstLine="0" w:firstLineChars="0"/>
              <w:rPr>
                <w:rFonts w:ascii="Times New Roman" w:hAnsi="Times New Roman" w:eastAsia="仿宋_GB2312" w:cs="Times New Roman"/>
                <w:color w:val="auto"/>
                <w:kern w:val="0"/>
                <w:sz w:val="22"/>
                <w:szCs w:val="22"/>
                <w:highlight w:val="none"/>
              </w:rPr>
            </w:pPr>
            <w:r>
              <w:rPr>
                <w:rFonts w:hint="eastAsia" w:ascii="宋体" w:hAnsi="宋体" w:eastAsia="宋体" w:cs="宋体"/>
                <w:color w:val="auto"/>
                <w:kern w:val="0"/>
                <w:sz w:val="22"/>
                <w:szCs w:val="22"/>
                <w:highlight w:val="none"/>
              </w:rPr>
              <w:t>②</w:t>
            </w:r>
            <w:r>
              <w:rPr>
                <w:rFonts w:ascii="Times New Roman" w:hAnsi="Times New Roman" w:eastAsia="仿宋_GB2312" w:cs="Times New Roman"/>
                <w:color w:val="auto"/>
                <w:kern w:val="0"/>
                <w:sz w:val="22"/>
                <w:szCs w:val="22"/>
                <w:highlight w:val="none"/>
              </w:rPr>
              <w:t>财务和业务管理制度是否合法、合规、完整。</w:t>
            </w:r>
          </w:p>
        </w:tc>
      </w:tr>
      <w:tr w14:paraId="681305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14:paraId="336032E2">
            <w:pPr>
              <w:widowControl/>
              <w:ind w:firstLine="0" w:firstLineChars="0"/>
              <w:jc w:val="center"/>
              <w:rPr>
                <w:rFonts w:ascii="Times New Roman" w:hAnsi="Times New Roman" w:eastAsia="宋体" w:cs="Times New Roman"/>
                <w:color w:val="auto"/>
                <w:kern w:val="0"/>
                <w:sz w:val="22"/>
                <w:szCs w:val="22"/>
                <w:highlight w:val="none"/>
              </w:rPr>
            </w:pPr>
          </w:p>
        </w:tc>
        <w:tc>
          <w:tcPr>
            <w:tcW w:w="1199" w:type="dxa"/>
            <w:vMerge w:val="continue"/>
            <w:tcBorders>
              <w:tl2br w:val="nil"/>
              <w:tr2bl w:val="nil"/>
            </w:tcBorders>
            <w:shd w:val="clear" w:color="auto" w:fill="FFFFFF"/>
            <w:vAlign w:val="center"/>
          </w:tcPr>
          <w:p w14:paraId="0D80E6A6">
            <w:pPr>
              <w:widowControl/>
              <w:ind w:firstLine="0" w:firstLineChars="0"/>
              <w:jc w:val="center"/>
              <w:rPr>
                <w:rFonts w:ascii="Times New Roman" w:hAnsi="Times New Roman" w:eastAsia="宋体" w:cs="Times New Roman"/>
                <w:color w:val="auto"/>
                <w:kern w:val="0"/>
                <w:sz w:val="22"/>
                <w:szCs w:val="22"/>
                <w:highlight w:val="none"/>
              </w:rPr>
            </w:pPr>
          </w:p>
        </w:tc>
        <w:tc>
          <w:tcPr>
            <w:tcW w:w="1411" w:type="dxa"/>
            <w:tcBorders>
              <w:tl2br w:val="nil"/>
              <w:tr2bl w:val="nil"/>
            </w:tcBorders>
            <w:shd w:val="clear" w:color="auto" w:fill="FFFFFF"/>
            <w:vAlign w:val="center"/>
          </w:tcPr>
          <w:p w14:paraId="7B7419D7">
            <w:pPr>
              <w:widowControl/>
              <w:ind w:firstLine="0" w:firstLineChars="0"/>
              <w:jc w:val="center"/>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制度执行</w:t>
            </w:r>
          </w:p>
          <w:p w14:paraId="08E5FC1D">
            <w:pPr>
              <w:widowControl/>
              <w:ind w:firstLine="0" w:firstLineChars="0"/>
              <w:jc w:val="center"/>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有效性</w:t>
            </w:r>
          </w:p>
        </w:tc>
        <w:tc>
          <w:tcPr>
            <w:tcW w:w="2789" w:type="dxa"/>
            <w:tcBorders>
              <w:tl2br w:val="nil"/>
              <w:tr2bl w:val="nil"/>
            </w:tcBorders>
            <w:shd w:val="clear" w:color="000000" w:fill="FFFFFF"/>
            <w:vAlign w:val="center"/>
          </w:tcPr>
          <w:p w14:paraId="6A4C6C55">
            <w:pPr>
              <w:widowControl/>
              <w:ind w:firstLine="0" w:firstLineChars="0"/>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1E5396F0">
            <w:pPr>
              <w:widowControl/>
              <w:ind w:firstLine="0" w:firstLineChars="0"/>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评价要点：</w:t>
            </w:r>
          </w:p>
          <w:p w14:paraId="320E9147">
            <w:pPr>
              <w:widowControl/>
              <w:ind w:firstLine="0" w:firstLineChars="0"/>
              <w:rPr>
                <w:rFonts w:ascii="Times New Roman" w:hAnsi="Times New Roman" w:eastAsia="仿宋_GB2312" w:cs="Times New Roman"/>
                <w:color w:val="auto"/>
                <w:kern w:val="0"/>
                <w:sz w:val="22"/>
                <w:szCs w:val="22"/>
                <w:highlight w:val="none"/>
              </w:rPr>
            </w:pPr>
            <w:r>
              <w:rPr>
                <w:rFonts w:hint="eastAsia" w:ascii="宋体" w:hAnsi="宋体" w:eastAsia="宋体" w:cs="宋体"/>
                <w:color w:val="auto"/>
                <w:kern w:val="0"/>
                <w:sz w:val="22"/>
                <w:szCs w:val="22"/>
                <w:highlight w:val="none"/>
              </w:rPr>
              <w:t>①</w:t>
            </w:r>
            <w:r>
              <w:rPr>
                <w:rFonts w:ascii="Times New Roman" w:hAnsi="Times New Roman" w:eastAsia="仿宋_GB2312" w:cs="Times New Roman"/>
                <w:color w:val="auto"/>
                <w:kern w:val="0"/>
                <w:sz w:val="22"/>
                <w:szCs w:val="22"/>
                <w:highlight w:val="none"/>
              </w:rPr>
              <w:t>是否遵守相关法律法规和相关管理规定；</w:t>
            </w:r>
          </w:p>
          <w:p w14:paraId="3CF40874">
            <w:pPr>
              <w:widowControl/>
              <w:ind w:firstLine="0" w:firstLineChars="0"/>
              <w:rPr>
                <w:rFonts w:ascii="Times New Roman" w:hAnsi="Times New Roman" w:eastAsia="仿宋_GB2312" w:cs="Times New Roman"/>
                <w:color w:val="auto"/>
                <w:kern w:val="0"/>
                <w:sz w:val="22"/>
                <w:szCs w:val="22"/>
                <w:highlight w:val="none"/>
              </w:rPr>
            </w:pPr>
            <w:r>
              <w:rPr>
                <w:rFonts w:hint="eastAsia" w:ascii="宋体" w:hAnsi="宋体" w:eastAsia="宋体" w:cs="宋体"/>
                <w:color w:val="auto"/>
                <w:kern w:val="0"/>
                <w:sz w:val="22"/>
                <w:szCs w:val="22"/>
                <w:highlight w:val="none"/>
              </w:rPr>
              <w:t>②</w:t>
            </w:r>
            <w:r>
              <w:rPr>
                <w:rFonts w:ascii="Times New Roman" w:hAnsi="Times New Roman" w:eastAsia="仿宋_GB2312" w:cs="Times New Roman"/>
                <w:color w:val="auto"/>
                <w:kern w:val="0"/>
                <w:sz w:val="22"/>
                <w:szCs w:val="22"/>
                <w:highlight w:val="none"/>
              </w:rPr>
              <w:t>项目调整及支出调整手续是否完备；</w:t>
            </w:r>
          </w:p>
          <w:p w14:paraId="14C9F5DC">
            <w:pPr>
              <w:widowControl/>
              <w:ind w:firstLine="0" w:firstLineChars="0"/>
              <w:rPr>
                <w:rFonts w:ascii="Times New Roman" w:hAnsi="Times New Roman" w:eastAsia="仿宋_GB2312" w:cs="Times New Roman"/>
                <w:color w:val="auto"/>
                <w:kern w:val="0"/>
                <w:sz w:val="22"/>
                <w:szCs w:val="22"/>
                <w:highlight w:val="none"/>
              </w:rPr>
            </w:pPr>
            <w:r>
              <w:rPr>
                <w:rFonts w:hint="eastAsia" w:ascii="宋体" w:hAnsi="宋体" w:eastAsia="宋体" w:cs="宋体"/>
                <w:color w:val="auto"/>
                <w:kern w:val="0"/>
                <w:sz w:val="22"/>
                <w:szCs w:val="22"/>
                <w:highlight w:val="none"/>
              </w:rPr>
              <w:t>③</w:t>
            </w:r>
            <w:r>
              <w:rPr>
                <w:rFonts w:ascii="Times New Roman" w:hAnsi="Times New Roman" w:eastAsia="仿宋_GB2312" w:cs="Times New Roman"/>
                <w:color w:val="auto"/>
                <w:kern w:val="0"/>
                <w:sz w:val="22"/>
                <w:szCs w:val="22"/>
                <w:highlight w:val="none"/>
              </w:rPr>
              <w:t>项目合同书、验收报告、技术鉴定等资料是否齐全并及时归档；</w:t>
            </w:r>
          </w:p>
          <w:p w14:paraId="6AC4D3B0">
            <w:pPr>
              <w:widowControl/>
              <w:ind w:firstLine="0" w:firstLineChars="0"/>
              <w:rPr>
                <w:rFonts w:ascii="Times New Roman" w:hAnsi="Times New Roman" w:eastAsia="仿宋_GB2312" w:cs="Times New Roman"/>
                <w:color w:val="auto"/>
                <w:kern w:val="0"/>
                <w:sz w:val="22"/>
                <w:szCs w:val="22"/>
                <w:highlight w:val="none"/>
              </w:rPr>
            </w:pPr>
            <w:r>
              <w:rPr>
                <w:rFonts w:hint="eastAsia" w:ascii="宋体" w:hAnsi="宋体" w:eastAsia="宋体" w:cs="宋体"/>
                <w:color w:val="auto"/>
                <w:kern w:val="0"/>
                <w:sz w:val="22"/>
                <w:szCs w:val="22"/>
                <w:highlight w:val="none"/>
              </w:rPr>
              <w:t>④</w:t>
            </w:r>
            <w:r>
              <w:rPr>
                <w:rFonts w:ascii="Times New Roman" w:hAnsi="Times New Roman" w:eastAsia="仿宋_GB2312" w:cs="Times New Roman"/>
                <w:color w:val="auto"/>
                <w:kern w:val="0"/>
                <w:sz w:val="22"/>
                <w:szCs w:val="22"/>
                <w:highlight w:val="none"/>
              </w:rPr>
              <w:t>项目实施的人员条件、场地设备、信息支撑等是否落实到位。</w:t>
            </w:r>
          </w:p>
        </w:tc>
      </w:tr>
      <w:tr w14:paraId="00E9A6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14:paraId="3E7BCB07">
            <w:pPr>
              <w:widowControl/>
              <w:ind w:firstLine="0" w:firstLineChars="0"/>
              <w:jc w:val="center"/>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产出</w:t>
            </w:r>
          </w:p>
        </w:tc>
        <w:tc>
          <w:tcPr>
            <w:tcW w:w="1199" w:type="dxa"/>
            <w:vMerge w:val="restart"/>
            <w:tcBorders>
              <w:tl2br w:val="nil"/>
              <w:tr2bl w:val="nil"/>
            </w:tcBorders>
            <w:shd w:val="clear" w:color="auto" w:fill="FFFFFF"/>
            <w:vAlign w:val="center"/>
          </w:tcPr>
          <w:p w14:paraId="1FB730D4">
            <w:pPr>
              <w:widowControl/>
              <w:ind w:firstLine="0" w:firstLineChars="0"/>
              <w:jc w:val="center"/>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产出数量</w:t>
            </w:r>
          </w:p>
        </w:tc>
        <w:tc>
          <w:tcPr>
            <w:tcW w:w="1411" w:type="dxa"/>
            <w:tcBorders>
              <w:tl2br w:val="nil"/>
              <w:tr2bl w:val="nil"/>
            </w:tcBorders>
            <w:shd w:val="clear" w:color="auto" w:fill="FFFFFF"/>
          </w:tcPr>
          <w:p w14:paraId="5F8CC381">
            <w:pPr>
              <w:widowControl/>
              <w:ind w:firstLine="0" w:firstLineChars="0"/>
              <w:jc w:val="center"/>
              <w:rPr>
                <w:rFonts w:ascii="Times New Roman" w:hAnsi="Times New Roman" w:eastAsia="仿宋_GB2312" w:cs="Times New Roman"/>
                <w:color w:val="auto"/>
                <w:kern w:val="0"/>
                <w:sz w:val="22"/>
                <w:szCs w:val="22"/>
                <w:highlight w:val="none"/>
              </w:rPr>
            </w:pPr>
            <w:r>
              <w:rPr>
                <w:rFonts w:hint="eastAsia" w:ascii="Times New Roman" w:hAnsi="Times New Roman" w:eastAsia="仿宋_GB2312" w:cs="Times New Roman"/>
                <w:color w:val="auto"/>
                <w:kern w:val="0"/>
                <w:sz w:val="22"/>
                <w:szCs w:val="22"/>
                <w:highlight w:val="none"/>
              </w:rPr>
              <w:t>发放外包安保人员工资人数</w:t>
            </w:r>
          </w:p>
        </w:tc>
        <w:tc>
          <w:tcPr>
            <w:tcW w:w="2789" w:type="dxa"/>
            <w:vMerge w:val="restart"/>
            <w:tcBorders>
              <w:tl2br w:val="nil"/>
              <w:tr2bl w:val="nil"/>
            </w:tcBorders>
            <w:shd w:val="clear" w:color="000000" w:fill="FFFFFF"/>
            <w:vAlign w:val="center"/>
          </w:tcPr>
          <w:p w14:paraId="07469624">
            <w:pPr>
              <w:widowControl/>
              <w:ind w:firstLine="0" w:firstLineChars="0"/>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14:paraId="4416ACE7">
            <w:pPr>
              <w:widowControl/>
              <w:ind w:firstLine="0" w:firstLineChars="0"/>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实际完成率=（实际产出数/计划产出数）×100%。</w:t>
            </w:r>
          </w:p>
          <w:p w14:paraId="4FD43961">
            <w:pPr>
              <w:widowControl/>
              <w:ind w:firstLine="0" w:firstLineChars="0"/>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实际产出数：一定时期（本年度或项目期）内项目实际产出的产品或提供的服务数量。</w:t>
            </w:r>
          </w:p>
          <w:p w14:paraId="55E5E27C">
            <w:pPr>
              <w:widowControl/>
              <w:ind w:firstLine="0" w:firstLineChars="0"/>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计划产出数：项目绩效目标确定的在一定时期（本年度或项目期）内计划产出的产品或提供的服务数量。</w:t>
            </w:r>
          </w:p>
        </w:tc>
      </w:tr>
      <w:tr w14:paraId="02039A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14:paraId="43743271">
            <w:pPr>
              <w:ind w:firstLine="440" w:firstLineChars="200"/>
              <w:jc w:val="center"/>
              <w:rPr>
                <w:rFonts w:ascii="Times New Roman" w:hAnsi="Times New Roman" w:eastAsia="仿宋_GB2312" w:cs="Times New Roman"/>
                <w:color w:val="auto"/>
                <w:kern w:val="0"/>
                <w:sz w:val="22"/>
                <w:szCs w:val="22"/>
                <w:highlight w:val="none"/>
              </w:rPr>
            </w:pPr>
          </w:p>
        </w:tc>
        <w:tc>
          <w:tcPr>
            <w:tcW w:w="1199" w:type="dxa"/>
            <w:vMerge w:val="continue"/>
            <w:tcBorders>
              <w:tl2br w:val="nil"/>
              <w:tr2bl w:val="nil"/>
            </w:tcBorders>
            <w:shd w:val="clear" w:color="auto" w:fill="FFFFFF"/>
            <w:vAlign w:val="center"/>
          </w:tcPr>
          <w:p w14:paraId="54C0614B">
            <w:pPr>
              <w:widowControl/>
              <w:ind w:firstLine="0" w:firstLineChars="0"/>
              <w:jc w:val="center"/>
              <w:rPr>
                <w:rFonts w:ascii="Times New Roman" w:hAnsi="Times New Roman" w:eastAsia="仿宋_GB2312" w:cs="Times New Roman"/>
                <w:color w:val="auto"/>
                <w:kern w:val="0"/>
                <w:sz w:val="22"/>
                <w:szCs w:val="22"/>
                <w:highlight w:val="none"/>
              </w:rPr>
            </w:pPr>
          </w:p>
        </w:tc>
        <w:tc>
          <w:tcPr>
            <w:tcW w:w="1411" w:type="dxa"/>
            <w:tcBorders>
              <w:tl2br w:val="nil"/>
              <w:tr2bl w:val="nil"/>
            </w:tcBorders>
            <w:shd w:val="clear" w:color="auto" w:fill="FFFFFF"/>
          </w:tcPr>
          <w:p w14:paraId="19E24BB8">
            <w:pPr>
              <w:widowControl/>
              <w:ind w:firstLine="0" w:firstLineChars="0"/>
              <w:jc w:val="center"/>
              <w:rPr>
                <w:rFonts w:ascii="Times New Roman" w:hAnsi="Times New Roman" w:eastAsia="仿宋_GB2312" w:cs="Times New Roman"/>
                <w:color w:val="auto"/>
                <w:kern w:val="0"/>
                <w:sz w:val="22"/>
                <w:szCs w:val="22"/>
                <w:highlight w:val="none"/>
              </w:rPr>
            </w:pPr>
            <w:r>
              <w:rPr>
                <w:rFonts w:hint="eastAsia" w:ascii="Times New Roman" w:hAnsi="Times New Roman" w:eastAsia="仿宋_GB2312" w:cs="Times New Roman"/>
                <w:color w:val="auto"/>
                <w:kern w:val="0"/>
                <w:sz w:val="22"/>
                <w:szCs w:val="22"/>
                <w:highlight w:val="none"/>
              </w:rPr>
              <w:t>发放外包安保人员工资次数</w:t>
            </w:r>
          </w:p>
        </w:tc>
        <w:tc>
          <w:tcPr>
            <w:tcW w:w="2789" w:type="dxa"/>
            <w:vMerge w:val="continue"/>
            <w:tcBorders>
              <w:tl2br w:val="nil"/>
              <w:tr2bl w:val="nil"/>
            </w:tcBorders>
            <w:shd w:val="clear" w:color="000000" w:fill="FFFFFF"/>
            <w:vAlign w:val="center"/>
          </w:tcPr>
          <w:p w14:paraId="241C853A">
            <w:pPr>
              <w:widowControl/>
              <w:ind w:firstLine="0" w:firstLineChars="0"/>
              <w:rPr>
                <w:rFonts w:ascii="Times New Roman" w:hAnsi="Times New Roman" w:eastAsia="仿宋_GB2312" w:cs="Times New Roman"/>
                <w:color w:val="auto"/>
                <w:kern w:val="0"/>
                <w:sz w:val="22"/>
                <w:szCs w:val="22"/>
                <w:highlight w:val="none"/>
              </w:rPr>
            </w:pPr>
          </w:p>
        </w:tc>
        <w:tc>
          <w:tcPr>
            <w:tcW w:w="7341" w:type="dxa"/>
            <w:vMerge w:val="continue"/>
            <w:tcBorders>
              <w:tl2br w:val="nil"/>
              <w:tr2bl w:val="nil"/>
            </w:tcBorders>
            <w:shd w:val="clear" w:color="000000" w:fill="FFFFFF"/>
            <w:vAlign w:val="center"/>
          </w:tcPr>
          <w:p w14:paraId="6C85EC40">
            <w:pPr>
              <w:widowControl/>
              <w:ind w:firstLine="0" w:firstLineChars="0"/>
              <w:rPr>
                <w:rFonts w:ascii="Times New Roman" w:hAnsi="Times New Roman" w:eastAsia="仿宋_GB2312" w:cs="Times New Roman"/>
                <w:color w:val="auto"/>
                <w:kern w:val="0"/>
                <w:sz w:val="22"/>
                <w:szCs w:val="22"/>
                <w:highlight w:val="none"/>
              </w:rPr>
            </w:pPr>
          </w:p>
        </w:tc>
      </w:tr>
      <w:tr w14:paraId="51EC8E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continue"/>
            <w:tcBorders>
              <w:tl2br w:val="nil"/>
              <w:tr2bl w:val="nil"/>
            </w:tcBorders>
            <w:shd w:val="clear" w:color="auto" w:fill="FFFFFF"/>
            <w:vAlign w:val="center"/>
          </w:tcPr>
          <w:p w14:paraId="13EB1B48">
            <w:pPr>
              <w:widowControl/>
              <w:ind w:firstLine="0" w:firstLineChars="0"/>
              <w:jc w:val="center"/>
              <w:rPr>
                <w:rFonts w:ascii="Times New Roman" w:hAnsi="Times New Roman" w:eastAsia="仿宋_GB2312" w:cs="Times New Roman"/>
                <w:color w:val="auto"/>
                <w:kern w:val="0"/>
                <w:sz w:val="22"/>
                <w:szCs w:val="22"/>
                <w:highlight w:val="none"/>
              </w:rPr>
            </w:pPr>
          </w:p>
        </w:tc>
        <w:tc>
          <w:tcPr>
            <w:tcW w:w="1199" w:type="dxa"/>
            <w:tcBorders>
              <w:tl2br w:val="nil"/>
              <w:tr2bl w:val="nil"/>
            </w:tcBorders>
            <w:shd w:val="clear" w:color="auto" w:fill="FFFFFF"/>
            <w:vAlign w:val="center"/>
          </w:tcPr>
          <w:p w14:paraId="7ABB9E01">
            <w:pPr>
              <w:widowControl/>
              <w:ind w:firstLine="0" w:firstLineChars="0"/>
              <w:jc w:val="center"/>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产出质量</w:t>
            </w:r>
          </w:p>
        </w:tc>
        <w:tc>
          <w:tcPr>
            <w:tcW w:w="1411" w:type="dxa"/>
            <w:tcBorders>
              <w:tl2br w:val="nil"/>
              <w:tr2bl w:val="nil"/>
            </w:tcBorders>
            <w:shd w:val="clear" w:color="auto" w:fill="FFFFFF"/>
            <w:vAlign w:val="center"/>
          </w:tcPr>
          <w:p w14:paraId="1A898DB8">
            <w:pPr>
              <w:widowControl/>
              <w:ind w:firstLine="0" w:firstLineChars="0"/>
              <w:jc w:val="center"/>
              <w:rPr>
                <w:rFonts w:ascii="Times New Roman" w:hAnsi="Times New Roman" w:eastAsia="仿宋_GB2312" w:cs="Times New Roman"/>
                <w:color w:val="auto"/>
                <w:kern w:val="0"/>
                <w:sz w:val="22"/>
                <w:szCs w:val="22"/>
                <w:highlight w:val="none"/>
              </w:rPr>
            </w:pPr>
            <w:r>
              <w:rPr>
                <w:rFonts w:hint="eastAsia" w:ascii="Times New Roman" w:hAnsi="Times New Roman" w:eastAsia="仿宋_GB2312" w:cs="Times New Roman"/>
                <w:color w:val="auto"/>
                <w:kern w:val="0"/>
                <w:sz w:val="22"/>
                <w:szCs w:val="22"/>
                <w:highlight w:val="none"/>
              </w:rPr>
              <w:t>安保人员工资发放准确率</w:t>
            </w:r>
          </w:p>
        </w:tc>
        <w:tc>
          <w:tcPr>
            <w:tcW w:w="2789" w:type="dxa"/>
            <w:tcBorders>
              <w:tl2br w:val="nil"/>
              <w:tr2bl w:val="nil"/>
            </w:tcBorders>
            <w:shd w:val="clear" w:color="000000" w:fill="FFFFFF"/>
            <w:vAlign w:val="center"/>
          </w:tcPr>
          <w:p w14:paraId="23FA91D9">
            <w:pPr>
              <w:widowControl/>
              <w:ind w:firstLine="0" w:firstLineChars="0"/>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14:paraId="4CF0EF27">
            <w:pPr>
              <w:widowControl/>
              <w:ind w:firstLine="0" w:firstLineChars="0"/>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质量达标率=（质量达标产出数/实际产出数）×100%。</w:t>
            </w:r>
          </w:p>
          <w:p w14:paraId="270217CB">
            <w:pPr>
              <w:widowControl/>
              <w:ind w:firstLine="0" w:firstLineChars="0"/>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169162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109" w:hRule="atLeast"/>
          <w:jc w:val="center"/>
        </w:trPr>
        <w:tc>
          <w:tcPr>
            <w:tcW w:w="1155" w:type="dxa"/>
            <w:vMerge w:val="continue"/>
            <w:tcBorders>
              <w:tl2br w:val="nil"/>
              <w:tr2bl w:val="nil"/>
            </w:tcBorders>
            <w:shd w:val="clear" w:color="auto" w:fill="FFFFFF"/>
            <w:vAlign w:val="center"/>
          </w:tcPr>
          <w:p w14:paraId="28FDA486">
            <w:pPr>
              <w:widowControl/>
              <w:ind w:firstLine="0" w:firstLineChars="0"/>
              <w:jc w:val="center"/>
              <w:rPr>
                <w:rFonts w:ascii="Times New Roman" w:hAnsi="Times New Roman" w:eastAsia="仿宋_GB2312" w:cs="Times New Roman"/>
                <w:color w:val="auto"/>
                <w:kern w:val="0"/>
                <w:sz w:val="22"/>
                <w:szCs w:val="22"/>
                <w:highlight w:val="none"/>
              </w:rPr>
            </w:pPr>
          </w:p>
        </w:tc>
        <w:tc>
          <w:tcPr>
            <w:tcW w:w="1199" w:type="dxa"/>
            <w:tcBorders>
              <w:tl2br w:val="nil"/>
              <w:tr2bl w:val="nil"/>
            </w:tcBorders>
            <w:shd w:val="clear" w:color="auto" w:fill="FFFFFF"/>
            <w:vAlign w:val="center"/>
          </w:tcPr>
          <w:p w14:paraId="4CA70DB7">
            <w:pPr>
              <w:widowControl/>
              <w:ind w:firstLine="0" w:firstLineChars="0"/>
              <w:jc w:val="center"/>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产出时效</w:t>
            </w:r>
          </w:p>
        </w:tc>
        <w:tc>
          <w:tcPr>
            <w:tcW w:w="1411" w:type="dxa"/>
            <w:tcBorders>
              <w:tl2br w:val="nil"/>
              <w:tr2bl w:val="nil"/>
            </w:tcBorders>
            <w:shd w:val="clear" w:color="auto" w:fill="FFFFFF"/>
            <w:vAlign w:val="center"/>
          </w:tcPr>
          <w:p w14:paraId="40997AFE">
            <w:pPr>
              <w:widowControl/>
              <w:ind w:firstLine="0" w:firstLineChars="0"/>
              <w:jc w:val="center"/>
              <w:rPr>
                <w:rFonts w:ascii="Times New Roman" w:hAnsi="Times New Roman" w:eastAsia="仿宋_GB2312" w:cs="Times New Roman"/>
                <w:color w:val="auto"/>
                <w:kern w:val="0"/>
                <w:sz w:val="22"/>
                <w:szCs w:val="22"/>
                <w:highlight w:val="none"/>
              </w:rPr>
            </w:pPr>
            <w:r>
              <w:rPr>
                <w:rFonts w:hint="eastAsia" w:ascii="Times New Roman" w:hAnsi="Times New Roman" w:eastAsia="仿宋_GB2312" w:cs="Times New Roman"/>
                <w:color w:val="auto"/>
                <w:kern w:val="0"/>
                <w:sz w:val="22"/>
                <w:szCs w:val="22"/>
                <w:highlight w:val="none"/>
              </w:rPr>
              <w:t>安保工资涵盖期间</w:t>
            </w:r>
          </w:p>
        </w:tc>
        <w:tc>
          <w:tcPr>
            <w:tcW w:w="2789" w:type="dxa"/>
            <w:tcBorders>
              <w:tl2br w:val="nil"/>
              <w:tr2bl w:val="nil"/>
            </w:tcBorders>
            <w:shd w:val="clear" w:color="000000" w:fill="FFFFFF"/>
            <w:vAlign w:val="center"/>
          </w:tcPr>
          <w:p w14:paraId="55EAC4FA">
            <w:pPr>
              <w:widowControl/>
              <w:ind w:firstLine="0" w:firstLineChars="0"/>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14:paraId="5C14419B">
            <w:pPr>
              <w:widowControl/>
              <w:ind w:firstLine="0" w:firstLineChars="0"/>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实际完成时间：项目实施单位完成该项目实际所耗用的时间。</w:t>
            </w:r>
          </w:p>
          <w:p w14:paraId="7842452B">
            <w:pPr>
              <w:widowControl/>
              <w:ind w:firstLine="0" w:firstLineChars="0"/>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计划完成时间：按照项目实施计划或相关规定完成该项目所需的时间。</w:t>
            </w:r>
          </w:p>
        </w:tc>
      </w:tr>
      <w:tr w14:paraId="053D9A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27" w:hRule="atLeast"/>
          <w:jc w:val="center"/>
        </w:trPr>
        <w:tc>
          <w:tcPr>
            <w:tcW w:w="1155" w:type="dxa"/>
            <w:vMerge w:val="continue"/>
            <w:tcBorders>
              <w:tl2br w:val="nil"/>
              <w:tr2bl w:val="nil"/>
            </w:tcBorders>
            <w:shd w:val="clear" w:color="auto" w:fill="FFFFFF"/>
            <w:vAlign w:val="center"/>
          </w:tcPr>
          <w:p w14:paraId="2E88CCAA">
            <w:pPr>
              <w:widowControl/>
              <w:ind w:firstLine="0" w:firstLineChars="0"/>
              <w:jc w:val="center"/>
              <w:rPr>
                <w:rFonts w:ascii="Times New Roman" w:hAnsi="Times New Roman" w:eastAsia="宋体" w:cs="Times New Roman"/>
                <w:color w:val="auto"/>
                <w:kern w:val="0"/>
                <w:sz w:val="22"/>
                <w:szCs w:val="22"/>
                <w:highlight w:val="none"/>
              </w:rPr>
            </w:pPr>
          </w:p>
        </w:tc>
        <w:tc>
          <w:tcPr>
            <w:tcW w:w="1199" w:type="dxa"/>
            <w:vMerge w:val="restart"/>
            <w:tcBorders>
              <w:tl2br w:val="nil"/>
              <w:tr2bl w:val="nil"/>
            </w:tcBorders>
            <w:shd w:val="clear" w:color="auto" w:fill="FFFFFF"/>
            <w:vAlign w:val="center"/>
          </w:tcPr>
          <w:p w14:paraId="316C593A">
            <w:pPr>
              <w:widowControl/>
              <w:ind w:firstLine="0" w:firstLineChars="0"/>
              <w:jc w:val="center"/>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产出成本</w:t>
            </w:r>
          </w:p>
        </w:tc>
        <w:tc>
          <w:tcPr>
            <w:tcW w:w="1411" w:type="dxa"/>
            <w:tcBorders>
              <w:tl2br w:val="nil"/>
              <w:tr2bl w:val="nil"/>
            </w:tcBorders>
            <w:shd w:val="clear" w:color="auto" w:fill="FFFFFF"/>
            <w:vAlign w:val="center"/>
          </w:tcPr>
          <w:p w14:paraId="5757FFCF">
            <w:pPr>
              <w:widowControl/>
              <w:ind w:firstLine="0" w:firstLineChars="0"/>
              <w:jc w:val="center"/>
              <w:rPr>
                <w:rFonts w:ascii="Times New Roman" w:hAnsi="Times New Roman" w:eastAsia="仿宋_GB2312" w:cs="Times New Roman"/>
                <w:color w:val="auto"/>
                <w:kern w:val="0"/>
                <w:sz w:val="22"/>
                <w:szCs w:val="22"/>
                <w:highlight w:val="none"/>
              </w:rPr>
            </w:pPr>
            <w:r>
              <w:rPr>
                <w:rFonts w:hint="eastAsia" w:ascii="Times New Roman" w:hAnsi="Times New Roman" w:eastAsia="仿宋_GB2312" w:cs="Times New Roman"/>
                <w:color w:val="auto"/>
                <w:kern w:val="0"/>
                <w:sz w:val="22"/>
                <w:szCs w:val="22"/>
                <w:highlight w:val="none"/>
              </w:rPr>
              <w:t>外包安保人员工资</w:t>
            </w:r>
          </w:p>
        </w:tc>
        <w:tc>
          <w:tcPr>
            <w:tcW w:w="2789" w:type="dxa"/>
            <w:vMerge w:val="restart"/>
            <w:tcBorders>
              <w:tl2br w:val="nil"/>
              <w:tr2bl w:val="nil"/>
            </w:tcBorders>
            <w:shd w:val="clear" w:color="000000" w:fill="FFFFFF"/>
            <w:vAlign w:val="center"/>
          </w:tcPr>
          <w:p w14:paraId="3978E38B">
            <w:pPr>
              <w:widowControl/>
              <w:ind w:firstLine="0" w:firstLineChars="0"/>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14:paraId="50225563">
            <w:pPr>
              <w:widowControl/>
              <w:ind w:firstLine="0" w:firstLineChars="0"/>
              <w:rPr>
                <w:rFonts w:ascii="Times New Roman" w:hAnsi="Times New Roman" w:eastAsia="仿宋_GB2312" w:cs="Times New Roman"/>
                <w:color w:val="auto"/>
                <w:kern w:val="0"/>
                <w:sz w:val="22"/>
                <w:szCs w:val="22"/>
                <w:highlight w:val="none"/>
              </w:rPr>
            </w:pPr>
          </w:p>
          <w:p w14:paraId="4E8AAB3F">
            <w:pPr>
              <w:widowControl/>
              <w:ind w:firstLine="0" w:firstLineChars="0"/>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成本节约率=[（计划成本-实际成本）/计划成本]×100%。</w:t>
            </w:r>
          </w:p>
          <w:p w14:paraId="6674503F">
            <w:pPr>
              <w:widowControl/>
              <w:ind w:firstLine="0" w:firstLineChars="0"/>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实际成本：项目实施单位如期、保质、保量完成既定工作目标实际所耗费的支出。</w:t>
            </w:r>
          </w:p>
          <w:p w14:paraId="351A43E2">
            <w:pPr>
              <w:widowControl/>
              <w:ind w:firstLine="0" w:firstLineChars="0"/>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计划成本：项目实施单位为完成工作目标计划安排的支出，一般以项目预算为参考。</w:t>
            </w:r>
          </w:p>
        </w:tc>
      </w:tr>
      <w:tr w14:paraId="3CE785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81" w:hRule="atLeast"/>
          <w:jc w:val="center"/>
        </w:trPr>
        <w:tc>
          <w:tcPr>
            <w:tcW w:w="1155" w:type="dxa"/>
            <w:vMerge w:val="continue"/>
            <w:tcBorders>
              <w:tl2br w:val="nil"/>
              <w:tr2bl w:val="nil"/>
            </w:tcBorders>
            <w:shd w:val="clear" w:color="auto" w:fill="FFFFFF"/>
            <w:vAlign w:val="center"/>
          </w:tcPr>
          <w:p w14:paraId="0AB1E168">
            <w:pPr>
              <w:widowControl/>
              <w:ind w:firstLine="0" w:firstLineChars="0"/>
              <w:jc w:val="center"/>
              <w:rPr>
                <w:rFonts w:ascii="Times New Roman" w:hAnsi="Times New Roman" w:eastAsia="宋体" w:cs="Times New Roman"/>
                <w:color w:val="auto"/>
                <w:kern w:val="0"/>
                <w:sz w:val="22"/>
                <w:szCs w:val="22"/>
                <w:highlight w:val="none"/>
              </w:rPr>
            </w:pPr>
          </w:p>
        </w:tc>
        <w:tc>
          <w:tcPr>
            <w:tcW w:w="1199" w:type="dxa"/>
            <w:vMerge w:val="continue"/>
            <w:tcBorders>
              <w:tl2br w:val="nil"/>
              <w:tr2bl w:val="nil"/>
            </w:tcBorders>
            <w:shd w:val="clear" w:color="auto" w:fill="FFFFFF"/>
            <w:vAlign w:val="center"/>
          </w:tcPr>
          <w:p w14:paraId="7ED8D126">
            <w:pPr>
              <w:widowControl/>
              <w:ind w:firstLine="0" w:firstLineChars="0"/>
              <w:jc w:val="center"/>
              <w:rPr>
                <w:rFonts w:ascii="Times New Roman" w:hAnsi="Times New Roman" w:eastAsia="仿宋_GB2312" w:cs="Times New Roman"/>
                <w:color w:val="auto"/>
                <w:kern w:val="0"/>
                <w:sz w:val="22"/>
                <w:szCs w:val="22"/>
                <w:highlight w:val="none"/>
              </w:rPr>
            </w:pPr>
          </w:p>
        </w:tc>
        <w:tc>
          <w:tcPr>
            <w:tcW w:w="1411" w:type="dxa"/>
            <w:tcBorders>
              <w:tl2br w:val="nil"/>
              <w:tr2bl w:val="nil"/>
            </w:tcBorders>
            <w:shd w:val="clear" w:color="auto" w:fill="FFFFFF"/>
            <w:vAlign w:val="center"/>
          </w:tcPr>
          <w:p w14:paraId="33CB0BFA">
            <w:pPr>
              <w:widowControl/>
              <w:ind w:firstLine="0" w:firstLineChars="0"/>
              <w:jc w:val="center"/>
              <w:rPr>
                <w:rFonts w:ascii="Times New Roman" w:hAnsi="Times New Roman" w:eastAsia="仿宋_GB2312" w:cs="Times New Roman"/>
                <w:color w:val="auto"/>
                <w:kern w:val="0"/>
                <w:sz w:val="22"/>
                <w:szCs w:val="22"/>
                <w:highlight w:val="none"/>
              </w:rPr>
            </w:pPr>
            <w:r>
              <w:rPr>
                <w:rFonts w:hint="eastAsia" w:ascii="Times New Roman" w:hAnsi="Times New Roman" w:eastAsia="仿宋_GB2312" w:cs="Times New Roman"/>
                <w:color w:val="auto"/>
                <w:kern w:val="0"/>
                <w:sz w:val="22"/>
                <w:szCs w:val="22"/>
                <w:highlight w:val="none"/>
              </w:rPr>
              <w:t>运转类公用经费</w:t>
            </w:r>
          </w:p>
        </w:tc>
        <w:tc>
          <w:tcPr>
            <w:tcW w:w="2789" w:type="dxa"/>
            <w:vMerge w:val="continue"/>
            <w:tcBorders>
              <w:tl2br w:val="nil"/>
              <w:tr2bl w:val="nil"/>
            </w:tcBorders>
            <w:shd w:val="clear" w:color="000000" w:fill="FFFFFF"/>
            <w:vAlign w:val="center"/>
          </w:tcPr>
          <w:p w14:paraId="0A5CDD79">
            <w:pPr>
              <w:widowControl/>
              <w:ind w:firstLine="0" w:firstLineChars="0"/>
              <w:rPr>
                <w:rFonts w:ascii="Times New Roman" w:hAnsi="Times New Roman" w:eastAsia="仿宋_GB2312" w:cs="Times New Roman"/>
                <w:color w:val="auto"/>
                <w:kern w:val="0"/>
                <w:sz w:val="22"/>
                <w:szCs w:val="22"/>
                <w:highlight w:val="none"/>
              </w:rPr>
            </w:pPr>
          </w:p>
        </w:tc>
        <w:tc>
          <w:tcPr>
            <w:tcW w:w="7341" w:type="dxa"/>
            <w:vMerge w:val="continue"/>
            <w:tcBorders>
              <w:tl2br w:val="nil"/>
              <w:tr2bl w:val="nil"/>
            </w:tcBorders>
            <w:shd w:val="clear" w:color="000000" w:fill="FFFFFF"/>
            <w:vAlign w:val="center"/>
          </w:tcPr>
          <w:p w14:paraId="39CD6939">
            <w:pPr>
              <w:widowControl/>
              <w:ind w:firstLine="0" w:firstLineChars="0"/>
              <w:rPr>
                <w:rFonts w:ascii="Times New Roman" w:hAnsi="Times New Roman" w:eastAsia="仿宋_GB2312" w:cs="Times New Roman"/>
                <w:color w:val="auto"/>
                <w:kern w:val="0"/>
                <w:sz w:val="22"/>
                <w:szCs w:val="22"/>
                <w:highlight w:val="none"/>
              </w:rPr>
            </w:pPr>
          </w:p>
        </w:tc>
      </w:tr>
      <w:tr w14:paraId="3303F4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21" w:hRule="atLeast"/>
          <w:jc w:val="center"/>
        </w:trPr>
        <w:tc>
          <w:tcPr>
            <w:tcW w:w="1155" w:type="dxa"/>
            <w:vMerge w:val="continue"/>
            <w:tcBorders>
              <w:tl2br w:val="nil"/>
              <w:tr2bl w:val="nil"/>
            </w:tcBorders>
            <w:shd w:val="clear" w:color="auto" w:fill="FFFFFF"/>
            <w:vAlign w:val="center"/>
          </w:tcPr>
          <w:p w14:paraId="1CB84DE5">
            <w:pPr>
              <w:widowControl/>
              <w:ind w:firstLine="0" w:firstLineChars="0"/>
              <w:jc w:val="center"/>
              <w:rPr>
                <w:rFonts w:ascii="Times New Roman" w:hAnsi="Times New Roman" w:eastAsia="宋体" w:cs="Times New Roman"/>
                <w:color w:val="auto"/>
                <w:kern w:val="0"/>
                <w:sz w:val="22"/>
                <w:szCs w:val="22"/>
                <w:highlight w:val="none"/>
              </w:rPr>
            </w:pPr>
          </w:p>
        </w:tc>
        <w:tc>
          <w:tcPr>
            <w:tcW w:w="1199" w:type="dxa"/>
            <w:vMerge w:val="continue"/>
            <w:tcBorders>
              <w:tl2br w:val="nil"/>
              <w:tr2bl w:val="nil"/>
            </w:tcBorders>
            <w:shd w:val="clear" w:color="auto" w:fill="FFFFFF"/>
            <w:vAlign w:val="center"/>
          </w:tcPr>
          <w:p w14:paraId="5DC0E937">
            <w:pPr>
              <w:widowControl/>
              <w:ind w:firstLine="0" w:firstLineChars="0"/>
              <w:jc w:val="center"/>
              <w:rPr>
                <w:rFonts w:ascii="Times New Roman" w:hAnsi="Times New Roman" w:eastAsia="仿宋_GB2312" w:cs="Times New Roman"/>
                <w:color w:val="auto"/>
                <w:kern w:val="0"/>
                <w:sz w:val="22"/>
                <w:szCs w:val="22"/>
                <w:highlight w:val="none"/>
              </w:rPr>
            </w:pPr>
          </w:p>
        </w:tc>
        <w:tc>
          <w:tcPr>
            <w:tcW w:w="1411" w:type="dxa"/>
            <w:tcBorders>
              <w:tl2br w:val="nil"/>
              <w:tr2bl w:val="nil"/>
            </w:tcBorders>
            <w:shd w:val="clear" w:color="auto" w:fill="FFFFFF"/>
            <w:vAlign w:val="center"/>
          </w:tcPr>
          <w:p w14:paraId="71C99C8A">
            <w:pPr>
              <w:widowControl/>
              <w:ind w:firstLine="0" w:firstLineChars="0"/>
              <w:jc w:val="center"/>
              <w:rPr>
                <w:rFonts w:ascii="Times New Roman" w:hAnsi="Times New Roman" w:eastAsia="仿宋_GB2312" w:cs="Times New Roman"/>
                <w:color w:val="auto"/>
                <w:kern w:val="0"/>
                <w:sz w:val="22"/>
                <w:szCs w:val="22"/>
                <w:highlight w:val="none"/>
              </w:rPr>
            </w:pPr>
            <w:r>
              <w:rPr>
                <w:rFonts w:hint="eastAsia" w:ascii="Times New Roman" w:hAnsi="Times New Roman" w:eastAsia="仿宋_GB2312" w:cs="Times New Roman"/>
                <w:color w:val="auto"/>
                <w:kern w:val="0"/>
                <w:sz w:val="22"/>
                <w:szCs w:val="22"/>
                <w:highlight w:val="none"/>
              </w:rPr>
              <w:t>人员类项目支出</w:t>
            </w:r>
          </w:p>
        </w:tc>
        <w:tc>
          <w:tcPr>
            <w:tcW w:w="2789" w:type="dxa"/>
            <w:vMerge w:val="continue"/>
            <w:tcBorders>
              <w:tl2br w:val="nil"/>
              <w:tr2bl w:val="nil"/>
            </w:tcBorders>
            <w:shd w:val="clear" w:color="000000" w:fill="FFFFFF"/>
            <w:vAlign w:val="center"/>
          </w:tcPr>
          <w:p w14:paraId="7793A836">
            <w:pPr>
              <w:widowControl/>
              <w:ind w:firstLine="0" w:firstLineChars="0"/>
              <w:rPr>
                <w:rFonts w:ascii="Times New Roman" w:hAnsi="Times New Roman" w:eastAsia="仿宋_GB2312" w:cs="Times New Roman"/>
                <w:color w:val="auto"/>
                <w:kern w:val="0"/>
                <w:sz w:val="22"/>
                <w:szCs w:val="22"/>
                <w:highlight w:val="none"/>
              </w:rPr>
            </w:pPr>
          </w:p>
        </w:tc>
        <w:tc>
          <w:tcPr>
            <w:tcW w:w="7341" w:type="dxa"/>
            <w:vMerge w:val="continue"/>
            <w:tcBorders>
              <w:tl2br w:val="nil"/>
              <w:tr2bl w:val="nil"/>
            </w:tcBorders>
            <w:shd w:val="clear" w:color="000000" w:fill="FFFFFF"/>
            <w:vAlign w:val="center"/>
          </w:tcPr>
          <w:p w14:paraId="543DCB8C">
            <w:pPr>
              <w:widowControl/>
              <w:ind w:firstLine="0" w:firstLineChars="0"/>
              <w:rPr>
                <w:rFonts w:ascii="Times New Roman" w:hAnsi="Times New Roman" w:eastAsia="仿宋_GB2312" w:cs="Times New Roman"/>
                <w:color w:val="auto"/>
                <w:kern w:val="0"/>
                <w:sz w:val="22"/>
                <w:szCs w:val="22"/>
                <w:highlight w:val="none"/>
              </w:rPr>
            </w:pPr>
          </w:p>
        </w:tc>
      </w:tr>
      <w:tr w14:paraId="2B7D15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22" w:hRule="atLeast"/>
          <w:jc w:val="center"/>
        </w:trPr>
        <w:tc>
          <w:tcPr>
            <w:tcW w:w="1155" w:type="dxa"/>
            <w:vMerge w:val="continue"/>
            <w:tcBorders>
              <w:tl2br w:val="nil"/>
              <w:tr2bl w:val="nil"/>
            </w:tcBorders>
            <w:shd w:val="clear" w:color="auto" w:fill="FFFFFF"/>
            <w:vAlign w:val="center"/>
          </w:tcPr>
          <w:p w14:paraId="6CDA3C59">
            <w:pPr>
              <w:widowControl/>
              <w:ind w:firstLine="0" w:firstLineChars="0"/>
              <w:jc w:val="center"/>
              <w:rPr>
                <w:rFonts w:ascii="Times New Roman" w:hAnsi="Times New Roman" w:eastAsia="宋体" w:cs="Times New Roman"/>
                <w:color w:val="auto"/>
                <w:kern w:val="0"/>
                <w:sz w:val="22"/>
                <w:szCs w:val="22"/>
                <w:highlight w:val="none"/>
              </w:rPr>
            </w:pPr>
          </w:p>
        </w:tc>
        <w:tc>
          <w:tcPr>
            <w:tcW w:w="1199" w:type="dxa"/>
            <w:vMerge w:val="continue"/>
            <w:tcBorders>
              <w:tl2br w:val="nil"/>
              <w:tr2bl w:val="nil"/>
            </w:tcBorders>
            <w:shd w:val="clear" w:color="auto" w:fill="FFFFFF"/>
            <w:vAlign w:val="center"/>
          </w:tcPr>
          <w:p w14:paraId="576D5FF0">
            <w:pPr>
              <w:widowControl/>
              <w:ind w:firstLine="0" w:firstLineChars="0"/>
              <w:jc w:val="center"/>
              <w:rPr>
                <w:rFonts w:ascii="Times New Roman" w:hAnsi="Times New Roman" w:eastAsia="仿宋_GB2312" w:cs="Times New Roman"/>
                <w:color w:val="auto"/>
                <w:kern w:val="0"/>
                <w:sz w:val="22"/>
                <w:szCs w:val="22"/>
                <w:highlight w:val="none"/>
              </w:rPr>
            </w:pPr>
          </w:p>
        </w:tc>
        <w:tc>
          <w:tcPr>
            <w:tcW w:w="1411" w:type="dxa"/>
            <w:tcBorders>
              <w:tl2br w:val="nil"/>
              <w:tr2bl w:val="nil"/>
            </w:tcBorders>
            <w:shd w:val="clear" w:color="auto" w:fill="FFFFFF"/>
            <w:vAlign w:val="center"/>
          </w:tcPr>
          <w:p w14:paraId="67B71780">
            <w:pPr>
              <w:widowControl/>
              <w:ind w:firstLine="0" w:firstLineChars="0"/>
              <w:jc w:val="center"/>
              <w:rPr>
                <w:rFonts w:ascii="Times New Roman" w:hAnsi="Times New Roman" w:eastAsia="仿宋_GB2312" w:cs="Times New Roman"/>
                <w:color w:val="auto"/>
                <w:kern w:val="0"/>
                <w:sz w:val="22"/>
                <w:szCs w:val="22"/>
                <w:highlight w:val="none"/>
              </w:rPr>
            </w:pPr>
            <w:r>
              <w:rPr>
                <w:rFonts w:hint="eastAsia" w:ascii="Times New Roman" w:hAnsi="Times New Roman" w:eastAsia="仿宋_GB2312" w:cs="Times New Roman"/>
                <w:color w:val="auto"/>
                <w:kern w:val="0"/>
                <w:sz w:val="22"/>
                <w:szCs w:val="22"/>
                <w:highlight w:val="none"/>
              </w:rPr>
              <w:t>运行补助经费</w:t>
            </w:r>
          </w:p>
        </w:tc>
        <w:tc>
          <w:tcPr>
            <w:tcW w:w="2789" w:type="dxa"/>
            <w:vMerge w:val="continue"/>
            <w:tcBorders>
              <w:tl2br w:val="nil"/>
              <w:tr2bl w:val="nil"/>
            </w:tcBorders>
            <w:shd w:val="clear" w:color="000000" w:fill="FFFFFF"/>
            <w:vAlign w:val="center"/>
          </w:tcPr>
          <w:p w14:paraId="67753DF6">
            <w:pPr>
              <w:widowControl/>
              <w:ind w:firstLine="0" w:firstLineChars="0"/>
              <w:rPr>
                <w:rFonts w:ascii="Times New Roman" w:hAnsi="Times New Roman" w:eastAsia="仿宋_GB2312" w:cs="Times New Roman"/>
                <w:color w:val="auto"/>
                <w:kern w:val="0"/>
                <w:sz w:val="22"/>
                <w:szCs w:val="22"/>
                <w:highlight w:val="none"/>
              </w:rPr>
            </w:pPr>
          </w:p>
        </w:tc>
        <w:tc>
          <w:tcPr>
            <w:tcW w:w="7341" w:type="dxa"/>
            <w:vMerge w:val="continue"/>
            <w:tcBorders>
              <w:tl2br w:val="nil"/>
              <w:tr2bl w:val="nil"/>
            </w:tcBorders>
            <w:shd w:val="clear" w:color="000000" w:fill="FFFFFF"/>
            <w:vAlign w:val="center"/>
          </w:tcPr>
          <w:p w14:paraId="166081C0">
            <w:pPr>
              <w:widowControl/>
              <w:ind w:firstLine="0" w:firstLineChars="0"/>
              <w:rPr>
                <w:rFonts w:ascii="Times New Roman" w:hAnsi="Times New Roman" w:eastAsia="仿宋_GB2312" w:cs="Times New Roman"/>
                <w:color w:val="auto"/>
                <w:kern w:val="0"/>
                <w:sz w:val="22"/>
                <w:szCs w:val="22"/>
                <w:highlight w:val="none"/>
              </w:rPr>
            </w:pPr>
          </w:p>
        </w:tc>
      </w:tr>
      <w:tr w14:paraId="746AF5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29" w:hRule="atLeast"/>
          <w:jc w:val="center"/>
        </w:trPr>
        <w:tc>
          <w:tcPr>
            <w:tcW w:w="1155" w:type="dxa"/>
            <w:tcBorders>
              <w:tl2br w:val="nil"/>
              <w:tr2bl w:val="nil"/>
            </w:tcBorders>
            <w:shd w:val="clear" w:color="auto" w:fill="FFFFFF"/>
            <w:vAlign w:val="center"/>
          </w:tcPr>
          <w:p w14:paraId="0BC41565">
            <w:pPr>
              <w:widowControl/>
              <w:ind w:firstLine="0" w:firstLineChars="0"/>
              <w:jc w:val="center"/>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效益</w:t>
            </w:r>
          </w:p>
        </w:tc>
        <w:tc>
          <w:tcPr>
            <w:tcW w:w="1199" w:type="dxa"/>
            <w:tcBorders>
              <w:tl2br w:val="nil"/>
              <w:tr2bl w:val="nil"/>
            </w:tcBorders>
            <w:shd w:val="clear" w:color="auto" w:fill="FFFFFF"/>
            <w:vAlign w:val="center"/>
          </w:tcPr>
          <w:p w14:paraId="62D8F4A6">
            <w:pPr>
              <w:widowControl/>
              <w:ind w:firstLine="0" w:firstLineChars="0"/>
              <w:jc w:val="center"/>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社会效益指标</w:t>
            </w:r>
          </w:p>
        </w:tc>
        <w:tc>
          <w:tcPr>
            <w:tcW w:w="1411" w:type="dxa"/>
            <w:tcBorders>
              <w:tl2br w:val="nil"/>
              <w:tr2bl w:val="nil"/>
            </w:tcBorders>
            <w:shd w:val="clear" w:color="auto" w:fill="FFFFFF"/>
            <w:vAlign w:val="center"/>
          </w:tcPr>
          <w:p w14:paraId="19FB5AD9">
            <w:pPr>
              <w:widowControl/>
              <w:ind w:firstLine="0" w:firstLineChars="0"/>
              <w:jc w:val="center"/>
              <w:rPr>
                <w:rFonts w:ascii="Times New Roman" w:hAnsi="Times New Roman" w:eastAsia="仿宋_GB2312" w:cs="Times New Roman"/>
                <w:color w:val="auto"/>
                <w:kern w:val="0"/>
                <w:sz w:val="22"/>
                <w:szCs w:val="22"/>
                <w:highlight w:val="none"/>
              </w:rPr>
            </w:pPr>
            <w:r>
              <w:rPr>
                <w:rFonts w:hint="eastAsia" w:ascii="Times New Roman" w:hAnsi="Times New Roman" w:eastAsia="仿宋_GB2312" w:cs="Times New Roman"/>
                <w:color w:val="auto"/>
                <w:kern w:val="0"/>
                <w:sz w:val="22"/>
                <w:szCs w:val="22"/>
                <w:highlight w:val="none"/>
              </w:rPr>
              <w:t>保障安保人员生活</w:t>
            </w:r>
          </w:p>
        </w:tc>
        <w:tc>
          <w:tcPr>
            <w:tcW w:w="2789" w:type="dxa"/>
            <w:tcBorders>
              <w:tl2br w:val="nil"/>
              <w:tr2bl w:val="nil"/>
            </w:tcBorders>
            <w:shd w:val="clear" w:color="auto" w:fill="FFFFFF"/>
            <w:vAlign w:val="center"/>
          </w:tcPr>
          <w:p w14:paraId="5BF7B654">
            <w:pPr>
              <w:widowControl/>
              <w:ind w:firstLine="0" w:firstLineChars="0"/>
              <w:jc w:val="left"/>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项目实施所产生的效益。</w:t>
            </w:r>
          </w:p>
        </w:tc>
        <w:tc>
          <w:tcPr>
            <w:tcW w:w="7341" w:type="dxa"/>
            <w:tcBorders>
              <w:tl2br w:val="nil"/>
              <w:tr2bl w:val="nil"/>
            </w:tcBorders>
            <w:shd w:val="clear" w:color="auto" w:fill="FFFFFF"/>
            <w:vAlign w:val="center"/>
          </w:tcPr>
          <w:p w14:paraId="4C42C356">
            <w:pPr>
              <w:widowControl/>
              <w:ind w:firstLine="0" w:firstLineChars="0"/>
              <w:rPr>
                <w:rFonts w:ascii="Times New Roman" w:hAnsi="Times New Roman" w:eastAsia="仿宋_GB2312" w:cs="Times New Roman"/>
                <w:color w:val="auto"/>
                <w:kern w:val="0"/>
                <w:sz w:val="22"/>
                <w:szCs w:val="22"/>
                <w:highlight w:val="none"/>
              </w:rPr>
            </w:pPr>
            <w:r>
              <w:rPr>
                <w:rFonts w:ascii="Times New Roman" w:hAnsi="Times New Roman" w:eastAsia="仿宋_GB2312" w:cs="Times New Roman"/>
                <w:color w:val="auto"/>
                <w:kern w:val="0"/>
                <w:sz w:val="22"/>
                <w:szCs w:val="22"/>
                <w:highlight w:val="none"/>
              </w:rPr>
              <w:t>项目实施所产生的社会效益、经济效益、生态效益、可持续影响等。可根据项目实际情况有选择地设置和细化。</w:t>
            </w:r>
          </w:p>
        </w:tc>
      </w:tr>
    </w:tbl>
    <w:p w14:paraId="1ADDEDBF">
      <w:pPr>
        <w:jc w:val="center"/>
        <w:rPr>
          <w:rStyle w:val="19"/>
          <w:rFonts w:hint="eastAsia" w:ascii="楷体" w:hAnsi="楷体" w:eastAsia="楷体"/>
          <w:b w:val="0"/>
          <w:bCs w:val="0"/>
          <w:spacing w:val="-4"/>
          <w:sz w:val="32"/>
          <w:szCs w:val="32"/>
          <w:lang w:val="en-US" w:eastAsia="zh-CN"/>
        </w:rPr>
        <w:sectPr>
          <w:pgSz w:w="16838" w:h="11906" w:orient="landscape"/>
          <w:pgMar w:top="1757" w:right="1440" w:bottom="1558" w:left="1440" w:header="851" w:footer="992" w:gutter="0"/>
          <w:cols w:space="425" w:num="1"/>
          <w:docGrid w:type="lines" w:linePitch="312" w:charSpace="0"/>
        </w:sectPr>
      </w:pPr>
      <w:r>
        <w:rPr>
          <w:rStyle w:val="19"/>
          <w:rFonts w:hint="eastAsia" w:ascii="楷体" w:hAnsi="楷体" w:eastAsia="楷体"/>
          <w:b w:val="0"/>
          <w:bCs w:val="0"/>
          <w:spacing w:val="-4"/>
          <w:sz w:val="32"/>
          <w:szCs w:val="32"/>
          <w:lang w:eastAsia="zh-CN"/>
        </w:rPr>
        <w:t>表</w:t>
      </w:r>
      <w:r>
        <w:rPr>
          <w:rStyle w:val="19"/>
          <w:rFonts w:hint="eastAsia" w:ascii="楷体" w:hAnsi="楷体" w:eastAsia="楷体"/>
          <w:b w:val="0"/>
          <w:bCs w:val="0"/>
          <w:spacing w:val="-4"/>
          <w:sz w:val="32"/>
          <w:szCs w:val="32"/>
          <w:lang w:val="en-US" w:eastAsia="zh-CN"/>
        </w:rPr>
        <w:t>2-1 项目支出绩效评价指标体系</w:t>
      </w:r>
    </w:p>
    <w:p w14:paraId="00461A43">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3. 评价方法</w:t>
      </w:r>
    </w:p>
    <w:p w14:paraId="4FEDB812">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p>
    <w:p w14:paraId="66A0C61A">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（1）成本效益分析法。是指将投入与产出、效益进行关联性分析的方法。</w:t>
      </w:r>
    </w:p>
    <w:p w14:paraId="488B52A6">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（2）比较法。是指将实施情况与绩效目标、历史情况、不同部门和地区同类支出情况进行比较的方法。</w:t>
      </w:r>
    </w:p>
    <w:p w14:paraId="32045C5D">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（3）因素分析法。是指综合分析影响绩效目标实现、实施效果的内外部因素的方法。</w:t>
      </w:r>
    </w:p>
    <w:p w14:paraId="7CB933D0">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（4）最低成本法。是指在绩效目标确定的前提下，成本最小者为优的方法。</w:t>
      </w:r>
    </w:p>
    <w:p w14:paraId="7BF12246">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（5）公众评判法。是指通过专家评估、公众问卷及抽样调查等方式进行评判的方法。</w:t>
      </w:r>
    </w:p>
    <w:p w14:paraId="19974632">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（6）标杆管理法。是指以国内外同行业中较高的绩效水平为标杆进行评判的方法。</w:t>
      </w:r>
    </w:p>
    <w:p w14:paraId="12FE26E7">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（7）其他评价方法。</w:t>
      </w:r>
    </w:p>
    <w:p w14:paraId="46F52E9E">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根据本项目（消化2022年暂付款项）的特点，本次评价主要采用比较法，对项目总预算和明细预算的内容、标准、计划是否经济合理进行深入分析，以考察实际产出和效益是否达到预期。</w:t>
      </w:r>
    </w:p>
    <w:p w14:paraId="157A76A3">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4. 评价标准</w:t>
      </w:r>
    </w:p>
    <w:p w14:paraId="64FF8AF6">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绩效评价标准主要包括计划标准、行业标准、历史标准等，用于对绩效指标完成情况进行比较。</w:t>
      </w:r>
      <w:r>
        <w:rPr>
          <w:rStyle w:val="19"/>
          <w:rFonts w:hint="eastAsia" w:ascii="楷体" w:hAnsi="楷体" w:eastAsia="楷体"/>
          <w:b w:val="0"/>
          <w:bCs w:val="0"/>
          <w:spacing w:val="-4"/>
          <w:sz w:val="32"/>
          <w:szCs w:val="32"/>
        </w:rPr>
        <w:cr/>
      </w:r>
    </w:p>
    <w:p w14:paraId="20BCDA5F">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（1）计划标准。指以预先制定的目标、计划、预算、定额等作为评价标准。</w:t>
      </w:r>
    </w:p>
    <w:p w14:paraId="5B315389">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（2）行业标准。指参照国家公布的行业指标数据制定的评价标准。</w:t>
      </w:r>
    </w:p>
    <w:p w14:paraId="77BC5043">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p>
    <w:p w14:paraId="6FED2F08">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在上述评价标准的基础上，本次评价依据以下文件为重要指导和准绳：</w:t>
      </w:r>
    </w:p>
    <w:p w14:paraId="59EA0BA8">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·《中共中央国务院关于全面实施预算绩效管理的意见》（中发〔2018〕34号）</w:t>
      </w:r>
    </w:p>
    <w:p w14:paraId="0256FBF4">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·《关于印发&lt;乌鲁木齐市本级部门预算绩效目标管理暂行办法&gt;的通知》（乌财预〔2018〕56号）</w:t>
      </w:r>
    </w:p>
    <w:p w14:paraId="4EAD443E">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·《关于做好2019年部门预算项目支出绩效目标管理有关事宜的通知》（乌财预〔2018〕76号）</w:t>
      </w:r>
    </w:p>
    <w:p w14:paraId="2EA28A63">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·《项目支出绩效评价管理办法》（财预〔2020〕10号）</w:t>
      </w:r>
    </w:p>
    <w:p w14:paraId="537BC6A0">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·《关于下达2023年水磨沟区部门预算的通知》（水财发〔2023〕45号）</w:t>
      </w:r>
    </w:p>
    <w:p w14:paraId="76024296">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·《2023年部门预算非定额说明》</w:t>
      </w:r>
    </w:p>
    <w:p w14:paraId="481983B4">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·《关于消化2022年新增暂付款项的通知》</w:t>
      </w:r>
    </w:p>
    <w:p w14:paraId="34774344">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·《关于进一步加强自治区财政暂付款管理有关事项的通知》（新财库〔2022〕20号）</w:t>
      </w:r>
    </w:p>
    <w:p w14:paraId="5BC87712">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·《财政总预算会计制度》</w:t>
      </w:r>
    </w:p>
    <w:p w14:paraId="297002E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625FCD11">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523938CE">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1B0F1F29">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（一）评价结论</w:t>
      </w:r>
    </w:p>
    <w:p w14:paraId="1B102CAB">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结合项目特点，制定符合项目实际的绩效评价指标体系及评分标准，通过数据采集、问卷调查及访谈等形式，对2023年“消化2022年暂付款项”进行客观评价，最终评分结果为：总分为100分，绩效评级为“优”[本次绩效评价结果实施百分制和四级分类，其中90（含）-100分为优、80（含）-90分为良、70（含）-80分为中、70分以下为差。]。</w:t>
      </w:r>
    </w:p>
    <w:p w14:paraId="5CAAFDF8">
      <w:pPr>
        <w:adjustRightInd w:val="0"/>
        <w:spacing w:line="560" w:lineRule="exact"/>
        <w:ind w:firstLine="0" w:firstLineChars="0"/>
        <w:jc w:val="center"/>
        <w:rPr>
          <w:rFonts w:ascii="Times New Roman" w:hAnsi="Times New Roman" w:cs="Times New Roman"/>
          <w:b/>
          <w:bCs/>
          <w:color w:val="auto"/>
          <w:sz w:val="24"/>
          <w:szCs w:val="24"/>
          <w:highlight w:val="none"/>
        </w:rPr>
      </w:pPr>
      <w:r>
        <w:rPr>
          <w:rStyle w:val="19"/>
          <w:rFonts w:hint="eastAsia" w:ascii="楷体" w:hAnsi="楷体" w:eastAsia="楷体"/>
          <w:b w:val="0"/>
          <w:bCs w:val="0"/>
          <w:spacing w:val="-4"/>
          <w:sz w:val="32"/>
          <w:szCs w:val="32"/>
        </w:rPr>
        <w:t>项目各部分权重和绩效分值如表3-1所示：</w:t>
      </w:r>
      <w:r>
        <w:rPr>
          <w:rStyle w:val="19"/>
          <w:rFonts w:hint="eastAsia" w:ascii="楷体" w:hAnsi="楷体" w:eastAsia="楷体"/>
          <w:b w:val="0"/>
          <w:bCs w:val="0"/>
          <w:spacing w:val="-4"/>
          <w:sz w:val="32"/>
          <w:szCs w:val="32"/>
        </w:rPr>
        <w:cr/>
      </w:r>
      <w:r>
        <w:rPr>
          <w:rFonts w:ascii="Times New Roman" w:hAnsi="Times New Roman" w:cs="Times New Roman"/>
          <w:b/>
          <w:bCs/>
          <w:color w:val="auto"/>
          <w:sz w:val="24"/>
          <w:szCs w:val="24"/>
          <w:highlight w:val="none"/>
        </w:rPr>
        <w:t>表3-1 项目各部分权重和绩效分值</w:t>
      </w:r>
    </w:p>
    <w:tbl>
      <w:tblPr>
        <w:tblStyle w:val="16"/>
        <w:tblW w:w="852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458"/>
        <w:gridCol w:w="1865"/>
        <w:gridCol w:w="2533"/>
        <w:gridCol w:w="844"/>
        <w:gridCol w:w="845"/>
        <w:gridCol w:w="977"/>
      </w:tblGrid>
      <w:tr w14:paraId="4110D5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458" w:type="dxa"/>
            <w:tcBorders>
              <w:tl2br w:val="nil"/>
              <w:tr2bl w:val="nil"/>
            </w:tcBorders>
            <w:shd w:val="clear" w:color="auto" w:fill="DDD9C4" w:themeFill="background2" w:themeFillShade="E6"/>
            <w:vAlign w:val="center"/>
          </w:tcPr>
          <w:p w14:paraId="2479D5DA">
            <w:pPr>
              <w:widowControl/>
              <w:ind w:firstLine="0" w:firstLineChars="0"/>
              <w:jc w:val="center"/>
              <w:rPr>
                <w:rFonts w:ascii="Times New Roman" w:hAnsi="Times New Roman" w:eastAsia="黑体" w:cs="Times New Roman"/>
                <w:color w:val="auto"/>
                <w:kern w:val="0"/>
                <w:sz w:val="22"/>
                <w:highlight w:val="none"/>
              </w:rPr>
            </w:pPr>
            <w:r>
              <w:rPr>
                <w:rFonts w:ascii="Times New Roman" w:hAnsi="Times New Roman" w:eastAsia="黑体" w:cs="Times New Roman"/>
                <w:color w:val="auto"/>
                <w:kern w:val="0"/>
                <w:sz w:val="22"/>
                <w:highlight w:val="none"/>
              </w:rPr>
              <w:t>一级指标</w:t>
            </w:r>
          </w:p>
        </w:tc>
        <w:tc>
          <w:tcPr>
            <w:tcW w:w="1865" w:type="dxa"/>
            <w:tcBorders>
              <w:tl2br w:val="nil"/>
              <w:tr2bl w:val="nil"/>
            </w:tcBorders>
            <w:shd w:val="clear" w:color="auto" w:fill="DDD9C4" w:themeFill="background2" w:themeFillShade="E6"/>
            <w:vAlign w:val="center"/>
          </w:tcPr>
          <w:p w14:paraId="018E6E86">
            <w:pPr>
              <w:widowControl/>
              <w:ind w:firstLine="0" w:firstLineChars="0"/>
              <w:jc w:val="center"/>
              <w:rPr>
                <w:rFonts w:ascii="Times New Roman" w:hAnsi="Times New Roman" w:eastAsia="黑体" w:cs="Times New Roman"/>
                <w:color w:val="auto"/>
                <w:kern w:val="0"/>
                <w:sz w:val="22"/>
                <w:highlight w:val="none"/>
              </w:rPr>
            </w:pPr>
            <w:r>
              <w:rPr>
                <w:rFonts w:ascii="Times New Roman" w:hAnsi="Times New Roman" w:eastAsia="黑体" w:cs="Times New Roman"/>
                <w:color w:val="auto"/>
                <w:kern w:val="0"/>
                <w:sz w:val="22"/>
                <w:highlight w:val="none"/>
              </w:rPr>
              <w:t>二级指标</w:t>
            </w:r>
          </w:p>
        </w:tc>
        <w:tc>
          <w:tcPr>
            <w:tcW w:w="2533" w:type="dxa"/>
            <w:tcBorders>
              <w:tl2br w:val="nil"/>
              <w:tr2bl w:val="nil"/>
            </w:tcBorders>
            <w:shd w:val="clear" w:color="auto" w:fill="DDD9C4" w:themeFill="background2" w:themeFillShade="E6"/>
            <w:vAlign w:val="center"/>
          </w:tcPr>
          <w:p w14:paraId="74F4601D">
            <w:pPr>
              <w:widowControl/>
              <w:ind w:firstLine="0" w:firstLineChars="0"/>
              <w:jc w:val="center"/>
              <w:rPr>
                <w:rFonts w:ascii="Times New Roman" w:hAnsi="Times New Roman" w:eastAsia="黑体" w:cs="Times New Roman"/>
                <w:color w:val="auto"/>
                <w:kern w:val="0"/>
                <w:sz w:val="22"/>
                <w:highlight w:val="none"/>
              </w:rPr>
            </w:pPr>
            <w:r>
              <w:rPr>
                <w:rFonts w:ascii="Times New Roman" w:hAnsi="Times New Roman" w:eastAsia="黑体" w:cs="Times New Roman"/>
                <w:color w:val="auto"/>
                <w:kern w:val="0"/>
                <w:sz w:val="22"/>
                <w:highlight w:val="none"/>
              </w:rPr>
              <w:t>三级指标</w:t>
            </w:r>
          </w:p>
        </w:tc>
        <w:tc>
          <w:tcPr>
            <w:tcW w:w="844" w:type="dxa"/>
            <w:tcBorders>
              <w:tl2br w:val="nil"/>
              <w:tr2bl w:val="nil"/>
            </w:tcBorders>
            <w:shd w:val="clear" w:color="auto" w:fill="DDD9C4" w:themeFill="background2" w:themeFillShade="E6"/>
            <w:vAlign w:val="center"/>
          </w:tcPr>
          <w:p w14:paraId="251A9B61">
            <w:pPr>
              <w:widowControl/>
              <w:ind w:firstLine="0" w:firstLineChars="0"/>
              <w:jc w:val="center"/>
              <w:rPr>
                <w:rFonts w:ascii="Times New Roman" w:hAnsi="Times New Roman" w:eastAsia="黑体" w:cs="Times New Roman"/>
                <w:color w:val="auto"/>
                <w:kern w:val="0"/>
                <w:sz w:val="22"/>
                <w:highlight w:val="none"/>
              </w:rPr>
            </w:pPr>
            <w:r>
              <w:rPr>
                <w:rFonts w:ascii="Times New Roman" w:hAnsi="Times New Roman" w:eastAsia="黑体" w:cs="Times New Roman"/>
                <w:color w:val="auto"/>
                <w:kern w:val="0"/>
                <w:sz w:val="22"/>
                <w:highlight w:val="none"/>
              </w:rPr>
              <w:t>分值</w:t>
            </w:r>
          </w:p>
        </w:tc>
        <w:tc>
          <w:tcPr>
            <w:tcW w:w="845" w:type="dxa"/>
            <w:tcBorders>
              <w:tl2br w:val="nil"/>
              <w:tr2bl w:val="nil"/>
            </w:tcBorders>
            <w:shd w:val="clear" w:color="auto" w:fill="DDD9C4" w:themeFill="background2" w:themeFillShade="E6"/>
            <w:vAlign w:val="center"/>
          </w:tcPr>
          <w:p w14:paraId="0A149829">
            <w:pPr>
              <w:widowControl/>
              <w:ind w:firstLine="0" w:firstLineChars="0"/>
              <w:jc w:val="center"/>
              <w:rPr>
                <w:rFonts w:ascii="Times New Roman" w:hAnsi="Times New Roman" w:eastAsia="黑体" w:cs="Times New Roman"/>
                <w:color w:val="auto"/>
                <w:kern w:val="0"/>
                <w:sz w:val="22"/>
                <w:highlight w:val="none"/>
              </w:rPr>
            </w:pPr>
            <w:r>
              <w:rPr>
                <w:rFonts w:ascii="Times New Roman" w:hAnsi="Times New Roman" w:eastAsia="黑体" w:cs="Times New Roman"/>
                <w:color w:val="auto"/>
                <w:kern w:val="0"/>
                <w:sz w:val="22"/>
                <w:highlight w:val="none"/>
              </w:rPr>
              <w:t>得分</w:t>
            </w:r>
          </w:p>
        </w:tc>
        <w:tc>
          <w:tcPr>
            <w:tcW w:w="977" w:type="dxa"/>
            <w:tcBorders>
              <w:tl2br w:val="nil"/>
              <w:tr2bl w:val="nil"/>
            </w:tcBorders>
            <w:shd w:val="clear" w:color="auto" w:fill="DDD9C4" w:themeFill="background2" w:themeFillShade="E6"/>
            <w:vAlign w:val="center"/>
          </w:tcPr>
          <w:p w14:paraId="6A8DF71A">
            <w:pPr>
              <w:widowControl/>
              <w:ind w:firstLine="0" w:firstLineChars="0"/>
              <w:jc w:val="center"/>
              <w:rPr>
                <w:rFonts w:ascii="Times New Roman" w:hAnsi="Times New Roman" w:eastAsia="黑体" w:cs="Times New Roman"/>
                <w:color w:val="auto"/>
                <w:kern w:val="0"/>
                <w:sz w:val="22"/>
                <w:highlight w:val="none"/>
              </w:rPr>
            </w:pPr>
            <w:r>
              <w:rPr>
                <w:rFonts w:ascii="Times New Roman" w:hAnsi="Times New Roman" w:eastAsia="黑体" w:cs="Times New Roman"/>
                <w:color w:val="auto"/>
                <w:kern w:val="0"/>
                <w:sz w:val="22"/>
                <w:highlight w:val="none"/>
              </w:rPr>
              <w:t>得分率</w:t>
            </w:r>
          </w:p>
        </w:tc>
      </w:tr>
      <w:tr w14:paraId="2B8F1F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restart"/>
            <w:tcBorders>
              <w:tl2br w:val="nil"/>
              <w:tr2bl w:val="nil"/>
            </w:tcBorders>
            <w:shd w:val="clear" w:color="auto" w:fill="FFFFFF"/>
            <w:vAlign w:val="center"/>
          </w:tcPr>
          <w:p w14:paraId="64BF6574">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决策</w:t>
            </w:r>
          </w:p>
        </w:tc>
        <w:tc>
          <w:tcPr>
            <w:tcW w:w="1865" w:type="dxa"/>
            <w:vMerge w:val="restart"/>
            <w:tcBorders>
              <w:tl2br w:val="nil"/>
              <w:tr2bl w:val="nil"/>
            </w:tcBorders>
            <w:shd w:val="clear" w:color="auto" w:fill="FFFFFF"/>
            <w:vAlign w:val="center"/>
          </w:tcPr>
          <w:p w14:paraId="389CAA8E">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项目立项</w:t>
            </w:r>
          </w:p>
        </w:tc>
        <w:tc>
          <w:tcPr>
            <w:tcW w:w="2533" w:type="dxa"/>
            <w:tcBorders>
              <w:tl2br w:val="nil"/>
              <w:tr2bl w:val="nil"/>
            </w:tcBorders>
            <w:shd w:val="clear" w:color="auto" w:fill="FFFFFF"/>
            <w:vAlign w:val="center"/>
          </w:tcPr>
          <w:p w14:paraId="421F7BB7">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立项依据充分性</w:t>
            </w:r>
          </w:p>
        </w:tc>
        <w:tc>
          <w:tcPr>
            <w:tcW w:w="844" w:type="dxa"/>
            <w:tcBorders>
              <w:tl2br w:val="nil"/>
              <w:tr2bl w:val="nil"/>
            </w:tcBorders>
            <w:shd w:val="clear" w:color="auto" w:fill="FFFFFF"/>
            <w:vAlign w:val="center"/>
          </w:tcPr>
          <w:p w14:paraId="260E9FF5">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4</w:t>
            </w:r>
          </w:p>
        </w:tc>
        <w:tc>
          <w:tcPr>
            <w:tcW w:w="845" w:type="dxa"/>
            <w:tcBorders>
              <w:tl2br w:val="nil"/>
              <w:tr2bl w:val="nil"/>
            </w:tcBorders>
            <w:shd w:val="clear" w:color="auto" w:fill="FFFFFF"/>
            <w:vAlign w:val="center"/>
          </w:tcPr>
          <w:p w14:paraId="6AC5A741">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4</w:t>
            </w:r>
          </w:p>
        </w:tc>
        <w:tc>
          <w:tcPr>
            <w:tcW w:w="977" w:type="dxa"/>
            <w:tcBorders>
              <w:tl2br w:val="nil"/>
              <w:tr2bl w:val="nil"/>
            </w:tcBorders>
            <w:shd w:val="clear" w:color="auto" w:fill="FFFFFF"/>
            <w:vAlign w:val="center"/>
          </w:tcPr>
          <w:p w14:paraId="46DBACDE">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100%</w:t>
            </w:r>
          </w:p>
        </w:tc>
      </w:tr>
      <w:tr w14:paraId="3F47D6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575DAD18">
            <w:pPr>
              <w:ind w:firstLine="440"/>
              <w:jc w:val="center"/>
              <w:rPr>
                <w:rFonts w:ascii="Times New Roman" w:hAnsi="Times New Roman" w:cs="Times New Roman"/>
                <w:color w:val="auto"/>
                <w:kern w:val="0"/>
                <w:sz w:val="22"/>
                <w:highlight w:val="none"/>
              </w:rPr>
            </w:pPr>
          </w:p>
        </w:tc>
        <w:tc>
          <w:tcPr>
            <w:tcW w:w="1865" w:type="dxa"/>
            <w:vMerge w:val="continue"/>
            <w:tcBorders>
              <w:tl2br w:val="nil"/>
              <w:tr2bl w:val="nil"/>
            </w:tcBorders>
            <w:shd w:val="clear" w:color="auto" w:fill="FFFFFF"/>
            <w:vAlign w:val="center"/>
          </w:tcPr>
          <w:p w14:paraId="5EBC6F36">
            <w:pPr>
              <w:widowControl/>
              <w:ind w:firstLine="0" w:firstLineChars="0"/>
              <w:jc w:val="center"/>
              <w:rPr>
                <w:rFonts w:ascii="Times New Roman" w:hAnsi="Times New Roman" w:cs="Times New Roman"/>
                <w:color w:val="auto"/>
                <w:kern w:val="0"/>
                <w:sz w:val="22"/>
                <w:highlight w:val="none"/>
              </w:rPr>
            </w:pPr>
          </w:p>
        </w:tc>
        <w:tc>
          <w:tcPr>
            <w:tcW w:w="2533" w:type="dxa"/>
            <w:tcBorders>
              <w:tl2br w:val="nil"/>
              <w:tr2bl w:val="nil"/>
            </w:tcBorders>
            <w:shd w:val="clear" w:color="auto" w:fill="FFFFFF"/>
            <w:vAlign w:val="center"/>
          </w:tcPr>
          <w:p w14:paraId="0A4954A8">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立项程序规范性</w:t>
            </w:r>
          </w:p>
        </w:tc>
        <w:tc>
          <w:tcPr>
            <w:tcW w:w="844" w:type="dxa"/>
            <w:tcBorders>
              <w:tl2br w:val="nil"/>
              <w:tr2bl w:val="nil"/>
            </w:tcBorders>
            <w:shd w:val="clear" w:color="auto" w:fill="FFFFFF"/>
            <w:vAlign w:val="center"/>
          </w:tcPr>
          <w:p w14:paraId="5791F32E">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4</w:t>
            </w:r>
          </w:p>
        </w:tc>
        <w:tc>
          <w:tcPr>
            <w:tcW w:w="845" w:type="dxa"/>
            <w:tcBorders>
              <w:tl2br w:val="nil"/>
              <w:tr2bl w:val="nil"/>
            </w:tcBorders>
            <w:shd w:val="clear" w:color="auto" w:fill="FFFFFF"/>
            <w:vAlign w:val="center"/>
          </w:tcPr>
          <w:p w14:paraId="7D2D9673">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4</w:t>
            </w:r>
          </w:p>
        </w:tc>
        <w:tc>
          <w:tcPr>
            <w:tcW w:w="977" w:type="dxa"/>
            <w:tcBorders>
              <w:tl2br w:val="nil"/>
              <w:tr2bl w:val="nil"/>
            </w:tcBorders>
            <w:shd w:val="clear" w:color="auto" w:fill="FFFFFF"/>
            <w:vAlign w:val="center"/>
          </w:tcPr>
          <w:p w14:paraId="70E05B65">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100%</w:t>
            </w:r>
          </w:p>
        </w:tc>
      </w:tr>
      <w:tr w14:paraId="16D547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6F137D17">
            <w:pPr>
              <w:ind w:firstLine="440"/>
              <w:jc w:val="center"/>
              <w:rPr>
                <w:rFonts w:ascii="Times New Roman" w:hAnsi="Times New Roman" w:cs="Times New Roman"/>
                <w:color w:val="auto"/>
                <w:kern w:val="0"/>
                <w:sz w:val="22"/>
                <w:highlight w:val="none"/>
              </w:rPr>
            </w:pPr>
          </w:p>
        </w:tc>
        <w:tc>
          <w:tcPr>
            <w:tcW w:w="1865" w:type="dxa"/>
            <w:vMerge w:val="restart"/>
            <w:tcBorders>
              <w:tl2br w:val="nil"/>
              <w:tr2bl w:val="nil"/>
            </w:tcBorders>
            <w:shd w:val="clear" w:color="auto" w:fill="FFFFFF"/>
            <w:vAlign w:val="center"/>
          </w:tcPr>
          <w:p w14:paraId="1266C9A2">
            <w:pPr>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绩效目标</w:t>
            </w:r>
          </w:p>
        </w:tc>
        <w:tc>
          <w:tcPr>
            <w:tcW w:w="2533" w:type="dxa"/>
            <w:tcBorders>
              <w:tl2br w:val="nil"/>
              <w:tr2bl w:val="nil"/>
            </w:tcBorders>
            <w:shd w:val="clear" w:color="auto" w:fill="FFFFFF"/>
            <w:vAlign w:val="center"/>
          </w:tcPr>
          <w:p w14:paraId="617C49BC">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绩效目标合理性</w:t>
            </w:r>
          </w:p>
        </w:tc>
        <w:tc>
          <w:tcPr>
            <w:tcW w:w="844" w:type="dxa"/>
            <w:tcBorders>
              <w:tl2br w:val="nil"/>
              <w:tr2bl w:val="nil"/>
            </w:tcBorders>
            <w:shd w:val="clear" w:color="000000" w:fill="FFFFFF"/>
            <w:vAlign w:val="center"/>
          </w:tcPr>
          <w:p w14:paraId="79343F4A">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3</w:t>
            </w:r>
          </w:p>
        </w:tc>
        <w:tc>
          <w:tcPr>
            <w:tcW w:w="845" w:type="dxa"/>
            <w:tcBorders>
              <w:tl2br w:val="nil"/>
              <w:tr2bl w:val="nil"/>
            </w:tcBorders>
            <w:shd w:val="clear" w:color="000000" w:fill="FFFFFF"/>
            <w:vAlign w:val="center"/>
          </w:tcPr>
          <w:p w14:paraId="3E3B4E48">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3</w:t>
            </w:r>
          </w:p>
        </w:tc>
        <w:tc>
          <w:tcPr>
            <w:tcW w:w="977" w:type="dxa"/>
            <w:tcBorders>
              <w:tl2br w:val="nil"/>
              <w:tr2bl w:val="nil"/>
            </w:tcBorders>
            <w:shd w:val="clear" w:color="000000" w:fill="FFFFFF"/>
            <w:vAlign w:val="center"/>
          </w:tcPr>
          <w:p w14:paraId="1B075B06">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100%</w:t>
            </w:r>
          </w:p>
        </w:tc>
      </w:tr>
      <w:tr w14:paraId="6F7135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5C400C24">
            <w:pPr>
              <w:widowControl/>
              <w:ind w:firstLine="0" w:firstLineChars="0"/>
              <w:jc w:val="center"/>
              <w:rPr>
                <w:rFonts w:ascii="Times New Roman" w:hAnsi="Times New Roman" w:cs="Times New Roman"/>
                <w:color w:val="auto"/>
                <w:kern w:val="0"/>
                <w:sz w:val="22"/>
                <w:highlight w:val="none"/>
              </w:rPr>
            </w:pPr>
          </w:p>
        </w:tc>
        <w:tc>
          <w:tcPr>
            <w:tcW w:w="1865" w:type="dxa"/>
            <w:vMerge w:val="continue"/>
            <w:tcBorders>
              <w:tl2br w:val="nil"/>
              <w:tr2bl w:val="nil"/>
            </w:tcBorders>
            <w:shd w:val="clear" w:color="auto" w:fill="FFFFFF"/>
            <w:vAlign w:val="center"/>
          </w:tcPr>
          <w:p w14:paraId="24AEA165">
            <w:pPr>
              <w:widowControl/>
              <w:ind w:firstLine="0" w:firstLineChars="0"/>
              <w:jc w:val="center"/>
              <w:rPr>
                <w:rFonts w:ascii="Times New Roman" w:hAnsi="Times New Roman" w:cs="Times New Roman"/>
                <w:color w:val="auto"/>
                <w:kern w:val="0"/>
                <w:sz w:val="22"/>
                <w:highlight w:val="none"/>
              </w:rPr>
            </w:pPr>
          </w:p>
        </w:tc>
        <w:tc>
          <w:tcPr>
            <w:tcW w:w="2533" w:type="dxa"/>
            <w:tcBorders>
              <w:tl2br w:val="nil"/>
              <w:tr2bl w:val="nil"/>
            </w:tcBorders>
            <w:shd w:val="clear" w:color="auto" w:fill="FFFFFF"/>
            <w:vAlign w:val="center"/>
          </w:tcPr>
          <w:p w14:paraId="5B2DC670">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绩效指标明确性</w:t>
            </w:r>
          </w:p>
        </w:tc>
        <w:tc>
          <w:tcPr>
            <w:tcW w:w="844" w:type="dxa"/>
            <w:tcBorders>
              <w:tl2br w:val="nil"/>
              <w:tr2bl w:val="nil"/>
            </w:tcBorders>
            <w:shd w:val="clear" w:color="000000" w:fill="FFFFFF"/>
            <w:vAlign w:val="center"/>
          </w:tcPr>
          <w:p w14:paraId="17343DAD">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3</w:t>
            </w:r>
          </w:p>
        </w:tc>
        <w:tc>
          <w:tcPr>
            <w:tcW w:w="845" w:type="dxa"/>
            <w:tcBorders>
              <w:tl2br w:val="nil"/>
              <w:tr2bl w:val="nil"/>
            </w:tcBorders>
            <w:shd w:val="clear" w:color="000000" w:fill="FFFFFF"/>
            <w:vAlign w:val="center"/>
          </w:tcPr>
          <w:p w14:paraId="760D19F6">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3</w:t>
            </w:r>
          </w:p>
        </w:tc>
        <w:tc>
          <w:tcPr>
            <w:tcW w:w="977" w:type="dxa"/>
            <w:tcBorders>
              <w:tl2br w:val="nil"/>
              <w:tr2bl w:val="nil"/>
            </w:tcBorders>
            <w:shd w:val="clear" w:color="000000" w:fill="FFFFFF"/>
            <w:vAlign w:val="center"/>
          </w:tcPr>
          <w:p w14:paraId="69C8FE54">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100%</w:t>
            </w:r>
          </w:p>
        </w:tc>
      </w:tr>
      <w:tr w14:paraId="2CDDF9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5CFC4124">
            <w:pPr>
              <w:ind w:firstLine="0" w:firstLineChars="0"/>
              <w:jc w:val="center"/>
              <w:rPr>
                <w:rFonts w:ascii="Times New Roman" w:hAnsi="Times New Roman" w:cs="Times New Roman"/>
                <w:color w:val="auto"/>
                <w:kern w:val="0"/>
                <w:sz w:val="22"/>
                <w:highlight w:val="none"/>
              </w:rPr>
            </w:pPr>
          </w:p>
        </w:tc>
        <w:tc>
          <w:tcPr>
            <w:tcW w:w="1865" w:type="dxa"/>
            <w:vMerge w:val="restart"/>
            <w:tcBorders>
              <w:tl2br w:val="nil"/>
              <w:tr2bl w:val="nil"/>
            </w:tcBorders>
            <w:shd w:val="clear" w:color="auto" w:fill="FFFFFF"/>
            <w:vAlign w:val="center"/>
          </w:tcPr>
          <w:p w14:paraId="5A1497CC">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资金投入</w:t>
            </w:r>
          </w:p>
        </w:tc>
        <w:tc>
          <w:tcPr>
            <w:tcW w:w="2533" w:type="dxa"/>
            <w:tcBorders>
              <w:tl2br w:val="nil"/>
              <w:tr2bl w:val="nil"/>
            </w:tcBorders>
            <w:shd w:val="clear" w:color="auto" w:fill="FFFFFF"/>
            <w:vAlign w:val="center"/>
          </w:tcPr>
          <w:p w14:paraId="7D8046FE">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预算编制科学性</w:t>
            </w:r>
          </w:p>
        </w:tc>
        <w:tc>
          <w:tcPr>
            <w:tcW w:w="844" w:type="dxa"/>
            <w:tcBorders>
              <w:tl2br w:val="nil"/>
              <w:tr2bl w:val="nil"/>
            </w:tcBorders>
            <w:shd w:val="clear" w:color="auto" w:fill="FFFFFF"/>
            <w:vAlign w:val="center"/>
          </w:tcPr>
          <w:p w14:paraId="5D410A76">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3</w:t>
            </w:r>
          </w:p>
        </w:tc>
        <w:tc>
          <w:tcPr>
            <w:tcW w:w="845" w:type="dxa"/>
            <w:tcBorders>
              <w:tl2br w:val="nil"/>
              <w:tr2bl w:val="nil"/>
            </w:tcBorders>
            <w:shd w:val="clear" w:color="auto" w:fill="FFFFFF"/>
            <w:vAlign w:val="center"/>
          </w:tcPr>
          <w:p w14:paraId="050DFC50">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3</w:t>
            </w:r>
          </w:p>
        </w:tc>
        <w:tc>
          <w:tcPr>
            <w:tcW w:w="977" w:type="dxa"/>
            <w:tcBorders>
              <w:tl2br w:val="nil"/>
              <w:tr2bl w:val="nil"/>
            </w:tcBorders>
            <w:shd w:val="clear" w:color="auto" w:fill="FFFFFF"/>
            <w:vAlign w:val="center"/>
          </w:tcPr>
          <w:p w14:paraId="774743A1">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100%</w:t>
            </w:r>
          </w:p>
        </w:tc>
      </w:tr>
      <w:tr w14:paraId="009254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1A3EE2D6">
            <w:pPr>
              <w:widowControl/>
              <w:ind w:firstLine="0" w:firstLineChars="0"/>
              <w:jc w:val="center"/>
              <w:rPr>
                <w:rFonts w:ascii="Times New Roman" w:hAnsi="Times New Roman" w:cs="Times New Roman"/>
                <w:color w:val="auto"/>
                <w:kern w:val="0"/>
                <w:sz w:val="22"/>
                <w:highlight w:val="none"/>
              </w:rPr>
            </w:pPr>
          </w:p>
        </w:tc>
        <w:tc>
          <w:tcPr>
            <w:tcW w:w="1865" w:type="dxa"/>
            <w:vMerge w:val="continue"/>
            <w:tcBorders>
              <w:tl2br w:val="nil"/>
              <w:tr2bl w:val="nil"/>
            </w:tcBorders>
            <w:shd w:val="clear" w:color="auto" w:fill="FFFFFF"/>
            <w:vAlign w:val="center"/>
          </w:tcPr>
          <w:p w14:paraId="0D7C4002">
            <w:pPr>
              <w:widowControl/>
              <w:ind w:firstLine="0" w:firstLineChars="0"/>
              <w:jc w:val="center"/>
              <w:rPr>
                <w:rFonts w:ascii="Times New Roman" w:hAnsi="Times New Roman" w:cs="Times New Roman"/>
                <w:color w:val="auto"/>
                <w:kern w:val="0"/>
                <w:sz w:val="22"/>
                <w:highlight w:val="none"/>
              </w:rPr>
            </w:pPr>
          </w:p>
        </w:tc>
        <w:tc>
          <w:tcPr>
            <w:tcW w:w="2533" w:type="dxa"/>
            <w:tcBorders>
              <w:tl2br w:val="nil"/>
              <w:tr2bl w:val="nil"/>
            </w:tcBorders>
            <w:shd w:val="clear" w:color="auto" w:fill="FFFFFF"/>
            <w:vAlign w:val="center"/>
          </w:tcPr>
          <w:p w14:paraId="267E2FAF">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资金分配合理性</w:t>
            </w:r>
          </w:p>
        </w:tc>
        <w:tc>
          <w:tcPr>
            <w:tcW w:w="844" w:type="dxa"/>
            <w:tcBorders>
              <w:tl2br w:val="nil"/>
              <w:tr2bl w:val="nil"/>
            </w:tcBorders>
            <w:shd w:val="clear" w:color="auto" w:fill="FFFFFF"/>
            <w:vAlign w:val="center"/>
          </w:tcPr>
          <w:p w14:paraId="4E09B0F2">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3</w:t>
            </w:r>
          </w:p>
        </w:tc>
        <w:tc>
          <w:tcPr>
            <w:tcW w:w="845" w:type="dxa"/>
            <w:tcBorders>
              <w:tl2br w:val="nil"/>
              <w:tr2bl w:val="nil"/>
            </w:tcBorders>
            <w:shd w:val="clear" w:color="auto" w:fill="FFFFFF"/>
            <w:vAlign w:val="center"/>
          </w:tcPr>
          <w:p w14:paraId="6BFD85D1">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3</w:t>
            </w:r>
          </w:p>
        </w:tc>
        <w:tc>
          <w:tcPr>
            <w:tcW w:w="977" w:type="dxa"/>
            <w:tcBorders>
              <w:tl2br w:val="nil"/>
              <w:tr2bl w:val="nil"/>
            </w:tcBorders>
            <w:shd w:val="clear" w:color="auto" w:fill="FFFFFF"/>
            <w:vAlign w:val="center"/>
          </w:tcPr>
          <w:p w14:paraId="45790F7B">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100%</w:t>
            </w:r>
          </w:p>
        </w:tc>
      </w:tr>
      <w:tr w14:paraId="177264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restart"/>
            <w:tcBorders>
              <w:tl2br w:val="nil"/>
              <w:tr2bl w:val="nil"/>
            </w:tcBorders>
            <w:shd w:val="clear" w:color="auto" w:fill="FFFFFF"/>
            <w:vAlign w:val="center"/>
          </w:tcPr>
          <w:p w14:paraId="11359297">
            <w:pPr>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过程</w:t>
            </w:r>
          </w:p>
        </w:tc>
        <w:tc>
          <w:tcPr>
            <w:tcW w:w="1865" w:type="dxa"/>
            <w:vMerge w:val="restart"/>
            <w:tcBorders>
              <w:tl2br w:val="nil"/>
              <w:tr2bl w:val="nil"/>
            </w:tcBorders>
            <w:shd w:val="clear" w:color="auto" w:fill="FFFFFF"/>
            <w:vAlign w:val="center"/>
          </w:tcPr>
          <w:p w14:paraId="1070D8D3">
            <w:pPr>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资金管理</w:t>
            </w:r>
          </w:p>
        </w:tc>
        <w:tc>
          <w:tcPr>
            <w:tcW w:w="2533" w:type="dxa"/>
            <w:tcBorders>
              <w:tl2br w:val="nil"/>
              <w:tr2bl w:val="nil"/>
            </w:tcBorders>
            <w:shd w:val="clear" w:color="auto" w:fill="FFFFFF"/>
            <w:vAlign w:val="center"/>
          </w:tcPr>
          <w:p w14:paraId="7BA8A2C8">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资金到位率</w:t>
            </w:r>
          </w:p>
        </w:tc>
        <w:tc>
          <w:tcPr>
            <w:tcW w:w="844" w:type="dxa"/>
            <w:tcBorders>
              <w:tl2br w:val="nil"/>
              <w:tr2bl w:val="nil"/>
            </w:tcBorders>
            <w:shd w:val="clear" w:color="000000" w:fill="FFFFFF"/>
            <w:vAlign w:val="center"/>
          </w:tcPr>
          <w:p w14:paraId="0950CA4D">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5</w:t>
            </w:r>
          </w:p>
        </w:tc>
        <w:tc>
          <w:tcPr>
            <w:tcW w:w="845" w:type="dxa"/>
            <w:tcBorders>
              <w:tl2br w:val="nil"/>
              <w:tr2bl w:val="nil"/>
            </w:tcBorders>
            <w:shd w:val="clear" w:color="000000" w:fill="FFFFFF"/>
            <w:vAlign w:val="center"/>
          </w:tcPr>
          <w:p w14:paraId="03AF1455">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5</w:t>
            </w:r>
          </w:p>
        </w:tc>
        <w:tc>
          <w:tcPr>
            <w:tcW w:w="977" w:type="dxa"/>
            <w:tcBorders>
              <w:tl2br w:val="nil"/>
              <w:tr2bl w:val="nil"/>
            </w:tcBorders>
            <w:shd w:val="clear" w:color="000000" w:fill="FFFFFF"/>
            <w:vAlign w:val="center"/>
          </w:tcPr>
          <w:p w14:paraId="0341FFF8">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100%</w:t>
            </w:r>
          </w:p>
        </w:tc>
      </w:tr>
      <w:tr w14:paraId="66ABD7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5B843166">
            <w:pPr>
              <w:ind w:firstLine="440"/>
              <w:jc w:val="center"/>
              <w:rPr>
                <w:rFonts w:ascii="Times New Roman" w:hAnsi="Times New Roman" w:cs="Times New Roman"/>
                <w:color w:val="auto"/>
                <w:kern w:val="0"/>
                <w:sz w:val="22"/>
                <w:highlight w:val="none"/>
              </w:rPr>
            </w:pPr>
          </w:p>
        </w:tc>
        <w:tc>
          <w:tcPr>
            <w:tcW w:w="1865" w:type="dxa"/>
            <w:vMerge w:val="continue"/>
            <w:tcBorders>
              <w:tl2br w:val="nil"/>
              <w:tr2bl w:val="nil"/>
            </w:tcBorders>
            <w:shd w:val="clear" w:color="auto" w:fill="FFFFFF"/>
            <w:vAlign w:val="center"/>
          </w:tcPr>
          <w:p w14:paraId="1F98764D">
            <w:pPr>
              <w:ind w:firstLine="440"/>
              <w:jc w:val="center"/>
              <w:rPr>
                <w:rFonts w:ascii="Times New Roman" w:hAnsi="Times New Roman" w:cs="Times New Roman"/>
                <w:color w:val="auto"/>
                <w:kern w:val="0"/>
                <w:sz w:val="22"/>
                <w:highlight w:val="none"/>
              </w:rPr>
            </w:pPr>
          </w:p>
        </w:tc>
        <w:tc>
          <w:tcPr>
            <w:tcW w:w="2533" w:type="dxa"/>
            <w:tcBorders>
              <w:tl2br w:val="nil"/>
              <w:tr2bl w:val="nil"/>
            </w:tcBorders>
            <w:shd w:val="clear" w:color="auto" w:fill="FFFFFF"/>
            <w:vAlign w:val="center"/>
          </w:tcPr>
          <w:p w14:paraId="6D07A705">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预算执行率</w:t>
            </w:r>
          </w:p>
        </w:tc>
        <w:tc>
          <w:tcPr>
            <w:tcW w:w="844" w:type="dxa"/>
            <w:tcBorders>
              <w:tl2br w:val="nil"/>
              <w:tr2bl w:val="nil"/>
            </w:tcBorders>
            <w:shd w:val="clear" w:color="auto" w:fill="FFFFFF"/>
            <w:vAlign w:val="center"/>
          </w:tcPr>
          <w:p w14:paraId="189E88EA">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5</w:t>
            </w:r>
          </w:p>
        </w:tc>
        <w:tc>
          <w:tcPr>
            <w:tcW w:w="845" w:type="dxa"/>
            <w:tcBorders>
              <w:tl2br w:val="nil"/>
              <w:tr2bl w:val="nil"/>
            </w:tcBorders>
            <w:shd w:val="clear" w:color="auto" w:fill="FFFFFF"/>
            <w:vAlign w:val="center"/>
          </w:tcPr>
          <w:p w14:paraId="15EE4D81">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5</w:t>
            </w:r>
          </w:p>
        </w:tc>
        <w:tc>
          <w:tcPr>
            <w:tcW w:w="977" w:type="dxa"/>
            <w:tcBorders>
              <w:tl2br w:val="nil"/>
              <w:tr2bl w:val="nil"/>
            </w:tcBorders>
            <w:shd w:val="clear" w:color="auto" w:fill="FFFFFF"/>
            <w:vAlign w:val="center"/>
          </w:tcPr>
          <w:p w14:paraId="132BFA2D">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100%</w:t>
            </w:r>
          </w:p>
        </w:tc>
      </w:tr>
      <w:tr w14:paraId="4D5DFC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41A7AD56">
            <w:pPr>
              <w:ind w:firstLine="0" w:firstLineChars="0"/>
              <w:jc w:val="center"/>
              <w:rPr>
                <w:rFonts w:ascii="Times New Roman" w:hAnsi="Times New Roman" w:cs="Times New Roman"/>
                <w:color w:val="auto"/>
                <w:kern w:val="0"/>
                <w:sz w:val="22"/>
                <w:highlight w:val="none"/>
              </w:rPr>
            </w:pPr>
          </w:p>
        </w:tc>
        <w:tc>
          <w:tcPr>
            <w:tcW w:w="1865" w:type="dxa"/>
            <w:vMerge w:val="continue"/>
            <w:tcBorders>
              <w:tl2br w:val="nil"/>
              <w:tr2bl w:val="nil"/>
            </w:tcBorders>
            <w:shd w:val="clear" w:color="auto" w:fill="FFFFFF"/>
            <w:vAlign w:val="center"/>
          </w:tcPr>
          <w:p w14:paraId="4D789313">
            <w:pPr>
              <w:widowControl/>
              <w:ind w:firstLine="0" w:firstLineChars="0"/>
              <w:jc w:val="center"/>
              <w:rPr>
                <w:rFonts w:ascii="Times New Roman" w:hAnsi="Times New Roman" w:cs="Times New Roman"/>
                <w:color w:val="auto"/>
                <w:kern w:val="0"/>
                <w:sz w:val="22"/>
                <w:highlight w:val="none"/>
              </w:rPr>
            </w:pPr>
          </w:p>
        </w:tc>
        <w:tc>
          <w:tcPr>
            <w:tcW w:w="2533" w:type="dxa"/>
            <w:tcBorders>
              <w:tl2br w:val="nil"/>
              <w:tr2bl w:val="nil"/>
            </w:tcBorders>
            <w:shd w:val="clear" w:color="auto" w:fill="FFFFFF"/>
            <w:vAlign w:val="center"/>
          </w:tcPr>
          <w:p w14:paraId="7F1FF52F">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资金使用合规性</w:t>
            </w:r>
          </w:p>
        </w:tc>
        <w:tc>
          <w:tcPr>
            <w:tcW w:w="844" w:type="dxa"/>
            <w:tcBorders>
              <w:tl2br w:val="nil"/>
              <w:tr2bl w:val="nil"/>
            </w:tcBorders>
            <w:shd w:val="clear" w:color="000000" w:fill="FFFFFF"/>
            <w:vAlign w:val="center"/>
          </w:tcPr>
          <w:p w14:paraId="47C078CC">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3</w:t>
            </w:r>
          </w:p>
        </w:tc>
        <w:tc>
          <w:tcPr>
            <w:tcW w:w="845" w:type="dxa"/>
            <w:tcBorders>
              <w:tl2br w:val="nil"/>
              <w:tr2bl w:val="nil"/>
            </w:tcBorders>
            <w:shd w:val="clear" w:color="000000" w:fill="FFFFFF"/>
            <w:vAlign w:val="center"/>
          </w:tcPr>
          <w:p w14:paraId="0620650A">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5</w:t>
            </w:r>
          </w:p>
        </w:tc>
        <w:tc>
          <w:tcPr>
            <w:tcW w:w="977" w:type="dxa"/>
            <w:tcBorders>
              <w:tl2br w:val="nil"/>
              <w:tr2bl w:val="nil"/>
            </w:tcBorders>
            <w:shd w:val="clear" w:color="000000" w:fill="FFFFFF"/>
            <w:vAlign w:val="center"/>
          </w:tcPr>
          <w:p w14:paraId="200A314C">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100%</w:t>
            </w:r>
          </w:p>
        </w:tc>
      </w:tr>
      <w:tr w14:paraId="1D9D3A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0AA909C6">
            <w:pPr>
              <w:ind w:firstLine="0" w:firstLineChars="0"/>
              <w:jc w:val="center"/>
              <w:rPr>
                <w:rFonts w:ascii="Times New Roman" w:hAnsi="Times New Roman" w:cs="Times New Roman"/>
                <w:color w:val="auto"/>
                <w:kern w:val="0"/>
                <w:sz w:val="22"/>
                <w:highlight w:val="none"/>
              </w:rPr>
            </w:pPr>
          </w:p>
        </w:tc>
        <w:tc>
          <w:tcPr>
            <w:tcW w:w="1865" w:type="dxa"/>
            <w:vMerge w:val="restart"/>
            <w:tcBorders>
              <w:tl2br w:val="nil"/>
              <w:tr2bl w:val="nil"/>
            </w:tcBorders>
            <w:shd w:val="clear" w:color="auto" w:fill="FFFFFF"/>
            <w:vAlign w:val="center"/>
          </w:tcPr>
          <w:p w14:paraId="7923A100">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组织实施</w:t>
            </w:r>
          </w:p>
        </w:tc>
        <w:tc>
          <w:tcPr>
            <w:tcW w:w="2533" w:type="dxa"/>
            <w:tcBorders>
              <w:tl2br w:val="nil"/>
              <w:tr2bl w:val="nil"/>
            </w:tcBorders>
            <w:shd w:val="clear" w:color="auto" w:fill="FFFFFF"/>
            <w:vAlign w:val="center"/>
          </w:tcPr>
          <w:p w14:paraId="0EEB7DA4">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管理制度健全性</w:t>
            </w:r>
          </w:p>
        </w:tc>
        <w:tc>
          <w:tcPr>
            <w:tcW w:w="844" w:type="dxa"/>
            <w:tcBorders>
              <w:tl2br w:val="nil"/>
              <w:tr2bl w:val="nil"/>
            </w:tcBorders>
            <w:shd w:val="clear" w:color="000000" w:fill="FFFFFF"/>
            <w:vAlign w:val="center"/>
          </w:tcPr>
          <w:p w14:paraId="53782099">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3</w:t>
            </w:r>
          </w:p>
        </w:tc>
        <w:tc>
          <w:tcPr>
            <w:tcW w:w="845" w:type="dxa"/>
            <w:tcBorders>
              <w:tl2br w:val="nil"/>
              <w:tr2bl w:val="nil"/>
            </w:tcBorders>
            <w:shd w:val="clear" w:color="000000" w:fill="FFFFFF"/>
            <w:vAlign w:val="center"/>
          </w:tcPr>
          <w:p w14:paraId="5F922EE9">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3</w:t>
            </w:r>
          </w:p>
        </w:tc>
        <w:tc>
          <w:tcPr>
            <w:tcW w:w="977" w:type="dxa"/>
            <w:tcBorders>
              <w:tl2br w:val="nil"/>
              <w:tr2bl w:val="nil"/>
            </w:tcBorders>
            <w:shd w:val="clear" w:color="000000" w:fill="FFFFFF"/>
            <w:vAlign w:val="center"/>
          </w:tcPr>
          <w:p w14:paraId="433FBE92">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100%</w:t>
            </w:r>
          </w:p>
        </w:tc>
      </w:tr>
      <w:tr w14:paraId="7164E4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76A70F06">
            <w:pPr>
              <w:widowControl/>
              <w:ind w:firstLine="0" w:firstLineChars="0"/>
              <w:jc w:val="center"/>
              <w:rPr>
                <w:rFonts w:ascii="Times New Roman" w:hAnsi="Times New Roman" w:cs="Times New Roman"/>
                <w:color w:val="auto"/>
                <w:kern w:val="0"/>
                <w:sz w:val="22"/>
                <w:highlight w:val="none"/>
              </w:rPr>
            </w:pPr>
          </w:p>
        </w:tc>
        <w:tc>
          <w:tcPr>
            <w:tcW w:w="1865" w:type="dxa"/>
            <w:vMerge w:val="continue"/>
            <w:tcBorders>
              <w:tl2br w:val="nil"/>
              <w:tr2bl w:val="nil"/>
            </w:tcBorders>
            <w:shd w:val="clear" w:color="auto" w:fill="FFFFFF"/>
            <w:vAlign w:val="center"/>
          </w:tcPr>
          <w:p w14:paraId="303289C4">
            <w:pPr>
              <w:widowControl/>
              <w:ind w:firstLine="0" w:firstLineChars="0"/>
              <w:jc w:val="center"/>
              <w:rPr>
                <w:rFonts w:ascii="Times New Roman" w:hAnsi="Times New Roman" w:cs="Times New Roman"/>
                <w:color w:val="auto"/>
                <w:kern w:val="0"/>
                <w:sz w:val="22"/>
                <w:highlight w:val="none"/>
              </w:rPr>
            </w:pPr>
          </w:p>
        </w:tc>
        <w:tc>
          <w:tcPr>
            <w:tcW w:w="2533" w:type="dxa"/>
            <w:tcBorders>
              <w:tl2br w:val="nil"/>
              <w:tr2bl w:val="nil"/>
            </w:tcBorders>
            <w:shd w:val="clear" w:color="auto" w:fill="FFFFFF"/>
            <w:vAlign w:val="center"/>
          </w:tcPr>
          <w:p w14:paraId="31BD76B9">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制度执行有效性</w:t>
            </w:r>
          </w:p>
        </w:tc>
        <w:tc>
          <w:tcPr>
            <w:tcW w:w="844" w:type="dxa"/>
            <w:tcBorders>
              <w:tl2br w:val="nil"/>
              <w:tr2bl w:val="nil"/>
            </w:tcBorders>
            <w:shd w:val="clear" w:color="000000" w:fill="FFFFFF"/>
            <w:vAlign w:val="center"/>
          </w:tcPr>
          <w:p w14:paraId="312ECC77">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4</w:t>
            </w:r>
          </w:p>
        </w:tc>
        <w:tc>
          <w:tcPr>
            <w:tcW w:w="845" w:type="dxa"/>
            <w:tcBorders>
              <w:tl2br w:val="nil"/>
              <w:tr2bl w:val="nil"/>
            </w:tcBorders>
            <w:shd w:val="clear" w:color="000000" w:fill="FFFFFF"/>
            <w:vAlign w:val="center"/>
          </w:tcPr>
          <w:p w14:paraId="1F84C782">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4</w:t>
            </w:r>
          </w:p>
        </w:tc>
        <w:tc>
          <w:tcPr>
            <w:tcW w:w="977" w:type="dxa"/>
            <w:tcBorders>
              <w:tl2br w:val="nil"/>
              <w:tr2bl w:val="nil"/>
            </w:tcBorders>
            <w:shd w:val="clear" w:color="000000" w:fill="FFFFFF"/>
            <w:vAlign w:val="center"/>
          </w:tcPr>
          <w:p w14:paraId="05D825DE">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100%</w:t>
            </w:r>
          </w:p>
        </w:tc>
      </w:tr>
      <w:tr w14:paraId="76B012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2" w:hRule="atLeast"/>
          <w:jc w:val="center"/>
        </w:trPr>
        <w:tc>
          <w:tcPr>
            <w:tcW w:w="1458" w:type="dxa"/>
            <w:vMerge w:val="restart"/>
            <w:tcBorders>
              <w:tl2br w:val="nil"/>
              <w:tr2bl w:val="nil"/>
            </w:tcBorders>
            <w:shd w:val="clear" w:color="auto" w:fill="FFFFFF"/>
            <w:vAlign w:val="center"/>
          </w:tcPr>
          <w:p w14:paraId="35B4089D">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产出</w:t>
            </w:r>
          </w:p>
        </w:tc>
        <w:tc>
          <w:tcPr>
            <w:tcW w:w="1865" w:type="dxa"/>
            <w:vMerge w:val="restart"/>
            <w:tcBorders>
              <w:tl2br w:val="nil"/>
              <w:tr2bl w:val="nil"/>
            </w:tcBorders>
            <w:shd w:val="clear" w:color="auto" w:fill="FFFFFF"/>
            <w:vAlign w:val="center"/>
          </w:tcPr>
          <w:p w14:paraId="6E02B2F2">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产出数量</w:t>
            </w:r>
          </w:p>
        </w:tc>
        <w:tc>
          <w:tcPr>
            <w:tcW w:w="2533" w:type="dxa"/>
            <w:tcBorders>
              <w:tl2br w:val="nil"/>
              <w:tr2bl w:val="nil"/>
            </w:tcBorders>
            <w:shd w:val="clear" w:color="auto" w:fill="FFFFFF"/>
            <w:vAlign w:val="center"/>
          </w:tcPr>
          <w:p w14:paraId="14D7746D">
            <w:pPr>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发放人数</w:t>
            </w:r>
          </w:p>
        </w:tc>
        <w:tc>
          <w:tcPr>
            <w:tcW w:w="844" w:type="dxa"/>
            <w:tcBorders>
              <w:tl2br w:val="nil"/>
              <w:tr2bl w:val="nil"/>
            </w:tcBorders>
            <w:shd w:val="clear" w:color="000000" w:fill="FFFFFF"/>
            <w:vAlign w:val="center"/>
          </w:tcPr>
          <w:p w14:paraId="76226B8D">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5</w:t>
            </w:r>
          </w:p>
        </w:tc>
        <w:tc>
          <w:tcPr>
            <w:tcW w:w="845" w:type="dxa"/>
            <w:tcBorders>
              <w:tl2br w:val="nil"/>
              <w:tr2bl w:val="nil"/>
            </w:tcBorders>
            <w:shd w:val="clear" w:color="000000" w:fill="FFFFFF"/>
            <w:vAlign w:val="center"/>
          </w:tcPr>
          <w:p w14:paraId="678AA561">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5</w:t>
            </w:r>
          </w:p>
        </w:tc>
        <w:tc>
          <w:tcPr>
            <w:tcW w:w="977" w:type="dxa"/>
            <w:tcBorders>
              <w:tl2br w:val="nil"/>
              <w:tr2bl w:val="nil"/>
            </w:tcBorders>
            <w:shd w:val="clear" w:color="000000" w:fill="FFFFFF"/>
            <w:vAlign w:val="center"/>
          </w:tcPr>
          <w:p w14:paraId="395A6444">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100%</w:t>
            </w:r>
          </w:p>
        </w:tc>
      </w:tr>
      <w:tr w14:paraId="429627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458" w:type="dxa"/>
            <w:vMerge w:val="continue"/>
            <w:tcBorders>
              <w:tl2br w:val="nil"/>
              <w:tr2bl w:val="nil"/>
            </w:tcBorders>
            <w:shd w:val="clear" w:color="auto" w:fill="FFFFFF"/>
            <w:vAlign w:val="center"/>
          </w:tcPr>
          <w:p w14:paraId="42FA4C5F">
            <w:pPr>
              <w:widowControl/>
              <w:ind w:firstLine="0" w:firstLineChars="0"/>
              <w:jc w:val="center"/>
              <w:rPr>
                <w:rFonts w:ascii="Times New Roman" w:hAnsi="Times New Roman" w:cs="Times New Roman"/>
                <w:color w:val="auto"/>
                <w:kern w:val="0"/>
                <w:sz w:val="22"/>
                <w:highlight w:val="none"/>
              </w:rPr>
            </w:pPr>
          </w:p>
        </w:tc>
        <w:tc>
          <w:tcPr>
            <w:tcW w:w="1865" w:type="dxa"/>
            <w:vMerge w:val="continue"/>
            <w:tcBorders>
              <w:tl2br w:val="nil"/>
              <w:tr2bl w:val="nil"/>
            </w:tcBorders>
            <w:shd w:val="clear" w:color="auto" w:fill="FFFFFF"/>
            <w:vAlign w:val="center"/>
          </w:tcPr>
          <w:p w14:paraId="3C0DC0C1">
            <w:pPr>
              <w:widowControl/>
              <w:ind w:firstLine="0" w:firstLineChars="0"/>
              <w:jc w:val="center"/>
              <w:rPr>
                <w:rFonts w:ascii="Times New Roman" w:hAnsi="Times New Roman" w:cs="Times New Roman"/>
                <w:color w:val="auto"/>
                <w:kern w:val="0"/>
                <w:sz w:val="22"/>
                <w:highlight w:val="none"/>
              </w:rPr>
            </w:pPr>
          </w:p>
        </w:tc>
        <w:tc>
          <w:tcPr>
            <w:tcW w:w="2533" w:type="dxa"/>
            <w:tcBorders>
              <w:tl2br w:val="nil"/>
              <w:tr2bl w:val="nil"/>
            </w:tcBorders>
            <w:shd w:val="clear" w:color="auto" w:fill="FFFFFF"/>
            <w:vAlign w:val="center"/>
          </w:tcPr>
          <w:p w14:paraId="4CD29930">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发放次数</w:t>
            </w:r>
          </w:p>
        </w:tc>
        <w:tc>
          <w:tcPr>
            <w:tcW w:w="844" w:type="dxa"/>
            <w:tcBorders>
              <w:tl2br w:val="nil"/>
              <w:tr2bl w:val="nil"/>
            </w:tcBorders>
            <w:shd w:val="clear" w:color="000000" w:fill="FFFFFF"/>
            <w:vAlign w:val="center"/>
          </w:tcPr>
          <w:p w14:paraId="001EC220">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5</w:t>
            </w:r>
          </w:p>
        </w:tc>
        <w:tc>
          <w:tcPr>
            <w:tcW w:w="845" w:type="dxa"/>
            <w:tcBorders>
              <w:tl2br w:val="nil"/>
              <w:tr2bl w:val="nil"/>
            </w:tcBorders>
            <w:shd w:val="clear" w:color="000000" w:fill="FFFFFF"/>
            <w:vAlign w:val="center"/>
          </w:tcPr>
          <w:p w14:paraId="6DE9CABE">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5</w:t>
            </w:r>
          </w:p>
        </w:tc>
        <w:tc>
          <w:tcPr>
            <w:tcW w:w="977" w:type="dxa"/>
            <w:tcBorders>
              <w:tl2br w:val="nil"/>
              <w:tr2bl w:val="nil"/>
            </w:tcBorders>
            <w:shd w:val="clear" w:color="000000" w:fill="FFFFFF"/>
            <w:vAlign w:val="center"/>
          </w:tcPr>
          <w:p w14:paraId="1C3788F3">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100%</w:t>
            </w:r>
          </w:p>
        </w:tc>
      </w:tr>
      <w:tr w14:paraId="7D05D9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5B31BBFE">
            <w:pPr>
              <w:widowControl/>
              <w:ind w:firstLine="0" w:firstLineChars="0"/>
              <w:jc w:val="center"/>
              <w:rPr>
                <w:rFonts w:ascii="Times New Roman" w:hAnsi="Times New Roman" w:cs="Times New Roman"/>
                <w:color w:val="auto"/>
                <w:kern w:val="0"/>
                <w:sz w:val="22"/>
                <w:highlight w:val="none"/>
              </w:rPr>
            </w:pPr>
          </w:p>
        </w:tc>
        <w:tc>
          <w:tcPr>
            <w:tcW w:w="1865" w:type="dxa"/>
            <w:tcBorders>
              <w:tl2br w:val="nil"/>
              <w:tr2bl w:val="nil"/>
            </w:tcBorders>
            <w:shd w:val="clear" w:color="auto" w:fill="FFFFFF"/>
            <w:vAlign w:val="center"/>
          </w:tcPr>
          <w:p w14:paraId="6F21C398">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产出质量</w:t>
            </w:r>
          </w:p>
        </w:tc>
        <w:tc>
          <w:tcPr>
            <w:tcW w:w="2533" w:type="dxa"/>
            <w:tcBorders>
              <w:tl2br w:val="nil"/>
              <w:tr2bl w:val="nil"/>
            </w:tcBorders>
            <w:shd w:val="clear" w:color="auto" w:fill="FFFFFF"/>
            <w:vAlign w:val="center"/>
          </w:tcPr>
          <w:p w14:paraId="23A07704">
            <w:pPr>
              <w:widowControl/>
              <w:ind w:firstLine="0" w:firstLineChars="0"/>
              <w:jc w:val="center"/>
              <w:rPr>
                <w:rFonts w:ascii="Times New Roman" w:hAnsi="Times New Roman" w:cs="Times New Roman"/>
                <w:color w:val="auto"/>
                <w:kern w:val="0"/>
                <w:sz w:val="22"/>
                <w:highlight w:val="none"/>
              </w:rPr>
            </w:pPr>
            <w:r>
              <w:rPr>
                <w:rFonts w:hint="eastAsia" w:cs="Times New Roman"/>
                <w:color w:val="auto"/>
                <w:kern w:val="0"/>
                <w:sz w:val="22"/>
                <w:highlight w:val="none"/>
                <w:lang w:eastAsia="zh-CN"/>
              </w:rPr>
              <w:t>支付</w:t>
            </w:r>
            <w:r>
              <w:rPr>
                <w:rFonts w:hint="eastAsia" w:ascii="Times New Roman" w:hAnsi="Times New Roman" w:cs="Times New Roman"/>
                <w:color w:val="auto"/>
                <w:kern w:val="0"/>
                <w:sz w:val="22"/>
                <w:highlight w:val="none"/>
              </w:rPr>
              <w:t>准确率</w:t>
            </w:r>
          </w:p>
        </w:tc>
        <w:tc>
          <w:tcPr>
            <w:tcW w:w="844" w:type="dxa"/>
            <w:tcBorders>
              <w:tl2br w:val="nil"/>
              <w:tr2bl w:val="nil"/>
            </w:tcBorders>
            <w:shd w:val="clear" w:color="000000" w:fill="FFFFFF"/>
            <w:vAlign w:val="center"/>
          </w:tcPr>
          <w:p w14:paraId="4686268F">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w:t>
            </w:r>
          </w:p>
        </w:tc>
        <w:tc>
          <w:tcPr>
            <w:tcW w:w="845" w:type="dxa"/>
            <w:tcBorders>
              <w:tl2br w:val="nil"/>
              <w:tr2bl w:val="nil"/>
            </w:tcBorders>
            <w:shd w:val="clear" w:color="000000" w:fill="FFFFFF"/>
            <w:vAlign w:val="center"/>
          </w:tcPr>
          <w:p w14:paraId="224EE40A">
            <w:pPr>
              <w:widowControl/>
              <w:ind w:firstLine="0" w:firstLineChars="0"/>
              <w:jc w:val="center"/>
              <w:rPr>
                <w:rFonts w:hint="eastAsia"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w:t>
            </w:r>
          </w:p>
        </w:tc>
        <w:tc>
          <w:tcPr>
            <w:tcW w:w="977" w:type="dxa"/>
            <w:tcBorders>
              <w:tl2br w:val="nil"/>
              <w:tr2bl w:val="nil"/>
            </w:tcBorders>
            <w:shd w:val="clear" w:color="000000" w:fill="FFFFFF"/>
            <w:vAlign w:val="center"/>
          </w:tcPr>
          <w:p w14:paraId="5E0C6AD9">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100%</w:t>
            </w:r>
          </w:p>
        </w:tc>
      </w:tr>
      <w:tr w14:paraId="3C366F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458" w:type="dxa"/>
            <w:vMerge w:val="continue"/>
            <w:tcBorders>
              <w:tl2br w:val="nil"/>
              <w:tr2bl w:val="nil"/>
            </w:tcBorders>
            <w:shd w:val="clear" w:color="auto" w:fill="FFFFFF"/>
            <w:vAlign w:val="center"/>
          </w:tcPr>
          <w:p w14:paraId="5678D98A">
            <w:pPr>
              <w:ind w:firstLine="0" w:firstLineChars="0"/>
              <w:jc w:val="center"/>
              <w:rPr>
                <w:rFonts w:ascii="Times New Roman" w:hAnsi="Times New Roman" w:cs="Times New Roman"/>
                <w:color w:val="auto"/>
                <w:kern w:val="0"/>
                <w:sz w:val="22"/>
                <w:highlight w:val="none"/>
              </w:rPr>
            </w:pPr>
          </w:p>
        </w:tc>
        <w:tc>
          <w:tcPr>
            <w:tcW w:w="1865" w:type="dxa"/>
            <w:tcBorders>
              <w:tl2br w:val="nil"/>
              <w:tr2bl w:val="nil"/>
            </w:tcBorders>
            <w:shd w:val="clear" w:color="auto" w:fill="FFFFFF"/>
            <w:vAlign w:val="center"/>
          </w:tcPr>
          <w:p w14:paraId="70DEBF57">
            <w:pPr>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产出时效</w:t>
            </w:r>
          </w:p>
        </w:tc>
        <w:tc>
          <w:tcPr>
            <w:tcW w:w="2533" w:type="dxa"/>
            <w:tcBorders>
              <w:tl2br w:val="nil"/>
              <w:tr2bl w:val="nil"/>
            </w:tcBorders>
            <w:shd w:val="clear" w:color="auto" w:fill="FFFFFF"/>
            <w:vAlign w:val="center"/>
          </w:tcPr>
          <w:p w14:paraId="2145C1B9">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资金支付及时率</w:t>
            </w:r>
          </w:p>
        </w:tc>
        <w:tc>
          <w:tcPr>
            <w:tcW w:w="844" w:type="dxa"/>
            <w:tcBorders>
              <w:tl2br w:val="nil"/>
              <w:tr2bl w:val="nil"/>
            </w:tcBorders>
            <w:shd w:val="clear" w:color="000000" w:fill="FFFFFF"/>
            <w:vAlign w:val="center"/>
          </w:tcPr>
          <w:p w14:paraId="23ECEF60">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w:t>
            </w:r>
          </w:p>
        </w:tc>
        <w:tc>
          <w:tcPr>
            <w:tcW w:w="845" w:type="dxa"/>
            <w:tcBorders>
              <w:tl2br w:val="nil"/>
              <w:tr2bl w:val="nil"/>
            </w:tcBorders>
            <w:shd w:val="clear" w:color="000000" w:fill="FFFFFF"/>
            <w:vAlign w:val="center"/>
          </w:tcPr>
          <w:p w14:paraId="26DC2AC5">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w:t>
            </w:r>
          </w:p>
        </w:tc>
        <w:tc>
          <w:tcPr>
            <w:tcW w:w="977" w:type="dxa"/>
            <w:tcBorders>
              <w:tl2br w:val="nil"/>
              <w:tr2bl w:val="nil"/>
            </w:tcBorders>
            <w:shd w:val="clear" w:color="000000" w:fill="FFFFFF"/>
            <w:vAlign w:val="center"/>
          </w:tcPr>
          <w:p w14:paraId="7A3FEFFE">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100%</w:t>
            </w:r>
          </w:p>
        </w:tc>
      </w:tr>
      <w:tr w14:paraId="03B9FA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7F481A99">
            <w:pPr>
              <w:widowControl/>
              <w:ind w:firstLine="0" w:firstLineChars="0"/>
              <w:jc w:val="center"/>
              <w:rPr>
                <w:rFonts w:ascii="Times New Roman" w:hAnsi="Times New Roman" w:cs="Times New Roman"/>
                <w:color w:val="auto"/>
                <w:kern w:val="0"/>
                <w:sz w:val="22"/>
                <w:highlight w:val="none"/>
              </w:rPr>
            </w:pPr>
          </w:p>
        </w:tc>
        <w:tc>
          <w:tcPr>
            <w:tcW w:w="1865" w:type="dxa"/>
            <w:vMerge w:val="restart"/>
            <w:tcBorders>
              <w:tl2br w:val="nil"/>
              <w:tr2bl w:val="nil"/>
            </w:tcBorders>
            <w:shd w:val="clear" w:color="auto" w:fill="FFFFFF"/>
            <w:vAlign w:val="center"/>
          </w:tcPr>
          <w:p w14:paraId="7CE9EFEC">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产出成本</w:t>
            </w:r>
          </w:p>
        </w:tc>
        <w:tc>
          <w:tcPr>
            <w:tcW w:w="2533" w:type="dxa"/>
            <w:tcBorders>
              <w:tl2br w:val="nil"/>
              <w:tr2bl w:val="nil"/>
            </w:tcBorders>
            <w:shd w:val="clear" w:color="auto" w:fill="FFFFFF"/>
            <w:vAlign w:val="center"/>
          </w:tcPr>
          <w:p w14:paraId="2F80098F">
            <w:pPr>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南湖广场市级公岗保洁员绩效工资经费</w:t>
            </w:r>
          </w:p>
        </w:tc>
        <w:tc>
          <w:tcPr>
            <w:tcW w:w="844" w:type="dxa"/>
            <w:tcBorders>
              <w:tl2br w:val="nil"/>
              <w:tr2bl w:val="nil"/>
            </w:tcBorders>
            <w:shd w:val="clear" w:color="000000" w:fill="FFFFFF"/>
            <w:vAlign w:val="center"/>
          </w:tcPr>
          <w:p w14:paraId="0519FEE7">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5</w:t>
            </w:r>
          </w:p>
        </w:tc>
        <w:tc>
          <w:tcPr>
            <w:tcW w:w="845" w:type="dxa"/>
            <w:tcBorders>
              <w:tl2br w:val="nil"/>
              <w:tr2bl w:val="nil"/>
            </w:tcBorders>
            <w:shd w:val="clear" w:color="000000" w:fill="FFFFFF"/>
            <w:vAlign w:val="center"/>
          </w:tcPr>
          <w:p w14:paraId="098F0A0F">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5</w:t>
            </w:r>
          </w:p>
        </w:tc>
        <w:tc>
          <w:tcPr>
            <w:tcW w:w="977" w:type="dxa"/>
            <w:tcBorders>
              <w:tl2br w:val="nil"/>
              <w:tr2bl w:val="nil"/>
            </w:tcBorders>
            <w:shd w:val="clear" w:color="000000" w:fill="FFFFFF"/>
            <w:vAlign w:val="center"/>
          </w:tcPr>
          <w:p w14:paraId="51E3B668">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100%</w:t>
            </w:r>
          </w:p>
        </w:tc>
      </w:tr>
      <w:tr w14:paraId="6D7655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503F5155">
            <w:pPr>
              <w:widowControl/>
              <w:ind w:firstLine="0" w:firstLineChars="0"/>
              <w:jc w:val="center"/>
              <w:rPr>
                <w:rFonts w:ascii="Times New Roman" w:hAnsi="Times New Roman" w:cs="Times New Roman"/>
                <w:color w:val="auto"/>
                <w:kern w:val="0"/>
                <w:sz w:val="22"/>
                <w:highlight w:val="none"/>
              </w:rPr>
            </w:pPr>
          </w:p>
        </w:tc>
        <w:tc>
          <w:tcPr>
            <w:tcW w:w="1865" w:type="dxa"/>
            <w:vMerge w:val="continue"/>
            <w:tcBorders>
              <w:tl2br w:val="nil"/>
              <w:tr2bl w:val="nil"/>
            </w:tcBorders>
            <w:shd w:val="clear" w:color="auto" w:fill="FFFFFF"/>
            <w:vAlign w:val="center"/>
          </w:tcPr>
          <w:p w14:paraId="00CD77B3">
            <w:pPr>
              <w:widowControl/>
              <w:ind w:firstLine="0" w:firstLineChars="0"/>
              <w:jc w:val="center"/>
              <w:rPr>
                <w:rFonts w:ascii="Times New Roman" w:hAnsi="Times New Roman" w:cs="Times New Roman"/>
                <w:color w:val="auto"/>
                <w:kern w:val="0"/>
                <w:sz w:val="22"/>
                <w:highlight w:val="none"/>
              </w:rPr>
            </w:pPr>
          </w:p>
        </w:tc>
        <w:tc>
          <w:tcPr>
            <w:tcW w:w="2533" w:type="dxa"/>
            <w:tcBorders>
              <w:tl2br w:val="nil"/>
              <w:tr2bl w:val="nil"/>
            </w:tcBorders>
            <w:shd w:val="clear" w:color="auto" w:fill="FFFFFF"/>
            <w:vAlign w:val="center"/>
          </w:tcPr>
          <w:p w14:paraId="62FCD9D6">
            <w:pPr>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南湖广场安保人员外包经费</w:t>
            </w:r>
          </w:p>
        </w:tc>
        <w:tc>
          <w:tcPr>
            <w:tcW w:w="844" w:type="dxa"/>
            <w:tcBorders>
              <w:tl2br w:val="nil"/>
              <w:tr2bl w:val="nil"/>
            </w:tcBorders>
            <w:shd w:val="clear" w:color="000000" w:fill="FFFFFF"/>
            <w:vAlign w:val="center"/>
          </w:tcPr>
          <w:p w14:paraId="0A53C4F3">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5</w:t>
            </w:r>
          </w:p>
        </w:tc>
        <w:tc>
          <w:tcPr>
            <w:tcW w:w="845" w:type="dxa"/>
            <w:tcBorders>
              <w:tl2br w:val="nil"/>
              <w:tr2bl w:val="nil"/>
            </w:tcBorders>
            <w:shd w:val="clear" w:color="000000" w:fill="FFFFFF"/>
            <w:vAlign w:val="center"/>
          </w:tcPr>
          <w:p w14:paraId="0B43006C">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5</w:t>
            </w:r>
          </w:p>
        </w:tc>
        <w:tc>
          <w:tcPr>
            <w:tcW w:w="977" w:type="dxa"/>
            <w:tcBorders>
              <w:tl2br w:val="nil"/>
              <w:tr2bl w:val="nil"/>
            </w:tcBorders>
            <w:shd w:val="clear" w:color="000000" w:fill="FFFFFF"/>
            <w:vAlign w:val="center"/>
          </w:tcPr>
          <w:p w14:paraId="416927BF">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100%</w:t>
            </w:r>
          </w:p>
        </w:tc>
      </w:tr>
      <w:tr w14:paraId="474FF8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350BED6E">
            <w:pPr>
              <w:widowControl/>
              <w:ind w:firstLine="0" w:firstLineChars="0"/>
              <w:jc w:val="center"/>
              <w:rPr>
                <w:rFonts w:ascii="Times New Roman" w:hAnsi="Times New Roman" w:cs="Times New Roman"/>
                <w:color w:val="auto"/>
                <w:kern w:val="0"/>
                <w:sz w:val="22"/>
                <w:highlight w:val="none"/>
              </w:rPr>
            </w:pPr>
          </w:p>
        </w:tc>
        <w:tc>
          <w:tcPr>
            <w:tcW w:w="1865" w:type="dxa"/>
            <w:vMerge w:val="continue"/>
            <w:tcBorders>
              <w:tl2br w:val="nil"/>
              <w:tr2bl w:val="nil"/>
            </w:tcBorders>
            <w:shd w:val="clear" w:color="auto" w:fill="FFFFFF"/>
            <w:vAlign w:val="center"/>
          </w:tcPr>
          <w:p w14:paraId="3567980D">
            <w:pPr>
              <w:widowControl/>
              <w:ind w:firstLine="0" w:firstLineChars="0"/>
              <w:jc w:val="center"/>
              <w:rPr>
                <w:rFonts w:ascii="Times New Roman" w:hAnsi="Times New Roman" w:cs="Times New Roman"/>
                <w:color w:val="auto"/>
                <w:kern w:val="0"/>
                <w:sz w:val="22"/>
                <w:highlight w:val="none"/>
              </w:rPr>
            </w:pPr>
          </w:p>
        </w:tc>
        <w:tc>
          <w:tcPr>
            <w:tcW w:w="2533" w:type="dxa"/>
            <w:tcBorders>
              <w:tl2br w:val="nil"/>
              <w:tr2bl w:val="nil"/>
            </w:tcBorders>
            <w:shd w:val="clear" w:color="auto" w:fill="FFFFFF"/>
            <w:vAlign w:val="center"/>
          </w:tcPr>
          <w:p w14:paraId="0EA31872">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市场化养护经费</w:t>
            </w:r>
          </w:p>
        </w:tc>
        <w:tc>
          <w:tcPr>
            <w:tcW w:w="844" w:type="dxa"/>
            <w:tcBorders>
              <w:tl2br w:val="nil"/>
              <w:tr2bl w:val="nil"/>
            </w:tcBorders>
            <w:shd w:val="clear" w:color="000000" w:fill="FFFFFF"/>
            <w:vAlign w:val="center"/>
          </w:tcPr>
          <w:p w14:paraId="7A822CDC">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5</w:t>
            </w:r>
          </w:p>
        </w:tc>
        <w:tc>
          <w:tcPr>
            <w:tcW w:w="845" w:type="dxa"/>
            <w:tcBorders>
              <w:tl2br w:val="nil"/>
              <w:tr2bl w:val="nil"/>
            </w:tcBorders>
            <w:shd w:val="clear" w:color="000000" w:fill="FFFFFF"/>
            <w:vAlign w:val="center"/>
          </w:tcPr>
          <w:p w14:paraId="7FBB32FA">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5</w:t>
            </w:r>
          </w:p>
        </w:tc>
        <w:tc>
          <w:tcPr>
            <w:tcW w:w="977" w:type="dxa"/>
            <w:tcBorders>
              <w:tl2br w:val="nil"/>
              <w:tr2bl w:val="nil"/>
            </w:tcBorders>
            <w:shd w:val="clear" w:color="000000" w:fill="FFFFFF"/>
            <w:vAlign w:val="center"/>
          </w:tcPr>
          <w:p w14:paraId="5296AEF6">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100%</w:t>
            </w:r>
          </w:p>
        </w:tc>
      </w:tr>
      <w:tr w14:paraId="0C372F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2D76B6C9">
            <w:pPr>
              <w:widowControl/>
              <w:ind w:firstLine="0" w:firstLineChars="0"/>
              <w:jc w:val="center"/>
              <w:rPr>
                <w:rFonts w:ascii="Times New Roman" w:hAnsi="Times New Roman" w:cs="Times New Roman"/>
                <w:color w:val="auto"/>
                <w:kern w:val="0"/>
                <w:sz w:val="22"/>
                <w:highlight w:val="none"/>
              </w:rPr>
            </w:pPr>
          </w:p>
        </w:tc>
        <w:tc>
          <w:tcPr>
            <w:tcW w:w="1865" w:type="dxa"/>
            <w:vMerge w:val="continue"/>
            <w:tcBorders>
              <w:tl2br w:val="nil"/>
              <w:tr2bl w:val="nil"/>
            </w:tcBorders>
            <w:shd w:val="clear" w:color="auto" w:fill="FFFFFF"/>
            <w:vAlign w:val="center"/>
          </w:tcPr>
          <w:p w14:paraId="52BD94BB">
            <w:pPr>
              <w:widowControl/>
              <w:ind w:firstLine="0" w:firstLineChars="0"/>
              <w:jc w:val="center"/>
              <w:rPr>
                <w:rFonts w:ascii="Times New Roman" w:hAnsi="Times New Roman" w:cs="Times New Roman"/>
                <w:color w:val="auto"/>
                <w:kern w:val="0"/>
                <w:sz w:val="22"/>
                <w:highlight w:val="none"/>
              </w:rPr>
            </w:pPr>
          </w:p>
        </w:tc>
        <w:tc>
          <w:tcPr>
            <w:tcW w:w="2533" w:type="dxa"/>
            <w:tcBorders>
              <w:tl2br w:val="nil"/>
              <w:tr2bl w:val="nil"/>
            </w:tcBorders>
            <w:shd w:val="clear" w:color="auto" w:fill="FFFFFF"/>
            <w:vAlign w:val="center"/>
          </w:tcPr>
          <w:p w14:paraId="23A0908D">
            <w:pPr>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运转类公用经费项目</w:t>
            </w:r>
          </w:p>
        </w:tc>
        <w:tc>
          <w:tcPr>
            <w:tcW w:w="844" w:type="dxa"/>
            <w:tcBorders>
              <w:tl2br w:val="nil"/>
              <w:tr2bl w:val="nil"/>
            </w:tcBorders>
            <w:shd w:val="clear" w:color="000000" w:fill="FFFFFF"/>
            <w:vAlign w:val="center"/>
          </w:tcPr>
          <w:p w14:paraId="174180B2">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5</w:t>
            </w:r>
          </w:p>
        </w:tc>
        <w:tc>
          <w:tcPr>
            <w:tcW w:w="845" w:type="dxa"/>
            <w:tcBorders>
              <w:tl2br w:val="nil"/>
              <w:tr2bl w:val="nil"/>
            </w:tcBorders>
            <w:shd w:val="clear" w:color="000000" w:fill="FFFFFF"/>
            <w:vAlign w:val="center"/>
          </w:tcPr>
          <w:p w14:paraId="4ADB5B9F">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5</w:t>
            </w:r>
          </w:p>
        </w:tc>
        <w:tc>
          <w:tcPr>
            <w:tcW w:w="977" w:type="dxa"/>
            <w:tcBorders>
              <w:tl2br w:val="nil"/>
              <w:tr2bl w:val="nil"/>
            </w:tcBorders>
            <w:shd w:val="clear" w:color="000000" w:fill="FFFFFF"/>
            <w:vAlign w:val="center"/>
          </w:tcPr>
          <w:p w14:paraId="0E86D57F">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100%</w:t>
            </w:r>
          </w:p>
        </w:tc>
      </w:tr>
      <w:tr w14:paraId="0B3F6C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4" w:hRule="atLeast"/>
          <w:jc w:val="center"/>
        </w:trPr>
        <w:tc>
          <w:tcPr>
            <w:tcW w:w="1458" w:type="dxa"/>
            <w:tcBorders>
              <w:tl2br w:val="nil"/>
              <w:tr2bl w:val="nil"/>
            </w:tcBorders>
            <w:shd w:val="clear" w:color="auto" w:fill="FFFFFF"/>
            <w:vAlign w:val="center"/>
          </w:tcPr>
          <w:p w14:paraId="1DBF5305">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效益</w:t>
            </w:r>
          </w:p>
        </w:tc>
        <w:tc>
          <w:tcPr>
            <w:tcW w:w="1865" w:type="dxa"/>
            <w:tcBorders>
              <w:tl2br w:val="nil"/>
              <w:tr2bl w:val="nil"/>
            </w:tcBorders>
            <w:shd w:val="clear" w:color="auto" w:fill="FFFFFF"/>
            <w:vAlign w:val="center"/>
          </w:tcPr>
          <w:p w14:paraId="3A7EEA20">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社会效益指标</w:t>
            </w:r>
          </w:p>
        </w:tc>
        <w:tc>
          <w:tcPr>
            <w:tcW w:w="2533" w:type="dxa"/>
            <w:tcBorders>
              <w:tl2br w:val="nil"/>
              <w:tr2bl w:val="nil"/>
            </w:tcBorders>
            <w:shd w:val="clear" w:color="auto" w:fill="FFFFFF"/>
            <w:vAlign w:val="center"/>
          </w:tcPr>
          <w:p w14:paraId="75B851DD">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提高办公效率</w:t>
            </w:r>
          </w:p>
        </w:tc>
        <w:tc>
          <w:tcPr>
            <w:tcW w:w="844" w:type="dxa"/>
            <w:tcBorders>
              <w:tl2br w:val="nil"/>
              <w:tr2bl w:val="nil"/>
            </w:tcBorders>
            <w:shd w:val="clear" w:color="auto" w:fill="FFFFFF"/>
            <w:vAlign w:val="center"/>
          </w:tcPr>
          <w:p w14:paraId="17503F5F">
            <w:pPr>
              <w:ind w:firstLine="220" w:firstLineChars="100"/>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1</w:t>
            </w:r>
            <w:r>
              <w:rPr>
                <w:rFonts w:hint="eastAsia" w:ascii="Times New Roman" w:hAnsi="Times New Roman" w:cs="Times New Roman"/>
                <w:color w:val="auto"/>
                <w:kern w:val="0"/>
                <w:sz w:val="22"/>
                <w:highlight w:val="none"/>
              </w:rPr>
              <w:t>0</w:t>
            </w:r>
          </w:p>
        </w:tc>
        <w:tc>
          <w:tcPr>
            <w:tcW w:w="845" w:type="dxa"/>
            <w:tcBorders>
              <w:tl2br w:val="nil"/>
              <w:tr2bl w:val="nil"/>
            </w:tcBorders>
            <w:shd w:val="clear" w:color="auto" w:fill="FFFFFF"/>
            <w:vAlign w:val="center"/>
          </w:tcPr>
          <w:p w14:paraId="2F84668F">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w:t>
            </w:r>
          </w:p>
        </w:tc>
        <w:tc>
          <w:tcPr>
            <w:tcW w:w="977" w:type="dxa"/>
            <w:tcBorders>
              <w:tl2br w:val="nil"/>
              <w:tr2bl w:val="nil"/>
            </w:tcBorders>
            <w:shd w:val="clear" w:color="auto" w:fill="FFFFFF"/>
            <w:vAlign w:val="center"/>
          </w:tcPr>
          <w:p w14:paraId="32B6404A">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100%</w:t>
            </w:r>
          </w:p>
        </w:tc>
      </w:tr>
    </w:tbl>
    <w:p w14:paraId="1116DE99">
      <w:pPr>
        <w:spacing w:line="540" w:lineRule="exact"/>
        <w:ind w:firstLine="567"/>
        <w:rPr>
          <w:rStyle w:val="19"/>
          <w:rFonts w:hint="eastAsia" w:ascii="楷体" w:hAnsi="楷体" w:eastAsia="楷体"/>
          <w:b w:val="0"/>
          <w:bCs w:val="0"/>
          <w:spacing w:val="-4"/>
          <w:sz w:val="32"/>
          <w:szCs w:val="32"/>
          <w:lang w:eastAsia="zh-CN"/>
        </w:rPr>
      </w:pPr>
    </w:p>
    <w:p w14:paraId="300557F2">
      <w:pPr>
        <w:spacing w:line="540" w:lineRule="exact"/>
        <w:ind w:firstLine="567"/>
        <w:rPr>
          <w:rStyle w:val="19"/>
          <w:rFonts w:hint="eastAsia" w:ascii="楷体" w:hAnsi="楷体" w:eastAsia="楷体"/>
          <w:b w:val="0"/>
          <w:bCs w:val="0"/>
          <w:spacing w:val="-4"/>
          <w:sz w:val="32"/>
          <w:szCs w:val="32"/>
          <w:lang w:eastAsia="zh-CN"/>
        </w:rPr>
      </w:pPr>
    </w:p>
    <w:p w14:paraId="354263FF">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（二）主要绩效</w:t>
      </w:r>
    </w:p>
    <w:p w14:paraId="434A38CD">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该项目资金区财政及时拨付，单位在此次评价期间内，有序完成设定目标的工作任务，公园运行费用主要为保障水磨沟区公园内林地绿化、灌溉、养护、卫生保洁保绿，公园水电费支出；安保费用是为游客提供惬意舒心的游园环境，保障游客旅游安全，改善园内人防、物防、技防条件，提高公园安全防范水平而产生的；后勤费用支出是为创建文明公园、园林城市，使生态环境得到改善和提高而产生的；每月及时发放的安保人员工资也保障了安保人员的生活。</w:t>
      </w:r>
    </w:p>
    <w:p w14:paraId="0D8FF8E3">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2364365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4D5A8E3F">
      <w:pPr>
        <w:tabs>
          <w:tab w:val="center" w:pos="4295"/>
        </w:tabs>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项目决算指标由3个二级指标和6个三级指标构成，权重为20分，实际得分20分。</w:t>
      </w:r>
    </w:p>
    <w:p w14:paraId="10774128">
      <w:pPr>
        <w:tabs>
          <w:tab w:val="center" w:pos="4295"/>
        </w:tabs>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1. 项目立项</w:t>
      </w:r>
    </w:p>
    <w:p w14:paraId="42EE9077">
      <w:pPr>
        <w:tabs>
          <w:tab w:val="center" w:pos="4295"/>
        </w:tabs>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立项依据充分性：项目立项符合《财政部关于严格规范地方财政暂付性款项管理的通知》（财办〔2018〕41号）相关规定，同时，项目与水磨沟公园部门职责范围相符，属于水磨沟公园部门履职所需。此外，本项目属于区本级财政支持范围，符合中央、地方事权支出责任划分原则。因此，立项依据充分，得4分。</w:t>
      </w:r>
    </w:p>
    <w:p w14:paraId="6C02AC8B">
      <w:pPr>
        <w:tabs>
          <w:tab w:val="center" w:pos="4295"/>
        </w:tabs>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立项程序规范性:严格执行《财政部关于严格规范地方财政暂付性款项管理的通知》（财办〔2018〕41号）和《财政总预算会计制度》相关规定，准确核算预拨经费、借出款项和其他应收款。通过硬化预算执行约束、严格财政借款条件、完善借款审批程序，严格控制暂付款新增规模，逐步消化暂付款存量，项目按照规定的程序申请设立，审批文件、材料符合相关要求，故立项程序规范，得4分。</w:t>
      </w:r>
    </w:p>
    <w:p w14:paraId="21D71088">
      <w:pPr>
        <w:tabs>
          <w:tab w:val="center" w:pos="4295"/>
        </w:tabs>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综上，该指标满分8分，得分4分。</w:t>
      </w:r>
    </w:p>
    <w:p w14:paraId="2E8A9C24">
      <w:pPr>
        <w:tabs>
          <w:tab w:val="center" w:pos="4295"/>
        </w:tabs>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2. 绩效目标</w:t>
      </w:r>
    </w:p>
    <w:p w14:paraId="38FC25E1">
      <w:pPr>
        <w:tabs>
          <w:tab w:val="center" w:pos="4295"/>
        </w:tabs>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绩效目标合理性：本项目的绩效目标按照产出和效益构建绩效评价指标，且具有明确性、可衡量性、可实现性、相关性和时限性等特点，能较为全面地反映本项目的产出和效益，故绩效目标合理性指标得分3分。</w:t>
      </w:r>
    </w:p>
    <w:p w14:paraId="22995636">
      <w:pPr>
        <w:tabs>
          <w:tab w:val="center" w:pos="4295"/>
        </w:tabs>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绩效目标明确性：其中，目标已细化为具体的绩效指标，发放人数</w:t>
      </w:r>
      <w:r>
        <w:rPr>
          <w:rStyle w:val="19"/>
          <w:rFonts w:hint="eastAsia" w:ascii="楷体" w:hAnsi="楷体" w:eastAsia="楷体"/>
          <w:b w:val="0"/>
          <w:bCs w:val="0"/>
          <w:spacing w:val="-4"/>
          <w:sz w:val="32"/>
          <w:szCs w:val="32"/>
          <w:lang w:eastAsia="zh-CN"/>
        </w:rPr>
        <w:t>、</w:t>
      </w:r>
      <w:r>
        <w:rPr>
          <w:rStyle w:val="19"/>
          <w:rFonts w:hint="eastAsia" w:ascii="楷体" w:hAnsi="楷体" w:eastAsia="楷体"/>
          <w:b w:val="0"/>
          <w:bCs w:val="0"/>
          <w:spacing w:val="-4"/>
          <w:sz w:val="32"/>
          <w:szCs w:val="32"/>
        </w:rPr>
        <w:t>发放次数</w:t>
      </w:r>
      <w:r>
        <w:rPr>
          <w:rStyle w:val="19"/>
          <w:rFonts w:hint="eastAsia" w:ascii="楷体" w:hAnsi="楷体" w:eastAsia="楷体"/>
          <w:b w:val="0"/>
          <w:bCs w:val="0"/>
          <w:spacing w:val="-4"/>
          <w:sz w:val="32"/>
          <w:szCs w:val="32"/>
          <w:lang w:eastAsia="zh-CN"/>
        </w:rPr>
        <w:t>、</w:t>
      </w:r>
      <w:r>
        <w:rPr>
          <w:rStyle w:val="19"/>
          <w:rFonts w:hint="eastAsia" w:ascii="楷体" w:hAnsi="楷体" w:eastAsia="楷体"/>
          <w:b w:val="0"/>
          <w:bCs w:val="0"/>
          <w:spacing w:val="-4"/>
          <w:sz w:val="32"/>
          <w:szCs w:val="32"/>
        </w:rPr>
        <w:t>支付准确率</w:t>
      </w:r>
      <w:r>
        <w:rPr>
          <w:rStyle w:val="19"/>
          <w:rFonts w:hint="eastAsia" w:ascii="楷体" w:hAnsi="楷体" w:eastAsia="楷体"/>
          <w:b w:val="0"/>
          <w:bCs w:val="0"/>
          <w:spacing w:val="-4"/>
          <w:sz w:val="32"/>
          <w:szCs w:val="32"/>
          <w:lang w:eastAsia="zh-CN"/>
        </w:rPr>
        <w:t>、</w:t>
      </w:r>
      <w:r>
        <w:rPr>
          <w:rStyle w:val="19"/>
          <w:rFonts w:hint="eastAsia" w:ascii="楷体" w:hAnsi="楷体" w:eastAsia="楷体"/>
          <w:b w:val="0"/>
          <w:bCs w:val="0"/>
          <w:spacing w:val="-4"/>
          <w:sz w:val="32"/>
          <w:szCs w:val="32"/>
        </w:rPr>
        <w:t>资金支付及时率</w:t>
      </w:r>
      <w:r>
        <w:rPr>
          <w:rStyle w:val="19"/>
          <w:rFonts w:hint="eastAsia" w:ascii="楷体" w:hAnsi="楷体" w:eastAsia="楷体"/>
          <w:b w:val="0"/>
          <w:bCs w:val="0"/>
          <w:spacing w:val="-4"/>
          <w:sz w:val="32"/>
          <w:szCs w:val="32"/>
          <w:lang w:eastAsia="zh-CN"/>
        </w:rPr>
        <w:t>、</w:t>
      </w:r>
      <w:r>
        <w:rPr>
          <w:rStyle w:val="19"/>
          <w:rFonts w:hint="eastAsia" w:ascii="楷体" w:hAnsi="楷体" w:eastAsia="楷体"/>
          <w:b w:val="0"/>
          <w:bCs w:val="0"/>
          <w:spacing w:val="-4"/>
          <w:sz w:val="32"/>
          <w:szCs w:val="32"/>
        </w:rPr>
        <w:t>南湖广场市级公岗保洁员绩效工资经费</w:t>
      </w:r>
      <w:r>
        <w:rPr>
          <w:rStyle w:val="19"/>
          <w:rFonts w:hint="eastAsia" w:ascii="楷体" w:hAnsi="楷体" w:eastAsia="楷体"/>
          <w:b w:val="0"/>
          <w:bCs w:val="0"/>
          <w:spacing w:val="-4"/>
          <w:sz w:val="32"/>
          <w:szCs w:val="32"/>
        </w:rPr>
        <w:tab/>
      </w:r>
      <w:r>
        <w:rPr>
          <w:rStyle w:val="19"/>
          <w:rFonts w:hint="eastAsia" w:ascii="楷体" w:hAnsi="楷体" w:eastAsia="楷体"/>
          <w:b w:val="0"/>
          <w:bCs w:val="0"/>
          <w:spacing w:val="-4"/>
          <w:sz w:val="32"/>
          <w:szCs w:val="32"/>
          <w:lang w:eastAsia="zh-CN"/>
        </w:rPr>
        <w:t>、</w:t>
      </w:r>
      <w:r>
        <w:rPr>
          <w:rStyle w:val="19"/>
          <w:rFonts w:hint="eastAsia" w:ascii="楷体" w:hAnsi="楷体" w:eastAsia="楷体"/>
          <w:b w:val="0"/>
          <w:bCs w:val="0"/>
          <w:spacing w:val="-4"/>
          <w:sz w:val="32"/>
          <w:szCs w:val="32"/>
        </w:rPr>
        <w:t>南湖广场安保人员外包经费</w:t>
      </w:r>
      <w:r>
        <w:rPr>
          <w:rStyle w:val="19"/>
          <w:rFonts w:hint="eastAsia" w:ascii="楷体" w:hAnsi="楷体" w:eastAsia="楷体"/>
          <w:b w:val="0"/>
          <w:bCs w:val="0"/>
          <w:spacing w:val="-4"/>
          <w:sz w:val="32"/>
          <w:szCs w:val="32"/>
          <w:lang w:eastAsia="zh-CN"/>
        </w:rPr>
        <w:t>、</w:t>
      </w:r>
      <w:r>
        <w:rPr>
          <w:rStyle w:val="19"/>
          <w:rFonts w:hint="eastAsia" w:ascii="楷体" w:hAnsi="楷体" w:eastAsia="楷体"/>
          <w:b w:val="0"/>
          <w:bCs w:val="0"/>
          <w:spacing w:val="-4"/>
          <w:sz w:val="32"/>
          <w:szCs w:val="32"/>
        </w:rPr>
        <w:t>市场化养护经费</w:t>
      </w:r>
      <w:r>
        <w:rPr>
          <w:rStyle w:val="19"/>
          <w:rFonts w:hint="eastAsia" w:ascii="楷体" w:hAnsi="楷体" w:eastAsia="楷体"/>
          <w:b w:val="0"/>
          <w:bCs w:val="0"/>
          <w:spacing w:val="-4"/>
          <w:sz w:val="32"/>
          <w:szCs w:val="32"/>
          <w:lang w:eastAsia="zh-CN"/>
        </w:rPr>
        <w:t>、</w:t>
      </w:r>
      <w:r>
        <w:rPr>
          <w:rStyle w:val="19"/>
          <w:rFonts w:hint="eastAsia" w:ascii="楷体" w:hAnsi="楷体" w:eastAsia="楷体"/>
          <w:b w:val="0"/>
          <w:bCs w:val="0"/>
          <w:spacing w:val="-4"/>
          <w:sz w:val="32"/>
          <w:szCs w:val="32"/>
        </w:rPr>
        <w:t>运转类公用经费项目</w:t>
      </w:r>
      <w:r>
        <w:rPr>
          <w:rStyle w:val="19"/>
          <w:rFonts w:hint="eastAsia" w:ascii="楷体" w:hAnsi="楷体" w:eastAsia="楷体"/>
          <w:b w:val="0"/>
          <w:bCs w:val="0"/>
          <w:spacing w:val="-4"/>
          <w:sz w:val="32"/>
          <w:szCs w:val="32"/>
          <w:lang w:eastAsia="zh-CN"/>
        </w:rPr>
        <w:t>、</w:t>
      </w:r>
      <w:r>
        <w:rPr>
          <w:rStyle w:val="19"/>
          <w:rFonts w:hint="eastAsia" w:ascii="楷体" w:hAnsi="楷体" w:eastAsia="楷体"/>
          <w:b w:val="0"/>
          <w:bCs w:val="0"/>
          <w:spacing w:val="-4"/>
          <w:sz w:val="32"/>
          <w:szCs w:val="32"/>
        </w:rPr>
        <w:t>提高办公效率</w:t>
      </w:r>
      <w:r>
        <w:rPr>
          <w:rStyle w:val="19"/>
          <w:rFonts w:hint="eastAsia" w:ascii="楷体" w:hAnsi="楷体" w:eastAsia="楷体"/>
          <w:b w:val="0"/>
          <w:bCs w:val="0"/>
          <w:spacing w:val="-4"/>
          <w:sz w:val="32"/>
          <w:szCs w:val="32"/>
          <w:lang w:eastAsia="zh-CN"/>
        </w:rPr>
        <w:t>，</w:t>
      </w:r>
      <w:r>
        <w:rPr>
          <w:rStyle w:val="19"/>
          <w:rFonts w:hint="eastAsia" w:ascii="楷体" w:hAnsi="楷体" w:eastAsia="楷体"/>
          <w:b w:val="0"/>
          <w:bCs w:val="0"/>
          <w:spacing w:val="-4"/>
          <w:sz w:val="32"/>
          <w:szCs w:val="32"/>
        </w:rPr>
        <w:t>可通过</w:t>
      </w:r>
      <w:r>
        <w:rPr>
          <w:rStyle w:val="19"/>
          <w:rFonts w:hint="eastAsia" w:ascii="楷体" w:hAnsi="楷体" w:eastAsia="楷体"/>
          <w:b w:val="0"/>
          <w:bCs w:val="0"/>
          <w:spacing w:val="-4"/>
          <w:sz w:val="32"/>
          <w:szCs w:val="32"/>
          <w:lang w:eastAsia="zh-CN"/>
        </w:rPr>
        <w:t>“</w:t>
      </w:r>
      <w:r>
        <w:rPr>
          <w:rStyle w:val="19"/>
          <w:rFonts w:hint="eastAsia" w:ascii="楷体" w:hAnsi="楷体" w:eastAsia="楷体"/>
          <w:b w:val="0"/>
          <w:bCs w:val="0"/>
          <w:spacing w:val="-4"/>
          <w:sz w:val="32"/>
          <w:szCs w:val="32"/>
        </w:rPr>
        <w:t>发放人数</w:t>
      </w:r>
      <w:r>
        <w:rPr>
          <w:rStyle w:val="19"/>
          <w:rFonts w:hint="eastAsia" w:ascii="楷体" w:hAnsi="楷体" w:eastAsia="楷体"/>
          <w:b w:val="0"/>
          <w:bCs w:val="0"/>
          <w:spacing w:val="-4"/>
          <w:sz w:val="32"/>
          <w:szCs w:val="32"/>
          <w:lang w:eastAsia="zh-CN"/>
        </w:rPr>
        <w:t>”、“</w:t>
      </w:r>
      <w:r>
        <w:rPr>
          <w:rStyle w:val="19"/>
          <w:rFonts w:hint="eastAsia" w:ascii="楷体" w:hAnsi="楷体" w:eastAsia="楷体"/>
          <w:b w:val="0"/>
          <w:bCs w:val="0"/>
          <w:spacing w:val="-4"/>
          <w:sz w:val="32"/>
          <w:szCs w:val="32"/>
        </w:rPr>
        <w:t>发放次数</w:t>
      </w:r>
      <w:r>
        <w:rPr>
          <w:rStyle w:val="19"/>
          <w:rFonts w:hint="eastAsia" w:ascii="楷体" w:hAnsi="楷体" w:eastAsia="楷体"/>
          <w:b w:val="0"/>
          <w:bCs w:val="0"/>
          <w:spacing w:val="-4"/>
          <w:sz w:val="32"/>
          <w:szCs w:val="32"/>
          <w:lang w:eastAsia="zh-CN"/>
        </w:rPr>
        <w:t>”</w:t>
      </w:r>
      <w:r>
        <w:rPr>
          <w:rStyle w:val="19"/>
          <w:rFonts w:hint="eastAsia" w:ascii="楷体" w:hAnsi="楷体" w:eastAsia="楷体"/>
          <w:b w:val="0"/>
          <w:bCs w:val="0"/>
          <w:spacing w:val="-4"/>
          <w:sz w:val="32"/>
          <w:szCs w:val="32"/>
        </w:rPr>
        <w:t>数量指标，“支付准确率”质量指标，“资金支付及时率”时效指标和“南湖广场市级公岗保洁员绩效工资经费</w:t>
      </w:r>
      <w:r>
        <w:rPr>
          <w:rStyle w:val="19"/>
          <w:rFonts w:hint="eastAsia" w:ascii="楷体" w:hAnsi="楷体" w:eastAsia="楷体"/>
          <w:b w:val="0"/>
          <w:bCs w:val="0"/>
          <w:spacing w:val="-4"/>
          <w:sz w:val="32"/>
          <w:szCs w:val="32"/>
        </w:rPr>
        <w:tab/>
      </w:r>
      <w:r>
        <w:rPr>
          <w:rStyle w:val="19"/>
          <w:rFonts w:hint="eastAsia" w:ascii="楷体" w:hAnsi="楷体" w:eastAsia="楷体"/>
          <w:b w:val="0"/>
          <w:bCs w:val="0"/>
          <w:spacing w:val="-4"/>
          <w:sz w:val="32"/>
          <w:szCs w:val="32"/>
        </w:rPr>
        <w:t>”、“南湖广场安保人员外包经费”、“市场化养护经费”、“运转类公用经费”成本指标予以量化，并具有确切的评价标准，且指标设定均与目标相关。各项指标均能在现实条件下收集到相关数据进行佐证，资料来源2022年会计账簿、会计凭证，并与当年项目年度计划相对应，故绩效目标明确性指标得分3分。</w:t>
      </w:r>
    </w:p>
    <w:p w14:paraId="5563585F">
      <w:pPr>
        <w:tabs>
          <w:tab w:val="center" w:pos="4295"/>
        </w:tabs>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综上，该指标满分6分，得分6分。</w:t>
      </w:r>
    </w:p>
    <w:p w14:paraId="79B9700C">
      <w:pPr>
        <w:tabs>
          <w:tab w:val="center" w:pos="4295"/>
        </w:tabs>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3. 资金投入</w:t>
      </w:r>
    </w:p>
    <w:p w14:paraId="06C7B4F4">
      <w:pPr>
        <w:tabs>
          <w:tab w:val="center" w:pos="4295"/>
        </w:tabs>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预算编制科学性：根据《财政总预算会计制度》，本单位预算编制基于组织的长远目标和战略规划，确保各项支出与组织的发展方向一致，利用历史数据来预测未来的收入和支出，使预算更加贴近实际情况，涵盖了组织所有关键领域和活动，并且对每一项支出都有明确的说明和合理的依据。故预算编制科学性指标得分3分。</w:t>
      </w:r>
    </w:p>
    <w:p w14:paraId="69BE028F">
      <w:pPr>
        <w:tabs>
          <w:tab w:val="center" w:pos="4295"/>
        </w:tabs>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资金分配合理性：根据自治区财政厅印发《关于进一步加强自治区财政暂付款管理有关事项的通知》（新财库〔2022〕20号），在确保资金分配与组织的整体战略和长期目标保持一致，确保资金分配符合所有相关法律法规和伦理道德标准的情况下，根据组织的总体资金状况和现金流预测，决定可以分配给各个子项目的资金量，资源有限时，优先支持那些能够推动战略实施的关键项目。故资金分配合理性指标得分3分。</w:t>
      </w:r>
    </w:p>
    <w:p w14:paraId="49C78D43">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综上，该指标满分6分，得分6分。</w:t>
      </w:r>
      <w:r>
        <w:rPr>
          <w:rStyle w:val="19"/>
          <w:rFonts w:hint="eastAsia" w:ascii="楷体" w:hAnsi="楷体" w:eastAsia="楷体"/>
          <w:b w:val="0"/>
          <w:bCs w:val="0"/>
          <w:spacing w:val="-4"/>
          <w:sz w:val="32"/>
          <w:szCs w:val="32"/>
        </w:rPr>
        <w:tab/>
      </w:r>
    </w:p>
    <w:p w14:paraId="26EFF7F5">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7E570268">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项目过程指标由2个二级指标和5个三级指标构成，权重为20分，实际得分20分。</w:t>
      </w:r>
    </w:p>
    <w:p w14:paraId="21FAFA7B">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1. 资金管理</w:t>
      </w:r>
    </w:p>
    <w:p w14:paraId="43365ECA">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资金到位率：该项目资金由乌鲁木齐市水磨沟区财政拨付，共安排预算</w:t>
      </w:r>
      <w:r>
        <w:rPr>
          <w:rStyle w:val="19"/>
          <w:rFonts w:hint="eastAsia" w:ascii="楷体" w:hAnsi="楷体" w:eastAsia="楷体"/>
          <w:b w:val="0"/>
          <w:bCs w:val="0"/>
          <w:spacing w:val="-4"/>
          <w:sz w:val="32"/>
          <w:szCs w:val="32"/>
          <w:lang w:val="en-US" w:eastAsia="zh-CN"/>
        </w:rPr>
        <w:t>564.23</w:t>
      </w:r>
      <w:r>
        <w:rPr>
          <w:rStyle w:val="19"/>
          <w:rFonts w:hint="eastAsia" w:ascii="楷体" w:hAnsi="楷体" w:eastAsia="楷体"/>
          <w:b w:val="0"/>
          <w:bCs w:val="0"/>
          <w:spacing w:val="-4"/>
          <w:sz w:val="32"/>
          <w:szCs w:val="32"/>
        </w:rPr>
        <w:t>万元，资金到位</w:t>
      </w:r>
      <w:r>
        <w:rPr>
          <w:rStyle w:val="19"/>
          <w:rFonts w:hint="eastAsia" w:ascii="楷体" w:hAnsi="楷体" w:eastAsia="楷体"/>
          <w:b w:val="0"/>
          <w:bCs w:val="0"/>
          <w:spacing w:val="-4"/>
          <w:sz w:val="32"/>
          <w:szCs w:val="32"/>
          <w:lang w:val="en-US" w:eastAsia="zh-CN"/>
        </w:rPr>
        <w:t>564.23</w:t>
      </w:r>
      <w:r>
        <w:rPr>
          <w:rStyle w:val="19"/>
          <w:rFonts w:hint="eastAsia" w:ascii="楷体" w:hAnsi="楷体" w:eastAsia="楷体"/>
          <w:b w:val="0"/>
          <w:bCs w:val="0"/>
          <w:spacing w:val="-4"/>
          <w:sz w:val="32"/>
          <w:szCs w:val="32"/>
        </w:rPr>
        <w:t>万元，涉及项目金额已全在2022年支付完成，资金到位率100%。故资金到位率指标得分5分。</w:t>
      </w:r>
    </w:p>
    <w:p w14:paraId="103F7D43">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预算执行率：共安排预算</w:t>
      </w:r>
      <w:r>
        <w:rPr>
          <w:rStyle w:val="19"/>
          <w:rFonts w:hint="eastAsia" w:ascii="楷体" w:hAnsi="楷体" w:eastAsia="楷体"/>
          <w:b w:val="0"/>
          <w:bCs w:val="0"/>
          <w:spacing w:val="-4"/>
          <w:sz w:val="32"/>
          <w:szCs w:val="32"/>
          <w:lang w:val="en-US" w:eastAsia="zh-CN"/>
        </w:rPr>
        <w:t>564.23</w:t>
      </w:r>
      <w:r>
        <w:rPr>
          <w:rStyle w:val="19"/>
          <w:rFonts w:hint="eastAsia" w:ascii="楷体" w:hAnsi="楷体" w:eastAsia="楷体"/>
          <w:b w:val="0"/>
          <w:bCs w:val="0"/>
          <w:spacing w:val="-4"/>
          <w:sz w:val="32"/>
          <w:szCs w:val="32"/>
        </w:rPr>
        <w:t>万元，资金执行金额</w:t>
      </w:r>
      <w:r>
        <w:rPr>
          <w:rStyle w:val="19"/>
          <w:rFonts w:hint="eastAsia" w:ascii="楷体" w:hAnsi="楷体" w:eastAsia="楷体"/>
          <w:b w:val="0"/>
          <w:bCs w:val="0"/>
          <w:spacing w:val="-4"/>
          <w:sz w:val="32"/>
          <w:szCs w:val="32"/>
          <w:lang w:val="en-US" w:eastAsia="zh-CN"/>
        </w:rPr>
        <w:t>564.23</w:t>
      </w:r>
      <w:r>
        <w:rPr>
          <w:rStyle w:val="19"/>
          <w:rFonts w:hint="eastAsia" w:ascii="楷体" w:hAnsi="楷体" w:eastAsia="楷体"/>
          <w:b w:val="0"/>
          <w:bCs w:val="0"/>
          <w:spacing w:val="-4"/>
          <w:sz w:val="32"/>
          <w:szCs w:val="32"/>
        </w:rPr>
        <w:t>万元，资金执行率100%。①南湖广场市级公岗保洁员绩效工资，②南湖广场安保人员外包经费，③</w:t>
      </w:r>
      <w:r>
        <w:rPr>
          <w:rStyle w:val="19"/>
          <w:rFonts w:hint="eastAsia" w:ascii="楷体" w:hAnsi="楷体" w:eastAsia="楷体"/>
          <w:b w:val="0"/>
          <w:bCs w:val="0"/>
          <w:spacing w:val="-4"/>
          <w:sz w:val="32"/>
          <w:szCs w:val="32"/>
          <w:lang w:eastAsia="zh-CN"/>
        </w:rPr>
        <w:t>市场化养护经费</w:t>
      </w:r>
      <w:r>
        <w:rPr>
          <w:rStyle w:val="19"/>
          <w:rFonts w:hint="eastAsia" w:ascii="楷体" w:hAnsi="楷体" w:eastAsia="楷体"/>
          <w:b w:val="0"/>
          <w:bCs w:val="0"/>
          <w:spacing w:val="-4"/>
          <w:sz w:val="32"/>
          <w:szCs w:val="32"/>
        </w:rPr>
        <w:t>，④</w:t>
      </w:r>
      <w:r>
        <w:rPr>
          <w:rStyle w:val="19"/>
          <w:rFonts w:hint="eastAsia" w:ascii="楷体" w:hAnsi="楷体" w:eastAsia="楷体"/>
          <w:b w:val="0"/>
          <w:bCs w:val="0"/>
          <w:spacing w:val="-4"/>
          <w:sz w:val="32"/>
          <w:szCs w:val="32"/>
          <w:lang w:eastAsia="zh-CN"/>
        </w:rPr>
        <w:t>运转类公用经费项目</w:t>
      </w:r>
      <w:r>
        <w:rPr>
          <w:rStyle w:val="19"/>
          <w:rFonts w:hint="eastAsia" w:ascii="楷体" w:hAnsi="楷体" w:eastAsia="楷体"/>
          <w:b w:val="0"/>
          <w:bCs w:val="0"/>
          <w:spacing w:val="-4"/>
          <w:sz w:val="32"/>
          <w:szCs w:val="32"/>
        </w:rPr>
        <w:t>。故预算执行率得分为5分。</w:t>
      </w:r>
    </w:p>
    <w:p w14:paraId="205EB100">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资金使用合规性：本项目资金的使用符合水磨沟公园支出管理内部控制制度。同时，资金划转、结算(支付)事项应明确责任、划分权限实行分档审批重大资金划转、结算(支付)事项，应通过领导集体研究决定，避免资金管理权限过于集中，单位的一切资金划转、结算(支付)事项由一个人说了算的“家长式”管理模式。做到不存在截留、挤占、挪用、虚列支出等情况。故资金使用合规性得分为3分。</w:t>
      </w:r>
    </w:p>
    <w:p w14:paraId="0119EEEC">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综上，该指标满分13分，得分13分。</w:t>
      </w:r>
    </w:p>
    <w:p w14:paraId="41154104">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2. 组织实施</w:t>
      </w:r>
    </w:p>
    <w:p w14:paraId="75B87A6D">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管理制度健全性：乌鲁木齐市水磨沟公园已制定相应的支出管理内部控制制度和财务预算管理制度，且制度合法、合规、完整，为项目顺利实施提供重要保障。故管理制度健全性得分为3分。</w:t>
      </w:r>
    </w:p>
    <w:p w14:paraId="789E201A">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制度执行有效性：根据评价小组核查情况，乌鲁木齐市水磨沟公园严格遵守相关法律法规和相关管理规定，项目调整及支出调整手续完备，整体管理合理有序，项目完成后，及时将会计凭证、会计账簿等相关资料分类归档，制度执行有效。故制度执行有效性指标得分4分。</w:t>
      </w:r>
    </w:p>
    <w:p w14:paraId="27489C1C">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综上，该指标满分7分，得分7分。</w:t>
      </w:r>
    </w:p>
    <w:p w14:paraId="24A8682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72CE8562">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项目产出指标由</w:t>
      </w:r>
      <w:r>
        <w:rPr>
          <w:rStyle w:val="19"/>
          <w:rFonts w:hint="eastAsia" w:ascii="楷体" w:hAnsi="楷体" w:eastAsia="楷体"/>
          <w:b w:val="0"/>
          <w:bCs w:val="0"/>
          <w:spacing w:val="-4"/>
          <w:sz w:val="32"/>
          <w:szCs w:val="32"/>
          <w:lang w:val="en-US" w:eastAsia="zh-CN"/>
        </w:rPr>
        <w:t>4</w:t>
      </w:r>
      <w:r>
        <w:rPr>
          <w:rStyle w:val="19"/>
          <w:rFonts w:hint="eastAsia" w:ascii="楷体" w:hAnsi="楷体" w:eastAsia="楷体"/>
          <w:b w:val="0"/>
          <w:bCs w:val="0"/>
          <w:spacing w:val="-4"/>
          <w:sz w:val="32"/>
          <w:szCs w:val="32"/>
        </w:rPr>
        <w:t>个二级指标和</w:t>
      </w:r>
      <w:r>
        <w:rPr>
          <w:rStyle w:val="19"/>
          <w:rFonts w:hint="eastAsia" w:ascii="楷体" w:hAnsi="楷体" w:eastAsia="楷体"/>
          <w:b w:val="0"/>
          <w:bCs w:val="0"/>
          <w:spacing w:val="-4"/>
          <w:sz w:val="32"/>
          <w:szCs w:val="32"/>
          <w:lang w:val="en-US" w:eastAsia="zh-CN"/>
        </w:rPr>
        <w:t>8</w:t>
      </w:r>
      <w:r>
        <w:rPr>
          <w:rStyle w:val="19"/>
          <w:rFonts w:hint="eastAsia" w:ascii="楷体" w:hAnsi="楷体" w:eastAsia="楷体"/>
          <w:b w:val="0"/>
          <w:bCs w:val="0"/>
          <w:spacing w:val="-4"/>
          <w:sz w:val="32"/>
          <w:szCs w:val="32"/>
        </w:rPr>
        <w:t>个三级指标构成，权重为50分，实际得分50分。</w:t>
      </w:r>
    </w:p>
    <w:p w14:paraId="07FF733F">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1. 产出数量</w:t>
      </w:r>
    </w:p>
    <w:p w14:paraId="3A58E5C7">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数量指标“发放人数”的目标值是=</w:t>
      </w:r>
      <w:r>
        <w:rPr>
          <w:rStyle w:val="19"/>
          <w:rFonts w:hint="eastAsia" w:ascii="楷体" w:hAnsi="楷体" w:eastAsia="楷体"/>
          <w:b w:val="0"/>
          <w:bCs w:val="0"/>
          <w:spacing w:val="-4"/>
          <w:sz w:val="32"/>
          <w:szCs w:val="32"/>
          <w:lang w:val="en-US" w:eastAsia="zh-CN"/>
        </w:rPr>
        <w:t>100</w:t>
      </w:r>
      <w:r>
        <w:rPr>
          <w:rStyle w:val="19"/>
          <w:rFonts w:hint="eastAsia" w:ascii="楷体" w:hAnsi="楷体" w:eastAsia="楷体"/>
          <w:b w:val="0"/>
          <w:bCs w:val="0"/>
          <w:spacing w:val="-4"/>
          <w:sz w:val="32"/>
          <w:szCs w:val="32"/>
        </w:rPr>
        <w:t>人，我单位实际完成</w:t>
      </w:r>
      <w:r>
        <w:rPr>
          <w:rStyle w:val="19"/>
          <w:rFonts w:hint="eastAsia" w:ascii="楷体" w:hAnsi="楷体" w:eastAsia="楷体"/>
          <w:b w:val="0"/>
          <w:bCs w:val="0"/>
          <w:spacing w:val="-4"/>
          <w:sz w:val="32"/>
          <w:szCs w:val="32"/>
          <w:lang w:val="en-US" w:eastAsia="zh-CN"/>
        </w:rPr>
        <w:t>100</w:t>
      </w:r>
      <w:r>
        <w:rPr>
          <w:rStyle w:val="19"/>
          <w:rFonts w:hint="eastAsia" w:ascii="楷体" w:hAnsi="楷体" w:eastAsia="楷体"/>
          <w:b w:val="0"/>
          <w:bCs w:val="0"/>
          <w:spacing w:val="-4"/>
          <w:sz w:val="32"/>
          <w:szCs w:val="32"/>
        </w:rPr>
        <w:t>人。</w:t>
      </w:r>
    </w:p>
    <w:p w14:paraId="15AD7674">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数量指标“发放次数”的目标值是=12次，我单位实际完成12次。</w:t>
      </w:r>
    </w:p>
    <w:p w14:paraId="693DB98E">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实际完成率：100%，故实际完成率得分为10分。</w:t>
      </w:r>
    </w:p>
    <w:p w14:paraId="60CC3BB6">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2. 产出质量</w:t>
      </w:r>
    </w:p>
    <w:p w14:paraId="5F40FC03">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资金支付及时率：质量指标“资金支付及时率”的目标值</w:t>
      </w:r>
      <w:r>
        <w:rPr>
          <w:rStyle w:val="19"/>
          <w:rFonts w:hint="eastAsia" w:ascii="楷体" w:hAnsi="楷体" w:eastAsia="楷体"/>
          <w:b w:val="0"/>
          <w:bCs w:val="0"/>
          <w:spacing w:val="-4"/>
          <w:sz w:val="32"/>
          <w:szCs w:val="32"/>
          <w:lang w:eastAsia="zh-CN"/>
        </w:rPr>
        <w:t>≥</w:t>
      </w:r>
      <w:r>
        <w:rPr>
          <w:rStyle w:val="19"/>
          <w:rFonts w:hint="eastAsia" w:ascii="楷体" w:hAnsi="楷体" w:eastAsia="楷体"/>
          <w:b w:val="0"/>
          <w:bCs w:val="0"/>
          <w:spacing w:val="-4"/>
          <w:sz w:val="32"/>
          <w:szCs w:val="32"/>
          <w:lang w:val="en-US" w:eastAsia="zh-CN"/>
        </w:rPr>
        <w:t>90</w:t>
      </w:r>
      <w:r>
        <w:rPr>
          <w:rStyle w:val="19"/>
          <w:rFonts w:hint="eastAsia" w:ascii="楷体" w:hAnsi="楷体" w:eastAsia="楷体"/>
          <w:b w:val="0"/>
          <w:bCs w:val="0"/>
          <w:spacing w:val="-4"/>
          <w:sz w:val="32"/>
          <w:szCs w:val="32"/>
        </w:rPr>
        <w:t>%，我单位实际完成值100%</w:t>
      </w:r>
      <w:r>
        <w:rPr>
          <w:rStyle w:val="19"/>
          <w:rFonts w:hint="eastAsia" w:ascii="楷体" w:hAnsi="楷体" w:eastAsia="楷体"/>
          <w:b w:val="0"/>
          <w:bCs w:val="0"/>
          <w:spacing w:val="-4"/>
          <w:sz w:val="32"/>
          <w:szCs w:val="32"/>
          <w:lang w:eastAsia="zh-CN"/>
        </w:rPr>
        <w:t>。</w:t>
      </w:r>
      <w:r>
        <w:rPr>
          <w:rStyle w:val="19"/>
          <w:rFonts w:hint="eastAsia" w:ascii="楷体" w:hAnsi="楷体" w:eastAsia="楷体"/>
          <w:b w:val="0"/>
          <w:bCs w:val="0"/>
          <w:spacing w:val="-4"/>
          <w:sz w:val="32"/>
          <w:szCs w:val="32"/>
        </w:rPr>
        <w:t>我单位每月及时、准确地根据合同约定，及时向主管单位和财政局申请相关款项，并于2022年将资金支付</w:t>
      </w:r>
      <w:r>
        <w:rPr>
          <w:rStyle w:val="19"/>
          <w:rFonts w:hint="eastAsia" w:ascii="楷体" w:hAnsi="楷体" w:eastAsia="楷体"/>
          <w:b w:val="0"/>
          <w:bCs w:val="0"/>
          <w:spacing w:val="-4"/>
          <w:sz w:val="32"/>
          <w:szCs w:val="32"/>
          <w:lang w:eastAsia="zh-CN"/>
        </w:rPr>
        <w:t>完毕</w:t>
      </w:r>
      <w:r>
        <w:rPr>
          <w:rStyle w:val="19"/>
          <w:rFonts w:hint="eastAsia" w:ascii="楷体" w:hAnsi="楷体" w:eastAsia="楷体"/>
          <w:b w:val="0"/>
          <w:bCs w:val="0"/>
          <w:spacing w:val="-4"/>
          <w:sz w:val="32"/>
          <w:szCs w:val="32"/>
        </w:rPr>
        <w:t>。资金支付及时率得分为10分。</w:t>
      </w:r>
    </w:p>
    <w:p w14:paraId="5EDDD3CF">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3. 产出时效</w:t>
      </w:r>
    </w:p>
    <w:p w14:paraId="2146E9A3">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完成及时性：</w:t>
      </w:r>
    </w:p>
    <w:p w14:paraId="6577E519">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其中，支付准确率：目标值是</w:t>
      </w:r>
      <w:r>
        <w:rPr>
          <w:rStyle w:val="19"/>
          <w:rFonts w:hint="eastAsia" w:ascii="楷体" w:hAnsi="楷体" w:eastAsia="楷体"/>
          <w:b w:val="0"/>
          <w:bCs w:val="0"/>
          <w:spacing w:val="-4"/>
          <w:sz w:val="32"/>
          <w:szCs w:val="32"/>
          <w:lang w:val="en-US" w:eastAsia="zh-CN"/>
        </w:rPr>
        <w:t>=100%</w:t>
      </w:r>
      <w:r>
        <w:rPr>
          <w:rStyle w:val="19"/>
          <w:rFonts w:hint="eastAsia" w:ascii="楷体" w:hAnsi="楷体" w:eastAsia="楷体"/>
          <w:b w:val="0"/>
          <w:bCs w:val="0"/>
          <w:spacing w:val="-4"/>
          <w:sz w:val="32"/>
          <w:szCs w:val="32"/>
        </w:rPr>
        <w:t>，我单位实际完成</w:t>
      </w:r>
      <w:r>
        <w:rPr>
          <w:rStyle w:val="19"/>
          <w:rFonts w:hint="eastAsia" w:ascii="楷体" w:hAnsi="楷体" w:eastAsia="楷体"/>
          <w:b w:val="0"/>
          <w:bCs w:val="0"/>
          <w:spacing w:val="-4"/>
          <w:sz w:val="32"/>
          <w:szCs w:val="32"/>
          <w:lang w:val="en-US" w:eastAsia="zh-CN"/>
        </w:rPr>
        <w:t>=100%</w:t>
      </w:r>
      <w:r>
        <w:rPr>
          <w:rStyle w:val="19"/>
          <w:rFonts w:hint="eastAsia" w:ascii="楷体" w:hAnsi="楷体" w:eastAsia="楷体"/>
          <w:b w:val="0"/>
          <w:bCs w:val="0"/>
          <w:spacing w:val="-4"/>
          <w:sz w:val="32"/>
          <w:szCs w:val="32"/>
        </w:rPr>
        <w:t>。已于2022年全部支付</w:t>
      </w:r>
      <w:r>
        <w:rPr>
          <w:rStyle w:val="19"/>
          <w:rFonts w:hint="eastAsia" w:ascii="楷体" w:hAnsi="楷体" w:eastAsia="楷体"/>
          <w:b w:val="0"/>
          <w:bCs w:val="0"/>
          <w:spacing w:val="-4"/>
          <w:sz w:val="32"/>
          <w:szCs w:val="32"/>
          <w:lang w:eastAsia="zh-CN"/>
        </w:rPr>
        <w:t>完成，</w:t>
      </w:r>
      <w:r>
        <w:rPr>
          <w:rStyle w:val="19"/>
          <w:rFonts w:hint="eastAsia" w:ascii="楷体" w:hAnsi="楷体" w:eastAsia="楷体"/>
          <w:b w:val="0"/>
          <w:bCs w:val="0"/>
          <w:spacing w:val="-4"/>
          <w:sz w:val="32"/>
          <w:szCs w:val="32"/>
        </w:rPr>
        <w:t>故完成及时性得分为10分。</w:t>
      </w:r>
    </w:p>
    <w:p w14:paraId="4A9E84A8">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4. 产出成本</w:t>
      </w:r>
    </w:p>
    <w:p w14:paraId="47DA8365">
      <w:pPr>
        <w:spacing w:line="540" w:lineRule="exact"/>
        <w:ind w:firstLine="567"/>
        <w:rPr>
          <w:rStyle w:val="19"/>
          <w:rFonts w:hint="eastAsia" w:ascii="楷体" w:hAnsi="楷体" w:eastAsia="楷体"/>
          <w:b w:val="0"/>
          <w:bCs w:val="0"/>
          <w:spacing w:val="-4"/>
          <w:sz w:val="32"/>
          <w:szCs w:val="32"/>
          <w:highlight w:val="yellow"/>
        </w:rPr>
      </w:pPr>
      <w:r>
        <w:rPr>
          <w:rStyle w:val="19"/>
          <w:rFonts w:hint="eastAsia" w:ascii="楷体" w:hAnsi="楷体" w:eastAsia="楷体"/>
          <w:b w:val="0"/>
          <w:bCs w:val="0"/>
          <w:spacing w:val="-4"/>
          <w:sz w:val="32"/>
          <w:szCs w:val="32"/>
        </w:rPr>
        <w:t xml:space="preserve">项目预算控制率： </w:t>
      </w:r>
    </w:p>
    <w:p w14:paraId="50601C1D">
      <w:pPr>
        <w:spacing w:line="540" w:lineRule="exact"/>
        <w:ind w:firstLine="567"/>
        <w:rPr>
          <w:rStyle w:val="19"/>
          <w:rFonts w:hint="eastAsia" w:ascii="楷体" w:hAnsi="楷体" w:eastAsia="楷体"/>
          <w:b w:val="0"/>
          <w:bCs w:val="0"/>
          <w:spacing w:val="-4"/>
          <w:sz w:val="32"/>
          <w:szCs w:val="32"/>
          <w:highlight w:val="none"/>
          <w:lang w:eastAsia="zh-CN"/>
        </w:rPr>
      </w:pPr>
      <w:r>
        <w:rPr>
          <w:rStyle w:val="19"/>
          <w:rFonts w:hint="eastAsia" w:ascii="楷体" w:hAnsi="楷体" w:eastAsia="楷体"/>
          <w:b w:val="0"/>
          <w:bCs w:val="0"/>
          <w:spacing w:val="-4"/>
          <w:sz w:val="32"/>
          <w:szCs w:val="32"/>
          <w:highlight w:val="none"/>
        </w:rPr>
        <w:t>成本指标“南湖广场市级公岗保洁员绩效工资经费”目标值=5.50万元，我单位实际完成值5.50万元，资金于2022年1-12月支付</w:t>
      </w:r>
      <w:r>
        <w:rPr>
          <w:rStyle w:val="19"/>
          <w:rFonts w:hint="eastAsia" w:ascii="楷体" w:hAnsi="楷体" w:eastAsia="楷体"/>
          <w:b w:val="0"/>
          <w:bCs w:val="0"/>
          <w:spacing w:val="-4"/>
          <w:sz w:val="32"/>
          <w:szCs w:val="32"/>
          <w:highlight w:val="none"/>
          <w:lang w:eastAsia="zh-CN"/>
        </w:rPr>
        <w:t>完成</w:t>
      </w:r>
      <w:r>
        <w:rPr>
          <w:rStyle w:val="19"/>
          <w:rFonts w:hint="eastAsia" w:ascii="楷体" w:hAnsi="楷体" w:eastAsia="楷体"/>
          <w:b w:val="0"/>
          <w:bCs w:val="0"/>
          <w:spacing w:val="-4"/>
          <w:sz w:val="32"/>
          <w:szCs w:val="32"/>
          <w:highlight w:val="none"/>
        </w:rPr>
        <w:t>；</w:t>
      </w:r>
    </w:p>
    <w:p w14:paraId="6134271E">
      <w:pPr>
        <w:spacing w:line="540" w:lineRule="exact"/>
        <w:ind w:firstLine="567"/>
        <w:rPr>
          <w:rStyle w:val="19"/>
          <w:rFonts w:hint="eastAsia" w:ascii="楷体" w:hAnsi="楷体" w:eastAsia="楷体"/>
          <w:b w:val="0"/>
          <w:bCs w:val="0"/>
          <w:spacing w:val="-4"/>
          <w:sz w:val="32"/>
          <w:szCs w:val="32"/>
          <w:highlight w:val="none"/>
          <w:lang w:eastAsia="zh-CN"/>
        </w:rPr>
      </w:pPr>
      <w:r>
        <w:rPr>
          <w:rStyle w:val="19"/>
          <w:rFonts w:hint="eastAsia" w:ascii="楷体" w:hAnsi="楷体" w:eastAsia="楷体"/>
          <w:b w:val="0"/>
          <w:bCs w:val="0"/>
          <w:spacing w:val="-4"/>
          <w:sz w:val="32"/>
          <w:szCs w:val="32"/>
          <w:highlight w:val="none"/>
        </w:rPr>
        <w:t>成本指标“南湖广场安保人员外包经费”目标值=355.61万元，我单位实际完成值=355.61万元，资金于2022年1-12月支付</w:t>
      </w:r>
      <w:r>
        <w:rPr>
          <w:rStyle w:val="19"/>
          <w:rFonts w:hint="eastAsia" w:ascii="楷体" w:hAnsi="楷体" w:eastAsia="楷体"/>
          <w:b w:val="0"/>
          <w:bCs w:val="0"/>
          <w:spacing w:val="-4"/>
          <w:sz w:val="32"/>
          <w:szCs w:val="32"/>
          <w:highlight w:val="none"/>
          <w:lang w:eastAsia="zh-CN"/>
        </w:rPr>
        <w:t>完成</w:t>
      </w:r>
      <w:r>
        <w:rPr>
          <w:rStyle w:val="19"/>
          <w:rFonts w:hint="eastAsia" w:ascii="楷体" w:hAnsi="楷体" w:eastAsia="楷体"/>
          <w:b w:val="0"/>
          <w:bCs w:val="0"/>
          <w:spacing w:val="-4"/>
          <w:sz w:val="32"/>
          <w:szCs w:val="32"/>
          <w:highlight w:val="none"/>
        </w:rPr>
        <w:t>；</w:t>
      </w:r>
    </w:p>
    <w:p w14:paraId="4EB28A8E">
      <w:pPr>
        <w:spacing w:line="540" w:lineRule="exact"/>
        <w:ind w:firstLine="567"/>
        <w:rPr>
          <w:rStyle w:val="19"/>
          <w:rFonts w:hint="eastAsia" w:ascii="楷体" w:hAnsi="楷体" w:eastAsia="楷体"/>
          <w:b w:val="0"/>
          <w:bCs w:val="0"/>
          <w:spacing w:val="-4"/>
          <w:sz w:val="32"/>
          <w:szCs w:val="32"/>
          <w:highlight w:val="none"/>
          <w:lang w:eastAsia="zh-CN"/>
        </w:rPr>
      </w:pPr>
      <w:r>
        <w:rPr>
          <w:rStyle w:val="19"/>
          <w:rFonts w:hint="eastAsia" w:ascii="楷体" w:hAnsi="楷体" w:eastAsia="楷体"/>
          <w:b w:val="0"/>
          <w:bCs w:val="0"/>
          <w:spacing w:val="-4"/>
          <w:sz w:val="32"/>
          <w:szCs w:val="32"/>
          <w:highlight w:val="none"/>
        </w:rPr>
        <w:t>成本指标“市场化养护经费”目标值=141.68万元元，我单位实际完成值141.68万元，资金于2022年1-12月用于支付</w:t>
      </w:r>
      <w:r>
        <w:rPr>
          <w:rStyle w:val="19"/>
          <w:rFonts w:hint="eastAsia" w:ascii="楷体" w:hAnsi="楷体" w:eastAsia="楷体"/>
          <w:b w:val="0"/>
          <w:bCs w:val="0"/>
          <w:spacing w:val="-4"/>
          <w:sz w:val="32"/>
          <w:szCs w:val="32"/>
          <w:highlight w:val="none"/>
          <w:lang w:eastAsia="zh-CN"/>
        </w:rPr>
        <w:t>完成</w:t>
      </w:r>
      <w:r>
        <w:rPr>
          <w:rStyle w:val="19"/>
          <w:rFonts w:hint="eastAsia" w:ascii="楷体" w:hAnsi="楷体" w:eastAsia="楷体"/>
          <w:b w:val="0"/>
          <w:bCs w:val="0"/>
          <w:spacing w:val="-4"/>
          <w:sz w:val="32"/>
          <w:szCs w:val="32"/>
          <w:highlight w:val="none"/>
        </w:rPr>
        <w:t>；</w:t>
      </w:r>
    </w:p>
    <w:p w14:paraId="4B3D5B77">
      <w:pPr>
        <w:spacing w:line="540" w:lineRule="exact"/>
        <w:ind w:firstLine="567"/>
        <w:rPr>
          <w:rStyle w:val="19"/>
          <w:rFonts w:hint="eastAsia" w:ascii="楷体" w:hAnsi="楷体" w:eastAsia="楷体"/>
          <w:b w:val="0"/>
          <w:bCs w:val="0"/>
          <w:spacing w:val="-4"/>
          <w:sz w:val="32"/>
          <w:szCs w:val="32"/>
          <w:highlight w:val="none"/>
          <w:lang w:eastAsia="zh-CN"/>
        </w:rPr>
      </w:pPr>
      <w:r>
        <w:rPr>
          <w:rStyle w:val="19"/>
          <w:rFonts w:hint="eastAsia" w:ascii="楷体" w:hAnsi="楷体" w:eastAsia="楷体"/>
          <w:b w:val="0"/>
          <w:bCs w:val="0"/>
          <w:spacing w:val="-4"/>
          <w:sz w:val="32"/>
          <w:szCs w:val="32"/>
          <w:highlight w:val="none"/>
        </w:rPr>
        <w:t>成本指标“运转类公用经费项目”目标值=61.44万元，我单位实际完成值61.44万元，资金于2022年</w:t>
      </w:r>
      <w:r>
        <w:rPr>
          <w:rStyle w:val="19"/>
          <w:rFonts w:hint="eastAsia" w:ascii="楷体" w:hAnsi="楷体" w:eastAsia="楷体"/>
          <w:b w:val="0"/>
          <w:bCs w:val="0"/>
          <w:spacing w:val="-4"/>
          <w:sz w:val="32"/>
          <w:szCs w:val="32"/>
          <w:highlight w:val="none"/>
          <w:lang w:eastAsia="zh-CN"/>
        </w:rPr>
        <w:t>支付完成</w:t>
      </w:r>
      <w:r>
        <w:rPr>
          <w:rStyle w:val="19"/>
          <w:rFonts w:hint="eastAsia" w:ascii="楷体" w:hAnsi="楷体" w:eastAsia="楷体"/>
          <w:b w:val="0"/>
          <w:bCs w:val="0"/>
          <w:spacing w:val="-4"/>
          <w:sz w:val="32"/>
          <w:szCs w:val="32"/>
          <w:highlight w:val="none"/>
        </w:rPr>
        <w:t>；</w:t>
      </w:r>
    </w:p>
    <w:p w14:paraId="3F8ABB9B">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本项目实际支出</w:t>
      </w:r>
      <w:r>
        <w:rPr>
          <w:rStyle w:val="19"/>
          <w:rFonts w:hint="eastAsia" w:ascii="楷体" w:hAnsi="楷体" w:eastAsia="楷体"/>
          <w:b w:val="0"/>
          <w:bCs w:val="0"/>
          <w:spacing w:val="-4"/>
          <w:sz w:val="32"/>
          <w:szCs w:val="32"/>
          <w:lang w:val="en-US" w:eastAsia="zh-CN"/>
        </w:rPr>
        <w:t>564.23</w:t>
      </w:r>
      <w:r>
        <w:rPr>
          <w:rStyle w:val="19"/>
          <w:rFonts w:hint="eastAsia" w:ascii="楷体" w:hAnsi="楷体" w:eastAsia="楷体"/>
          <w:b w:val="0"/>
          <w:bCs w:val="0"/>
          <w:spacing w:val="-4"/>
          <w:sz w:val="32"/>
          <w:szCs w:val="32"/>
        </w:rPr>
        <w:t>万元，无超支情况，项目资金全部完成，得分为20。</w:t>
      </w:r>
    </w:p>
    <w:p w14:paraId="2EC8C49B">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综上，该部分指标满分50分，得分50分。</w:t>
      </w:r>
    </w:p>
    <w:p w14:paraId="0E67390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427F7363">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项目效益指标由1个二级指标和1个三级指标构成，权重为10分，实际得分10分。</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t>1. 项目效益</w:t>
      </w:r>
    </w:p>
    <w:p w14:paraId="7658B5A3">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（1）实施效益</w:t>
      </w:r>
    </w:p>
    <w:p w14:paraId="0182E71A">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经济效益指标：不适用。</w:t>
      </w:r>
    </w:p>
    <w:p w14:paraId="4CF3AA28">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社会效益指标：</w:t>
      </w:r>
      <w:r>
        <w:rPr>
          <w:rStyle w:val="19"/>
          <w:rFonts w:hint="eastAsia" w:ascii="楷体" w:hAnsi="楷体" w:eastAsia="楷体"/>
          <w:b w:val="0"/>
          <w:bCs w:val="0"/>
          <w:spacing w:val="-4"/>
          <w:sz w:val="32"/>
          <w:szCs w:val="32"/>
          <w:highlight w:val="none"/>
        </w:rPr>
        <w:t>评价指标“提高办公效率”，指标值：有效保障，实际完成值：完全达到预期，达成年度指标。本项目的实施保证了</w:t>
      </w:r>
      <w:r>
        <w:rPr>
          <w:rStyle w:val="19"/>
          <w:rFonts w:hint="eastAsia" w:ascii="楷体" w:hAnsi="楷体" w:eastAsia="楷体"/>
          <w:b w:val="0"/>
          <w:bCs w:val="0"/>
          <w:spacing w:val="-4"/>
          <w:sz w:val="32"/>
          <w:szCs w:val="32"/>
          <w:highlight w:val="none"/>
          <w:lang w:eastAsia="zh-CN"/>
        </w:rPr>
        <w:t>广场的正常运转，提高了工作</w:t>
      </w:r>
      <w:r>
        <w:rPr>
          <w:rStyle w:val="19"/>
          <w:rFonts w:hint="eastAsia" w:ascii="楷体" w:hAnsi="楷体" w:eastAsia="楷体"/>
          <w:b w:val="0"/>
          <w:bCs w:val="0"/>
          <w:spacing w:val="-4"/>
          <w:sz w:val="32"/>
          <w:szCs w:val="32"/>
          <w:lang w:eastAsia="zh-CN"/>
        </w:rPr>
        <w:t>效率</w:t>
      </w:r>
      <w:r>
        <w:rPr>
          <w:rStyle w:val="19"/>
          <w:rFonts w:hint="eastAsia" w:ascii="楷体" w:hAnsi="楷体" w:eastAsia="楷体"/>
          <w:b w:val="0"/>
          <w:bCs w:val="0"/>
          <w:spacing w:val="-4"/>
          <w:sz w:val="32"/>
          <w:szCs w:val="32"/>
        </w:rPr>
        <w:t>。</w:t>
      </w:r>
    </w:p>
    <w:p w14:paraId="3CA56158">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生态效益指标：不适用。</w:t>
      </w:r>
      <w:r>
        <w:rPr>
          <w:rStyle w:val="19"/>
          <w:rFonts w:hint="eastAsia" w:ascii="楷体" w:hAnsi="楷体" w:eastAsia="楷体"/>
          <w:b w:val="0"/>
          <w:bCs w:val="0"/>
          <w:spacing w:val="-4"/>
          <w:sz w:val="32"/>
          <w:szCs w:val="32"/>
        </w:rPr>
        <w:cr/>
      </w:r>
    </w:p>
    <w:p w14:paraId="550378D3">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综上，该指标满分10分，得分10分。</w:t>
      </w:r>
    </w:p>
    <w:p w14:paraId="0C7AE48C">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五、主要经验及做法、存在的问题及原因分析</w:t>
      </w:r>
    </w:p>
    <w:p w14:paraId="4E694B8E">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1.建立清晰的暂付款管理制度：</w:t>
      </w:r>
    </w:p>
    <w:p w14:paraId="49317398">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明确暂付款管理制度的目的，确保资金安全、高效使用；明确定义暂付款的范围和内容；暂付款进行分类管理，根据性质、用途和风险程度制定不同的管理策略。</w:t>
      </w:r>
    </w:p>
    <w:p w14:paraId="5450615F">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2.明确责任主体：</w:t>
      </w:r>
    </w:p>
    <w:p w14:paraId="2815C5CE">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制定明确的责任分工方案，将暂付款的管理责任分解到具体的部门和个人。建立跨部门协作机制，确保各部门在暂付款管理中的密切配合和信息共享。</w:t>
      </w:r>
    </w:p>
    <w:p w14:paraId="7E8AC78D">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lang w:val="en-US" w:eastAsia="zh-CN"/>
        </w:rPr>
        <w:t>3</w:t>
      </w:r>
      <w:r>
        <w:rPr>
          <w:rStyle w:val="19"/>
          <w:rFonts w:hint="eastAsia" w:ascii="楷体" w:hAnsi="楷体" w:eastAsia="楷体"/>
          <w:b w:val="0"/>
          <w:bCs w:val="0"/>
          <w:spacing w:val="-4"/>
          <w:sz w:val="32"/>
          <w:szCs w:val="32"/>
        </w:rPr>
        <w:t xml:space="preserve">.实行分类管理：      </w:t>
      </w:r>
    </w:p>
    <w:p w14:paraId="31120560">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通过对暂付款项目进行分类，区分不同性质和用途的暂付款，便于跟踪和管理，可以更有针对性地制定消化计划，采取合适的管理措施，提高资金的使用效率，并降低财务风险。</w:t>
      </w:r>
    </w:p>
    <w:p w14:paraId="7FB5DC29">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（二）存在的问题及原因分析</w:t>
      </w:r>
    </w:p>
    <w:p w14:paraId="4CEE3A7B">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1.制度建设滞后：</w:t>
      </w:r>
    </w:p>
    <w:p w14:paraId="4FAC2337">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制度建设相对滞后，缺乏针对暂付款管理的具体规章和操作流程。需要制定一套完整的暂付款管理制度，明确暂付款的定义、分类、产生原因、管理流程、审批权限、结算方式等内容。</w:t>
      </w:r>
    </w:p>
    <w:p w14:paraId="01BF8A79">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lang w:val="en-US" w:eastAsia="zh-CN"/>
        </w:rPr>
        <w:t>2</w:t>
      </w:r>
      <w:r>
        <w:rPr>
          <w:rStyle w:val="19"/>
          <w:rFonts w:hint="eastAsia" w:ascii="楷体" w:hAnsi="楷体" w:eastAsia="楷体"/>
          <w:b w:val="0"/>
          <w:bCs w:val="0"/>
          <w:spacing w:val="-4"/>
          <w:sz w:val="32"/>
          <w:szCs w:val="32"/>
        </w:rPr>
        <w:t>.权责不明晰：</w:t>
      </w:r>
    </w:p>
    <w:p w14:paraId="4D3D5959">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事业单位在管理暂付款时可能存在权责不明确的问题，不同部门间责任划分不清，导致暂付款处理推诿扯皮。</w:t>
      </w:r>
    </w:p>
    <w:p w14:paraId="610A604C">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lang w:val="en-US" w:eastAsia="zh-CN"/>
        </w:rPr>
        <w:t>3</w:t>
      </w:r>
      <w:r>
        <w:rPr>
          <w:rStyle w:val="19"/>
          <w:rFonts w:hint="eastAsia" w:ascii="楷体" w:hAnsi="楷体" w:eastAsia="楷体"/>
          <w:b w:val="0"/>
          <w:bCs w:val="0"/>
          <w:spacing w:val="-4"/>
          <w:sz w:val="32"/>
          <w:szCs w:val="32"/>
        </w:rPr>
        <w:t>.外部环境制约：</w:t>
      </w:r>
    </w:p>
    <w:p w14:paraId="1ED0D1B2">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事业单位的资金来源和使用受到外部政策和环境的制约，财政拨款的不确定性、项目进度的变动等，都可能影响暂付款的消化。</w:t>
      </w:r>
    </w:p>
    <w:p w14:paraId="25158018">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六、有关建议</w:t>
      </w:r>
    </w:p>
    <w:p w14:paraId="42CC2754">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（一）完善制度建设：</w:t>
      </w:r>
    </w:p>
    <w:p w14:paraId="06B5C5C1">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建立和完善暂付款管理的规章制度，明确暂付款的产生、使用、结算等流程，以及相关部门和人员的职责。</w:t>
      </w:r>
    </w:p>
    <w:p w14:paraId="1DF36030">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（二）加强预算管理：</w:t>
      </w:r>
    </w:p>
    <w:p w14:paraId="4CE51EBC">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严格执行预算管理制度，确保各项支出都在预算范围内，避免无预算支出导致的暂付款积累。</w:t>
      </w:r>
    </w:p>
    <w:p w14:paraId="65649668">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（三）优化内部控制：</w:t>
      </w:r>
    </w:p>
    <w:p w14:paraId="21D0BF45">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建立健全内部控制体系，加强对暂付款的监督和审计，确保暂付款的合规性和及时性。</w:t>
      </w:r>
    </w:p>
    <w:p w14:paraId="4C4DA43C">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（四）明确权责划分：</w:t>
      </w:r>
    </w:p>
    <w:p w14:paraId="3765FDF3">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在单位内部明确各部门和人员在暂付款管理中的职责和权限，避免权责不明导致的推诿扯皮现象。</w:t>
      </w:r>
    </w:p>
    <w:p w14:paraId="6DF73095">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七、其他需要说明的问题</w:t>
      </w:r>
    </w:p>
    <w:p w14:paraId="675DCB6C">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（一）项目支出政策和路径设计科学，符合实际需要；</w:t>
      </w:r>
    </w:p>
    <w:p w14:paraId="39866E2C">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（二）项目安排准确，未发现背离项目立项初衷的情况；</w:t>
      </w:r>
    </w:p>
    <w:p w14:paraId="7DA20D88">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（三）项目的申报、审核机制完善；</w:t>
      </w:r>
    </w:p>
    <w:p w14:paraId="57AB237B">
      <w:pPr>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（四）未发现虚假行为和骗取财政资金的问题。</w:t>
      </w:r>
      <w:bookmarkStart w:id="0" w:name="_GoBack"/>
      <w:bookmarkEnd w:id="0"/>
    </w:p>
    <w:sectPr>
      <w:footerReference r:id="rId4"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1F93C4A">
        <w:pPr>
          <w:pStyle w:val="12"/>
          <w:jc w:val="center"/>
        </w:pPr>
        <w:r>
          <w:fldChar w:fldCharType="begin"/>
        </w:r>
        <w:r>
          <w:instrText xml:space="preserve">PAGE   \* MERGEFORMAT</w:instrText>
        </w:r>
        <w:r>
          <w:fldChar w:fldCharType="separate"/>
        </w:r>
        <w:r>
          <w:rPr>
            <w:lang w:val="zh-CN"/>
          </w:rPr>
          <w:t>1</w:t>
        </w:r>
        <w:r>
          <w:fldChar w:fldCharType="end"/>
        </w:r>
      </w:p>
    </w:sdtContent>
  </w:sdt>
  <w:p w14:paraId="62370DCC">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6115"/>
    </w:sdtPr>
    <w:sdtContent>
      <w:p w14:paraId="25AAA08A">
        <w:pPr>
          <w:pStyle w:val="12"/>
          <w:jc w:val="center"/>
        </w:pPr>
        <w:r>
          <w:fldChar w:fldCharType="begin"/>
        </w:r>
        <w:r>
          <w:instrText xml:space="preserve">PAGE   \* MERGEFORMAT</w:instrText>
        </w:r>
        <w:r>
          <w:fldChar w:fldCharType="separate"/>
        </w:r>
        <w:r>
          <w:rPr>
            <w:lang w:val="zh-CN"/>
          </w:rPr>
          <w:t>1</w:t>
        </w:r>
        <w:r>
          <w:fldChar w:fldCharType="end"/>
        </w:r>
      </w:p>
    </w:sdtContent>
  </w:sdt>
  <w:p w14:paraId="1E318B86">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FkOWRiYjUxZjAyOGNkZTZlMWQ4NzRjOWZkNDdiZjI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5AE261A"/>
    <w:rsid w:val="6C3A69EF"/>
    <w:rsid w:val="6EBB3C07"/>
    <w:rsid w:val="7BC502DE"/>
    <w:rsid w:val="7D5939B7"/>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basedOn w:val="16"/>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12240</Words>
  <Characters>12998</Characters>
  <Lines>4</Lines>
  <Paragraphs>1</Paragraphs>
  <TotalTime>6</TotalTime>
  <ScaleCrop>false</ScaleCrop>
  <LinksUpToDate>false</LinksUpToDate>
  <CharactersWithSpaces>13248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幽爱冥</cp:lastModifiedBy>
  <cp:lastPrinted>2018-12-31T10:56:00Z</cp:lastPrinted>
  <dcterms:modified xsi:type="dcterms:W3CDTF">2024-09-19T08:17:30Z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5DDD0901E97F4C3AA0DAA3F76B7A18B5_13</vt:lpwstr>
  </property>
</Properties>
</file>