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Relationships xmlns="http://schemas.openxmlformats.org/package/2006/relationships">
<Relationship Id="rId1" Target="word/document.xml" Type="http://schemas.openxmlformats.org/officeDocument/2006/relationships/officeDocument"/>
<Relationship Id="rId2" Target="docProps/core.xml" Type="http://schemas.openxmlformats.org/package/2006/relationships/metadata/core-properties"/>
<Relationship Id="rId3" Target="docProps/app.xml" Type="http://schemas.openxmlformats.org/officeDocument/2006/relationships/extended-properties"/>
<Relationship Id="rId4" Target="docProps/custom.xml" Type="http://schemas.openxmlformats.org/officeDocument/2006/relationships/custom-properties"/>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E7658A7" w14:textId="77777777" w:rsidR="000048AA" w:rsidRDefault="00000000">
      <w:pPr>
        <w:spacing w:line="540" w:lineRule="exact"/>
        <w:jc w:val="left"/>
        <w:rPr>
          <w:rFonts w:ascii="仿宋" w:eastAsia="仿宋" w:hAnsi="仿宋" w:cs="宋体"/>
          <w:kern w:val="0"/>
          <w:sz w:val="32"/>
          <w:szCs w:val="32"/>
        </w:rPr>
      </w:pPr>
      <w:r>
        <w:rPr>
          <w:rFonts w:ascii="仿宋" w:eastAsia="仿宋" w:hAnsi="仿宋" w:cs="宋体" w:hint="eastAsia"/>
          <w:kern w:val="0"/>
          <w:sz w:val="32"/>
          <w:szCs w:val="32"/>
        </w:rPr>
        <w:t>附件2：</w:t>
      </w:r>
    </w:p>
    <w:p w14:paraId="1D33FA27" w14:textId="77777777" w:rsidR="000048AA" w:rsidRDefault="000048AA">
      <w:pPr>
        <w:spacing w:line="540" w:lineRule="exact"/>
        <w:jc w:val="center"/>
        <w:rPr>
          <w:rFonts w:ascii="华文中宋" w:eastAsia="华文中宋" w:hAnsi="华文中宋" w:cs="宋体"/>
          <w:b/>
          <w:kern w:val="0"/>
          <w:sz w:val="52"/>
          <w:szCs w:val="52"/>
        </w:rPr>
      </w:pPr>
    </w:p>
    <w:p w14:paraId="6E106AD4" w14:textId="77777777" w:rsidR="000048AA" w:rsidRDefault="000048AA">
      <w:pPr>
        <w:spacing w:line="540" w:lineRule="exact"/>
        <w:jc w:val="center"/>
        <w:rPr>
          <w:rFonts w:ascii="华文中宋" w:eastAsia="华文中宋" w:hAnsi="华文中宋" w:cs="宋体"/>
          <w:b/>
          <w:kern w:val="0"/>
          <w:sz w:val="52"/>
          <w:szCs w:val="52"/>
        </w:rPr>
      </w:pPr>
    </w:p>
    <w:p w14:paraId="06DF3DDB" w14:textId="77777777" w:rsidR="000048AA" w:rsidRDefault="000048AA">
      <w:pPr>
        <w:spacing w:line="540" w:lineRule="exact"/>
        <w:jc w:val="center"/>
        <w:rPr>
          <w:rFonts w:ascii="华文中宋" w:eastAsia="华文中宋" w:hAnsi="华文中宋" w:cs="宋体"/>
          <w:b/>
          <w:kern w:val="0"/>
          <w:sz w:val="52"/>
          <w:szCs w:val="52"/>
        </w:rPr>
      </w:pPr>
    </w:p>
    <w:p w14:paraId="3D54B155" w14:textId="77777777" w:rsidR="000048AA" w:rsidRDefault="000048AA">
      <w:pPr>
        <w:spacing w:line="540" w:lineRule="exact"/>
        <w:jc w:val="center"/>
        <w:rPr>
          <w:rFonts w:ascii="华文中宋" w:eastAsia="华文中宋" w:hAnsi="华文中宋" w:cs="宋体"/>
          <w:b/>
          <w:kern w:val="0"/>
          <w:sz w:val="52"/>
          <w:szCs w:val="52"/>
        </w:rPr>
      </w:pPr>
    </w:p>
    <w:p w14:paraId="7523DB40" w14:textId="77777777" w:rsidR="000048AA" w:rsidRDefault="000048AA">
      <w:pPr>
        <w:spacing w:line="540" w:lineRule="exact"/>
        <w:jc w:val="center"/>
        <w:rPr>
          <w:rFonts w:ascii="华文中宋" w:eastAsia="华文中宋" w:hAnsi="华文中宋" w:cs="宋体"/>
          <w:b/>
          <w:kern w:val="0"/>
          <w:sz w:val="52"/>
          <w:szCs w:val="52"/>
        </w:rPr>
      </w:pPr>
    </w:p>
    <w:p w14:paraId="7B9F0A20" w14:textId="77777777" w:rsidR="000048AA" w:rsidRDefault="000048AA">
      <w:pPr>
        <w:spacing w:line="540" w:lineRule="exact"/>
        <w:jc w:val="center"/>
        <w:rPr>
          <w:rFonts w:ascii="华文中宋" w:eastAsia="华文中宋" w:hAnsi="华文中宋" w:cs="宋体"/>
          <w:b/>
          <w:kern w:val="0"/>
          <w:sz w:val="52"/>
          <w:szCs w:val="52"/>
        </w:rPr>
      </w:pPr>
    </w:p>
    <w:p w14:paraId="1F5472C6" w14:textId="77777777" w:rsidR="000048AA" w:rsidRDefault="00000000">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项目支出绩效自评报告</w:t>
      </w:r>
    </w:p>
    <w:p w14:paraId="05C3E73B" w14:textId="77777777" w:rsidR="000048AA" w:rsidRDefault="000048AA">
      <w:pPr>
        <w:spacing w:line="540" w:lineRule="exact"/>
        <w:jc w:val="center"/>
        <w:rPr>
          <w:rFonts w:ascii="华文中宋" w:eastAsia="华文中宋" w:hAnsi="华文中宋" w:cs="宋体"/>
          <w:b/>
          <w:kern w:val="0"/>
          <w:sz w:val="52"/>
          <w:szCs w:val="52"/>
        </w:rPr>
      </w:pPr>
    </w:p>
    <w:p w14:paraId="478A78FB" w14:textId="77777777" w:rsidR="000048AA" w:rsidRDefault="00000000">
      <w:pPr>
        <w:spacing w:line="540" w:lineRule="exact"/>
        <w:jc w:val="center"/>
        <w:rPr>
          <w:rFonts w:eastAsia="仿宋_GB2312" w:hAnsi="宋体" w:cs="宋体"/>
          <w:kern w:val="0"/>
          <w:sz w:val="36"/>
          <w:szCs w:val="36"/>
        </w:rPr>
      </w:pPr>
      <w:r>
        <w:rPr>
          <w:rFonts w:eastAsia="仿宋_GB2312" w:hAnsi="宋体" w:cs="宋体" w:hint="eastAsia"/>
          <w:kern w:val="0"/>
          <w:sz w:val="36"/>
          <w:szCs w:val="36"/>
        </w:rPr>
        <w:t>（</w:t>
      </w:r>
      <w:r>
        <w:rPr>
          <w:rFonts w:eastAsia="仿宋_GB2312" w:hAnsi="宋体" w:cs="宋体" w:hint="eastAsia"/>
          <w:kern w:val="0"/>
          <w:sz w:val="36"/>
          <w:szCs w:val="36"/>
        </w:rPr>
        <w:t xml:space="preserve">   </w:t>
      </w:r>
      <w:r>
        <w:rPr>
          <w:rStyle w:val="ad"/>
          <w:rFonts w:ascii="楷体" w:eastAsia="楷体" w:hAnsi="楷体" w:hint="eastAsia"/>
          <w:spacing w:val="-4"/>
          <w:sz w:val="32"/>
          <w:szCs w:val="32"/>
        </w:rPr>
        <w:t>2023</w:t>
      </w:r>
      <w:r>
        <w:rPr>
          <w:rFonts w:eastAsia="仿宋_GB2312" w:hAnsi="宋体" w:cs="宋体" w:hint="eastAsia"/>
          <w:kern w:val="0"/>
          <w:sz w:val="36"/>
          <w:szCs w:val="36"/>
        </w:rPr>
        <w:t xml:space="preserve">  </w:t>
      </w:r>
      <w:r>
        <w:rPr>
          <w:rFonts w:eastAsia="仿宋_GB2312" w:hAnsi="宋体" w:cs="宋体" w:hint="eastAsia"/>
          <w:kern w:val="0"/>
          <w:sz w:val="36"/>
          <w:szCs w:val="36"/>
        </w:rPr>
        <w:t>年度）</w:t>
      </w:r>
    </w:p>
    <w:p w14:paraId="26501804" w14:textId="77777777" w:rsidR="000048AA" w:rsidRDefault="000048AA">
      <w:pPr>
        <w:spacing w:line="540" w:lineRule="exact"/>
        <w:jc w:val="center"/>
        <w:rPr>
          <w:rFonts w:eastAsia="仿宋_GB2312" w:hAnsi="宋体" w:cs="宋体"/>
          <w:kern w:val="0"/>
          <w:sz w:val="30"/>
          <w:szCs w:val="30"/>
        </w:rPr>
      </w:pPr>
    </w:p>
    <w:p w14:paraId="69B61B55" w14:textId="77777777" w:rsidR="000048AA" w:rsidRDefault="000048AA">
      <w:pPr>
        <w:spacing w:line="540" w:lineRule="exact"/>
        <w:jc w:val="center"/>
        <w:rPr>
          <w:rFonts w:eastAsia="仿宋_GB2312" w:hAnsi="宋体" w:cs="宋体"/>
          <w:kern w:val="0"/>
          <w:sz w:val="30"/>
          <w:szCs w:val="30"/>
        </w:rPr>
      </w:pPr>
    </w:p>
    <w:p w14:paraId="0A436978" w14:textId="77777777" w:rsidR="000048AA" w:rsidRDefault="000048AA">
      <w:pPr>
        <w:spacing w:line="540" w:lineRule="exact"/>
        <w:jc w:val="center"/>
        <w:rPr>
          <w:rFonts w:eastAsia="仿宋_GB2312" w:hAnsi="宋体" w:cs="宋体"/>
          <w:kern w:val="0"/>
          <w:sz w:val="30"/>
          <w:szCs w:val="30"/>
        </w:rPr>
      </w:pPr>
    </w:p>
    <w:p w14:paraId="5731CF0C" w14:textId="77777777" w:rsidR="000048AA" w:rsidRDefault="000048AA">
      <w:pPr>
        <w:spacing w:line="540" w:lineRule="exact"/>
        <w:jc w:val="center"/>
        <w:rPr>
          <w:rFonts w:eastAsia="仿宋_GB2312" w:hAnsi="宋体" w:cs="宋体"/>
          <w:kern w:val="0"/>
          <w:sz w:val="30"/>
          <w:szCs w:val="30"/>
        </w:rPr>
      </w:pPr>
    </w:p>
    <w:p w14:paraId="2CE0F0E1" w14:textId="77777777" w:rsidR="000048AA" w:rsidRDefault="000048AA">
      <w:pPr>
        <w:spacing w:line="540" w:lineRule="exact"/>
        <w:jc w:val="center"/>
        <w:rPr>
          <w:rFonts w:eastAsia="仿宋_GB2312" w:hAnsi="宋体" w:cs="宋体"/>
          <w:kern w:val="0"/>
          <w:sz w:val="30"/>
          <w:szCs w:val="30"/>
        </w:rPr>
      </w:pPr>
    </w:p>
    <w:p w14:paraId="4C85A255" w14:textId="77777777" w:rsidR="000048AA" w:rsidRDefault="000048AA">
      <w:pPr>
        <w:spacing w:line="540" w:lineRule="exact"/>
        <w:jc w:val="center"/>
        <w:rPr>
          <w:rFonts w:eastAsia="仿宋_GB2312" w:hAnsi="宋体" w:cs="宋体"/>
          <w:kern w:val="0"/>
          <w:sz w:val="30"/>
          <w:szCs w:val="30"/>
        </w:rPr>
      </w:pPr>
    </w:p>
    <w:p w14:paraId="3DB1725E" w14:textId="77777777" w:rsidR="000048AA" w:rsidRDefault="000048AA">
      <w:pPr>
        <w:spacing w:line="540" w:lineRule="exact"/>
        <w:rPr>
          <w:rFonts w:eastAsia="仿宋_GB2312" w:hAnsi="宋体" w:cs="宋体"/>
          <w:kern w:val="0"/>
          <w:sz w:val="30"/>
          <w:szCs w:val="30"/>
        </w:rPr>
      </w:pPr>
    </w:p>
    <w:p w14:paraId="5B7D51AB" w14:textId="77777777" w:rsidR="000048AA" w:rsidRDefault="00000000">
      <w:pPr>
        <w:spacing w:line="700" w:lineRule="exact"/>
        <w:jc w:val="left"/>
        <w:rPr>
          <w:rFonts w:eastAsia="仿宋_GB2312" w:hAnsi="宋体" w:cs="宋体"/>
          <w:kern w:val="0"/>
          <w:sz w:val="36"/>
          <w:szCs w:val="36"/>
        </w:rPr>
      </w:pPr>
      <w:r>
        <w:rPr>
          <w:rFonts w:eastAsia="仿宋_GB2312" w:hAnsi="宋体" w:cs="宋体" w:hint="eastAsia"/>
          <w:kern w:val="0"/>
          <w:sz w:val="36"/>
          <w:szCs w:val="36"/>
        </w:rPr>
        <w:t xml:space="preserve">     </w:t>
      </w:r>
    </w:p>
    <w:p w14:paraId="71B2FEEF" w14:textId="77777777" w:rsidR="000048AA" w:rsidRDefault="00000000">
      <w:pPr>
        <w:spacing w:line="700" w:lineRule="exact"/>
        <w:ind w:firstLineChars="250" w:firstLine="900"/>
        <w:jc w:val="left"/>
        <w:rPr>
          <w:rFonts w:eastAsia="仿宋_GB2312" w:hAnsi="宋体" w:cs="宋体"/>
          <w:kern w:val="0"/>
          <w:sz w:val="36"/>
          <w:szCs w:val="36"/>
        </w:rPr>
      </w:pPr>
      <w:r>
        <w:rPr>
          <w:rFonts w:eastAsia="仿宋_GB2312" w:hAnsi="宋体" w:cs="宋体" w:hint="eastAsia"/>
          <w:kern w:val="0"/>
          <w:sz w:val="36"/>
          <w:szCs w:val="36"/>
        </w:rPr>
        <w:t>项目名称：</w:t>
      </w:r>
      <w:r>
        <w:rPr>
          <w:rStyle w:val="ad"/>
          <w:rFonts w:ascii="楷体" w:eastAsia="楷体" w:hAnsi="楷体" w:hint="eastAsia"/>
          <w:spacing w:val="-4"/>
          <w:sz w:val="32"/>
          <w:szCs w:val="32"/>
        </w:rPr>
        <w:t>消化2022年暂付款项</w:t>
      </w:r>
    </w:p>
    <w:p w14:paraId="7AEB13A7" w14:textId="77777777" w:rsidR="000048AA" w:rsidRDefault="00000000">
      <w:pPr>
        <w:spacing w:line="540" w:lineRule="exact"/>
        <w:ind w:firstLine="567"/>
        <w:rPr>
          <w:rFonts w:ascii="楷体" w:eastAsia="楷体" w:hAnsi="楷体"/>
          <w:b/>
          <w:bCs/>
          <w:spacing w:val="-4"/>
          <w:sz w:val="32"/>
          <w:szCs w:val="32"/>
        </w:rPr>
      </w:pPr>
      <w:r>
        <w:rPr>
          <w:rFonts w:eastAsia="仿宋_GB2312" w:hAnsi="宋体" w:cs="宋体" w:hint="eastAsia"/>
          <w:kern w:val="0"/>
          <w:sz w:val="36"/>
          <w:szCs w:val="36"/>
        </w:rPr>
        <w:t xml:space="preserve">  </w:t>
      </w:r>
      <w:r>
        <w:rPr>
          <w:rFonts w:eastAsia="仿宋_GB2312" w:hAnsi="宋体" w:cs="宋体" w:hint="eastAsia"/>
          <w:kern w:val="0"/>
          <w:sz w:val="36"/>
          <w:szCs w:val="36"/>
        </w:rPr>
        <w:t>实施单位（公章）：</w:t>
      </w:r>
      <w:r>
        <w:rPr>
          <w:rStyle w:val="ad"/>
          <w:rFonts w:ascii="楷体" w:eastAsia="楷体" w:hAnsi="楷体" w:hint="eastAsia"/>
          <w:spacing w:val="-4"/>
          <w:sz w:val="28"/>
          <w:szCs w:val="28"/>
        </w:rPr>
        <w:t>乌鲁木齐市水磨沟区市场监督管理局</w:t>
      </w:r>
    </w:p>
    <w:p w14:paraId="275DDF30" w14:textId="77777777" w:rsidR="000048AA" w:rsidRDefault="00000000">
      <w:pPr>
        <w:spacing w:line="540" w:lineRule="exact"/>
        <w:ind w:firstLineChars="250" w:firstLine="900"/>
        <w:rPr>
          <w:rFonts w:ascii="楷体" w:eastAsia="楷体" w:hAnsi="楷体"/>
          <w:b/>
          <w:bCs/>
          <w:spacing w:val="-4"/>
          <w:sz w:val="28"/>
          <w:szCs w:val="28"/>
        </w:rPr>
      </w:pPr>
      <w:r>
        <w:rPr>
          <w:rFonts w:eastAsia="仿宋_GB2312" w:hAnsi="宋体" w:cs="宋体" w:hint="eastAsia"/>
          <w:kern w:val="0"/>
          <w:sz w:val="36"/>
          <w:szCs w:val="36"/>
        </w:rPr>
        <w:t>主管部门（公章）：</w:t>
      </w:r>
      <w:r>
        <w:rPr>
          <w:rStyle w:val="ad"/>
          <w:rFonts w:ascii="楷体" w:eastAsia="楷体" w:hAnsi="楷体" w:hint="eastAsia"/>
          <w:spacing w:val="-4"/>
          <w:sz w:val="28"/>
          <w:szCs w:val="28"/>
        </w:rPr>
        <w:t>乌鲁木齐市水磨沟区市场监督管理局</w:t>
      </w:r>
    </w:p>
    <w:p w14:paraId="5747EF1B" w14:textId="77777777" w:rsidR="000048AA" w:rsidRDefault="00000000">
      <w:pPr>
        <w:spacing w:line="540" w:lineRule="exact"/>
        <w:ind w:firstLineChars="250" w:firstLine="900"/>
        <w:rPr>
          <w:rFonts w:ascii="楷体" w:eastAsia="楷体" w:hAnsi="楷体"/>
          <w:b/>
          <w:bCs/>
          <w:spacing w:val="-4"/>
          <w:sz w:val="32"/>
          <w:szCs w:val="32"/>
        </w:rPr>
      </w:pPr>
      <w:r>
        <w:rPr>
          <w:rFonts w:eastAsia="仿宋_GB2312" w:hAnsi="宋体" w:cs="宋体" w:hint="eastAsia"/>
          <w:kern w:val="0"/>
          <w:sz w:val="36"/>
          <w:szCs w:val="36"/>
        </w:rPr>
        <w:t>项目负责人（签章）：</w:t>
      </w:r>
      <w:r>
        <w:rPr>
          <w:rStyle w:val="ad"/>
          <w:rFonts w:ascii="楷体" w:eastAsia="楷体" w:hAnsi="楷体" w:hint="eastAsia"/>
          <w:spacing w:val="-4"/>
          <w:sz w:val="32"/>
          <w:szCs w:val="32"/>
        </w:rPr>
        <w:t>郭祯</w:t>
      </w:r>
    </w:p>
    <w:p w14:paraId="7DACC143" w14:textId="77777777" w:rsidR="000048AA" w:rsidRDefault="00000000">
      <w:pPr>
        <w:spacing w:line="540" w:lineRule="exact"/>
        <w:ind w:left="273" w:firstLine="567"/>
        <w:rPr>
          <w:rStyle w:val="ad"/>
          <w:rFonts w:ascii="楷体" w:eastAsia="楷体" w:hAnsi="楷体"/>
          <w:spacing w:val="-4"/>
          <w:sz w:val="32"/>
          <w:szCs w:val="32"/>
        </w:rPr>
      </w:pPr>
      <w:r>
        <w:rPr>
          <w:rFonts w:eastAsia="仿宋_GB2312" w:hAnsi="宋体" w:cs="宋体" w:hint="eastAsia"/>
          <w:kern w:val="0"/>
          <w:sz w:val="36"/>
          <w:szCs w:val="36"/>
        </w:rPr>
        <w:t>填报时间：</w:t>
      </w:r>
      <w:r>
        <w:rPr>
          <w:rStyle w:val="ad"/>
          <w:rFonts w:ascii="楷体" w:eastAsia="楷体" w:hAnsi="楷体" w:hint="eastAsia"/>
          <w:spacing w:val="-4"/>
          <w:sz w:val="32"/>
          <w:szCs w:val="32"/>
        </w:rPr>
        <w:t>2024年05月20日</w:t>
      </w:r>
    </w:p>
    <w:p w14:paraId="677F1B1A" w14:textId="77777777" w:rsidR="000048AA" w:rsidRDefault="000048AA">
      <w:pPr>
        <w:spacing w:line="700" w:lineRule="exact"/>
        <w:ind w:firstLineChars="236" w:firstLine="708"/>
        <w:jc w:val="left"/>
        <w:rPr>
          <w:rFonts w:eastAsia="仿宋_GB2312" w:hAnsi="宋体" w:cs="宋体"/>
          <w:kern w:val="0"/>
          <w:sz w:val="30"/>
          <w:szCs w:val="30"/>
        </w:rPr>
      </w:pPr>
    </w:p>
    <w:p w14:paraId="123FA6B7" w14:textId="77777777" w:rsidR="000048AA" w:rsidRDefault="000048AA">
      <w:pPr>
        <w:spacing w:line="540" w:lineRule="exact"/>
        <w:rPr>
          <w:rStyle w:val="ad"/>
          <w:rFonts w:ascii="黑体" w:eastAsia="黑体" w:hAnsi="黑体"/>
          <w:b w:val="0"/>
          <w:spacing w:val="-4"/>
          <w:sz w:val="32"/>
          <w:szCs w:val="32"/>
        </w:rPr>
      </w:pPr>
    </w:p>
    <w:p w14:paraId="2EEB6E08" w14:textId="77777777" w:rsidR="000048AA" w:rsidRDefault="00000000">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一、基本情况</w:t>
      </w:r>
    </w:p>
    <w:p w14:paraId="18E9018D" w14:textId="77777777" w:rsidR="000048AA" w:rsidRDefault="00000000">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（一）项目概况</w:t>
      </w:r>
    </w:p>
    <w:p w14:paraId="3DED2D21"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1. 项目背景、主要内容及实施情况</w:t>
        <w:br/>
        <w:t>该项目实施背景：</w:t>
        <w:br/>
        <w:t>按照项目绩效评价要求，选取资金支出占比超过20%项目，按全口径部门支出决算金额计算，消化2022年暂付款项目资金占支出95.54%，因此选择该项目做绩效评价。该项目包含1个子项目，均于2022年完成，资金支付做往来账处理，2023年按区财政局《关于消化2022年新增暂付性款项的通知》要求，将该款项做账务处理列入当年收支。</w:t>
        <w:br/>
        <w:t>为进一步增强基层市场监管力量,缓解市场监管人员短缺压力,提高市场监督工作服务水平,提升市场监督工作效率，我单位根据我局业务工作需求聘用雇员22名，主要从事辅助市场监管日常监管工作；为做好单位后勤保障工作，我单位聘用司机5人、保洁2人、保安2人和厨师1人，共计10人。雇用聘用人员切实提高了水区市场监督管理水平，保障水区市场监督管理工作覆盖率，提升了单位工作效率，做好了单位后勤保障工作。</w:t>
        <w:br/>
        <w:t>项目2023年的主要实施内容：根据我局实际业务工作和后勤保障需求设立临聘工作岗位32个，办公室严格按照劳动法签订劳动合同，并按照局机关临聘人员管理规定对聘用人员进行管理，为保证聘用人员队伍相对稳定，提高工作效能，从政治、生活、工作上关心聘用工作人员，充分调动其积极性、主动性和创造性，我局建立了以岗位为基础，以工作绩效考核为核心的奖惩机制。</w:t>
        <w:br/>
        <w:t>2023年当年完成情况，实际完成情况为：根据考勤和工作成效按月足额为我单位聘用的人员发放工资和缴纳社保公积金。发放32名临聘人员工资及缴纳社保公积金共计336万元；根据社保局规定，单位需为退休人员缴纳职业年金坐实费用后，方可办理退休，因此单位为退休人员缴纳职业年金坐实费9万元。</w:t>
        <w:br/>
        <w:t>2. 资金投入和使用情况</w:t>
        <w:br/>
        <w:t>该项目资金投入情况：经水财发【2023】45号文件批准，项目系2023年本级资金，共安排预算345万元，为2023年年初预算批复项目，年中资金无任何调整。</w:t>
        <w:br/>
        <w:t>该项目资金使用情况：该项目全年预算345万元，项目资金为消化2022年暂付款项。其中，我单位聘用的人员发放工资和缴纳社保公积金，工资每月成本28万元，12个月共计成本336万元，9万元用于支付退休人员职业年金缴费，项目资金全部执行完毕，预算执行率100%。</w:t>
      </w:r>
    </w:p>
    <w:p w14:paraId="4EE91996" w14:textId="77777777" w:rsidR="000048AA" w:rsidRDefault="00000000">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（二）项目绩效目标</w:t>
      </w:r>
    </w:p>
    <w:p w14:paraId="5F877E16"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本项目依据《中共中央 国务院关于全面实施预算绩效管理的意见》（中发〔2018〕34号）、《关于印发&lt;乌鲁木齐市本级部门预算绩效目标管理暂行办法&gt;的通知》（乌财预〔2018〕56号）、《关于印发&lt;自治区项目支出绩效目标设置指引&gt;的通知》（新财预〔2022〕42号）等文件要求，结合项目开展情况，按照“谁申请资金，谁编制目标”的原则和规定的方法、程序，科学合理编制。绩效目标作为对预期指标的细化和量化描述，主要包括产出指标、成本指标、效益指标和满意度指标。按照指向明确、细化量化、合理可行和相应匹配的要求，设定三级绩效目标（数量指标、质量指标、时效指标、经济成本指标、效益指标、满意度指标），以准确、清晰地反映财政资金在使用期所能达到的预期产出和效果。</w:t>
        <w:br/>
        <w:t>该项目为经常性项目。</w:t>
        <w:br/>
        <w:t>该项目总体绩效目标：为进一步强化市场监督管理工作，切实提高水区市场监督管理水平，保障水区市场监督管理工作覆盖率，提升单位监督工作效率，做好单位后勤保障工作，发挥临聘人员在市场监督管理工作中的积极作用，为临聘人员发放2022年工资及社保公积金的缴纳。</w:t>
        <w:br/>
        <w:t>该项目阶段性目标为：我单位临聘人员按量保质完成单位分配的各项工作任务，按时出勤，廉洁自律，服从管理，做好单位后勤保障工作，积极发挥临聘人员在市场监督管理工作中的作用。每月按时发放32名临聘人员工资及社保公积金的缴纳。发放准确率100%，发放及时率100%，有效提升单位工作效率，有效保障水区市场监督管理工作覆盖率。</w:t>
      </w:r>
    </w:p>
    <w:p w14:paraId="6BFCEFBA" w14:textId="77777777" w:rsidR="000048AA" w:rsidRDefault="00000000">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二、绩效评价工作开展情况</w:t>
      </w:r>
    </w:p>
    <w:p w14:paraId="61859553" w14:textId="77777777" w:rsidR="000048AA" w:rsidRDefault="00000000">
      <w:pPr>
        <w:spacing w:line="540" w:lineRule="exact"/>
        <w:ind w:firstLineChars="181" w:firstLine="567"/>
        <w:rPr>
          <w:rStyle w:val="ad"/>
          <w:rFonts w:ascii="楷体" w:eastAsia="楷体" w:hAnsi="楷体"/>
          <w:spacing w:val="-4"/>
          <w:sz w:val="32"/>
          <w:szCs w:val="32"/>
        </w:rPr>
      </w:pPr>
      <w:r>
        <w:rPr>
          <w:rStyle w:val="ad"/>
          <w:rFonts w:ascii="楷体" w:eastAsia="楷体" w:hAnsi="楷体" w:hint="eastAsia"/>
          <w:spacing w:val="-4"/>
          <w:sz w:val="32"/>
          <w:szCs w:val="32"/>
        </w:rPr>
        <w:t>（一）绩效评价目的、对象和范围</w:t>
      </w:r>
    </w:p>
    <w:p w14:paraId="5CBE7A93"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1. 绩效评价完整性</w:t>
        <w:br/>
        <w:t>首先，对预算资金的功能进行梳理，包括资金性质、支出范围、实施内容、工作任务、受益对象等，明确聘用人员经费项目的功能特性，确定预算执行能够取得的直接产出成果有哪些，进而确定产出数量指标，工资发放人员32人，工资发放次数12次；其次逐项对照上级下达的任务要求、工作计划设定值、行业标准值、预算相应匹配值等，合理选择产出质量指标，工资发放准确率100%；然后将预算执行的各项工作进行分解，确定各项工作的完成时限，确定产出时效指标，工资发放及时率100%；再根据预算资金和已设立的产出数量指标，通过成本分析确定产出成本指标，每月工资成本28万元；效益指标有效提升单位工作效率。最后根据聘用人员经费项目实施产生的影响确定社会效益指标，有效保障水区市场监督管理工作覆盖率。能够通过绩效评价指标体系完整地体现。</w:t>
        <w:br/>
        <w:t>其次，我局根据岗位需求聘用工作人员，并严格按照考勤管理制度和工作成效按月为聘用人员发放工资和缴纳社保公积金。该项目中涉及内容均于2022年完成，资金支付做往来账处理，2023年按区财政局《关于消化2022年新增暂付性款项的通知》要求，将该款项做账务处理列入当年收支，项目的进展情况和完成率保持一致，与项目年度计划相对应。</w:t>
        <w:br/>
        <w:t>最后，根据聘用人员的考勤表以及工资表，以及年底对雇员的考核表、支付凭证等工作资料，进一步核实并评价数据的来源、对采集过程进行描述，以确保数据的准确性和完整性。</w:t>
        <w:br/>
        <w:t>2. 评价目的</w:t>
        <w:br/>
        <w:t>本项工作旨在落实《中共中央国务院关于全面实施预算绩效管理的意见》（中发〔2018〕34号）文件精神，全面推进预算绩效管理工作，落实预算执行及绩效管理主体责任。具体而言包括以下两点：（1）通过对项目设立的背景、意义、项目内容、项目现状及绩效目标、资金投入、资金管理、组织实施、数量指标、质量指标、时效指标、成本指标和效益指标等进行深入调研和分析，进一步了解消化2022年暂付款项项目实施情况，并考察项目实施过程和效果。（2）通过评价，客观公正反映项目立项科学性、项目管理规范性、项目实施有效性和项目效果，总结项目实施的经验，发现项目实施过程中存在的问题，提出合理化建议，为完善项目管理和相关部门决策提供参考依据，并提高财政资金使用效益。</w:t>
        <w:br/>
        <w:t>3. 评价对象</w:t>
        <w:br/>
        <w:t>（1）绩效评价的对象：消化2022年暂付款项项目</w:t>
        <w:br/>
        <w:t>4. 绩效评价范围</w:t>
        <w:br/>
        <w:t>（1）时间范围：2023年1月1日至2023年12月31日。</w:t>
        <w:br/>
        <w:t>（2）项目范围：为进一步强化市场监督管理工作，切实提高水区市场监督管理水平，保障水区市场监督管理工作覆盖率，提升单位工作效率，我单位根据我局业务工作和后勤保障需求聘用雇员、司机、保洁、保安和厨师共计32人。我单位严格按照劳动法签订劳动合同，并按照局机关临聘人员管理规定对聘用人员进行管理，按照考勤和工作成效每月按时足额发放32名临聘人员工资及社保公积金的缴纳。发放准确率100%，发放及时率100%。我单位临聘人员按量保质完成单位分配的各项工作任务，按时出勤，廉洁自律，服从管理，做好单位后勤保障工作，积极发挥临聘人员在市场监督管理工作中的作用，有效提升单位工作效率，有效保障水区市场监督管理工作覆盖率。</w:t>
        <w:br/>
        <w:t>主要经验及做法：1、提高认识，强化领导，全面推进绩效管理。积极组织单位人员学习绩效管理，充分认识到绩效管理工作的重要意义，树立清晰的绩效管理理念，强化领导责任，把绩效管理工作放在重要地位，为绩效管理工作顺利实施打下坚实基础。2、科学设置指标，注重细节，为全面推进绩效管理奠定基础。设置项目绩效指标首先根据上级下达的目标，合理设置本单位年度目标。各业务科室根据单位全年目标，结合本科室工作内容，在预算资金内，合理细化绩效目标，确保绩效目标的一致性、精准性。3、根据我局业务和后勤保障需求设立临聘工作岗位，并按照局机关临聘人员管理规定对聘用人员进行管理，为保证聘用人员队伍相对稳定，提高工作效能，从政治、生活、工作上关心聘用工作人员，充分调动其积极性、主动性和创造性，我局建立了以岗位为基础，以工作绩效考核为核心的奖惩机制。</w:t>
        <w:br/>
        <w:t>存在的问题及原因分析：1、财务管理和业务管理制度融合度较低。造成此问题的主要原因是各业务科室在彼此的领域沟通了解较少，导致单位业财融合度较低，加强单位各科室人员的相互学习能力，促使财务管理制度与业务管理制度更好的融合在一起，相辅相成。2、单位对项目绩效的重视度较低，需加强对项目绩效的重视程度。加强项目管理，提高单位管理层及项目组对项目绩效的重视程度，造成此问题的主要原因为绩效工作开展时间较短，工作人员对项目重实施轻绩效，今后加强培训，提高工作人员对项目绩效工作的认识及重视程度。</w:t>
        <w:br/>
        <w:t>绩效评价工作开展情况：首先根据本项目的特点、资金使用情况以及绩效目标要求，提出细化的评价指标，制定绩效评价工作方案，其次对项目的绩效评价基础资料进行收集、分类整理，对收集的绩效评价资料进行书面审查核实，对重点对项目立项、绩效目标、资金投入情况，项目资金管理、组织实施情况及项目产出数量、质量、时效、成本情况等情况进行核实，在此基础上运用相关的指标和标准，对资金的使用效果进行对比分析，对项目和资金使用的社会效益进行全面的评价，最后按照项目评价的要求，撰写项目支出绩效评价报告，报告包括:基本情况、绩效评价工作开展情况、综合评价情况及评价结论、绩效评价指标分析、主要经验及做法、存在的问题及原因分析等。</w:t>
        <w:br/>
        <w:t>综合性评价结论：结合项目特点，制定符合项目实际的绩效评价指标体系及评分标准，通过数据采集、问卷调查及访谈等形式，对2023年消化2022年暂付款项目进行客观评价，最终评分结果为：总分为100分，绩效评级为“优”。</w:t>
      </w:r>
    </w:p>
    <w:p w14:paraId="1271490C" w14:textId="77777777" w:rsidR="000048AA" w:rsidRDefault="00000000">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（二）绩效评价原则、评价指标体系、评价方法、评价标准</w:t>
      </w:r>
    </w:p>
    <w:p w14:paraId="1F0C1D90"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1. 评价原则</w:t>
        <w:br/>
        <w:t>（1）科学公正。绩效评价应当运用科学合理的方法，按照规范的程序，对项目绩效进行客观、公正的反映。</w:t>
        <w:br/>
        <w:t>（2）统筹兼顾。单位自评、部门评价和财政评价应职责明确，各有侧重，相互衔接。单位自评应由项目单位自主实施，即“谁支出、谁自评”。部门评价和财政评价应在单位自评的基础上开展，必要时可委托第三方机构实施。</w:t>
        <w:br/>
        <w:t>（3）激励约束。绩效评价结果应与预算安排、政策调整、改进管理实质性挂钩，体现奖优罚劣和激励相容导向，有效要安排、低效要压减、无效要问责。</w:t>
        <w:br/>
        <w:t>（4）公开透明。绩效评价结果应依法依规公开，并自觉接受社会监督。</w:t>
        <w:br/>
        <w:t>2. 评价指标体系</w:t>
        <w:br/>
        <w:t>绩效评价指标体系作为衡量绩效目标实现程度的考核工具，一般遵循以下原则：</w:t>
        <w:br/>
        <w:t>（1）相关性原则：绩效评价指标应当与绩效目标有直接的联系，能够恰当反映目标的实现程度。</w:t>
        <w:br/>
        <w:t>（2）重要性原则：应当优先使用最具评价对象代表性、最能反映评价要求的核心指标。</w:t>
        <w:br/>
        <w:t>（3）可比性原则：对同类评价对象要设定共性的绩效评价指标，以便于评价结果可以相互比较。</w:t>
        <w:br/>
        <w:t>（4）系统性原则：绩效评价指标的设置应当将定量指标与定性指标相结合，能系统反映财政支出所产生的社会效益、经济效益和可持续影响等。</w:t>
        <w:br/>
        <w:t>（5）经济性原则：绩效评价指标设计应当通俗易懂、简便易行，数据的获得应当考虑现实条件和可操作性，符合成本效益原则。</w:t>
        <w:br/>
        <w:t>本项目的评价指标体系建立如表2-1所示</w:t>
        <w:br/>
        <w:t></w:t>
        <w:br/>
        <w:t>表2-1 项目支出绩效评价指标体系</w:t>
        <w:br/>
        <w:t>一级指标	二级指标	三级指标	指标解释	指标说明</w:t>
        <w:br/>
        <w:t>决策	项目立项	立项依据</w:t>
        <w:br/>
        <w:t>充分性	项目立项是否符合法律法规、相关政策、发展规划以及部门职责，用以反映和考核项目立项依据情况。	评价要点：</w:t>
        <w:br/>
        <w:t>①项目立项是否符合国家法律法规、国民经济发展规划和相关政策；</w:t>
        <w:br/>
        <w:t>②项目立项是否符合行业发展规划和政策要求；</w:t>
        <w:br/>
        <w:t>③项目立项是否与部门职责范围相符，属于部门履职所需；</w:t>
        <w:br/>
        <w:t>④项目是否属于公共财政支持范围，是否符合中央、地方事权支出责任划分原则；</w:t>
        <w:br/>
        <w:t>⑤项目是否与相关部门同类项目或部门内部相关项目重复。</w:t>
        <w:br/>
        <w:t>		立项程序</w:t>
        <w:br/>
        <w:t>规范性	项目申请、设立过程是否符合相关要求，用以反映和考核项目立项的规范情况。	评价要点：</w:t>
        <w:br/>
        <w:t>①项目是否按照规定的程序申请设立；</w:t>
        <w:br/>
        <w:t>②审批文件、材料是否符合相关要求；</w:t>
        <w:br/>
        <w:t>③事前是否已经过必要的可行性研究、专家论证、风险评估、绩效评估、集体决策。</w:t>
        <w:br/>
        <w:t>	绩效目标	绩效目标</w:t>
        <w:br/>
        <w:t>合理性	项目所设定的绩效目标是否依据充分，是否符合客观实际，用以反映和考核项目绩效目标与项目实施的相符情况。	评价要点：</w:t>
        <w:br/>
        <w:t>（如未设定预算绩效目标，也可考核其他工作任务目标）</w:t>
        <w:br/>
        <w:t>①项目是否有绩效目标；</w:t>
        <w:br/>
        <w:t>②项目绩效目标与实际工作内容是否具有相关性；</w:t>
        <w:br/>
        <w:t>③项目预期产出效益和效果是否符合正常的业绩水平；</w:t>
        <w:br/>
        <w:t>④是否与预算确定的项目投资额或资金量相匹配。</w:t>
        <w:br/>
        <w:t>决策	绩效目标	绩效指标</w:t>
        <w:br/>
        <w:t>明确性	依据绩效目标设定的绩效指标是否清晰、细化、可衡量等，用以反映和考核项目绩效目标的明细化情况。	评价要点：</w:t>
        <w:br/>
        <w:t>①是否将项目绩效目标细化分解为具体的绩效指标；</w:t>
        <w:br/>
        <w:t>②是否通过清晰、可衡量的指标值予以体现；</w:t>
        <w:br/>
        <w:t>③是否与项目目标任务数或计划数相对应。</w:t>
        <w:br/>
        <w:t>	资金投入	预算编制</w:t>
        <w:br/>
        <w:t>科学性	项目预算编制是否经过科学论证、有明确标准，资金额度与年度目标是否相适应，用以反映和考核项目预算编制的科学性、合理性情况。	评价要点：</w:t>
        <w:br/>
        <w:t>①预算编制是否经过科学论证；</w:t>
        <w:br/>
        <w:t>②预算内容与项目内容是否匹配；</w:t>
        <w:br/>
        <w:t>③预算额度测算依据是否充分，是否按照标准编制；</w:t>
        <w:br/>
        <w:t>④预算确定的项目投资额或资金量是否与工作任务相匹配。</w:t>
        <w:br/>
        <w:t>		资金分配</w:t>
        <w:br/>
        <w:t>合理性	项目预算资金分配是否有测算依据，与补助单位或地方实际是否相适应，用以反映和考核项目预算资金分配的科学性、合理性情况。	评价要点：</w:t>
        <w:br/>
        <w:t>①预算资金分配依据是否充分；</w:t>
        <w:br/>
        <w:t>②资金分配额度是否合理，与项目单位或地方实际是否相适应。</w:t>
        <w:br/>
        <w:t>过程	资金管理	资金到位率	实际到位资金与预算资金的比率，用以反映和考核资金落实情况对项目实施的总体保障程度。	资金到位率=（实际到位资金/预算资金）×100%。</w:t>
        <w:br/>
        <w:t>实际到位资金：一定时期（本年度或项目期）内落实到具体项目的资金。</w:t>
        <w:br/>
        <w:t>预算资金：一定时期（本年度或项目期）内预算安排到具体项目的资金。</w:t>
        <w:br/>
        <w:t>		预算执行率	项目预算资金是否按照计划执行，用以反映或考核项目预算执行情况。	预算执行率=（实际支出资金/实际到位资金）×100%。</w:t>
        <w:br/>
        <w:t>实际支出资金：一定时期（本年度或项目期）内项目实际拨付的资金。</w:t>
        <w:br/>
        <w:t>过程	资金管理	资金使用</w:t>
        <w:br/>
        <w:t>合规性	项目资金使用是否符合相关的财务管理制度规定，用以反映和考核项目资金的规范运行情况。	评价要点：</w:t>
        <w:br/>
        <w:t>①是否符合国家财经法规和财务管理制度以及有关专项资金管理办法的规定；</w:t>
        <w:br/>
        <w:t>②资金的拨付是否有完整的审批程序和手续；</w:t>
        <w:br/>
        <w:t>③是否符合项目预算批复或合同规定的用途；</w:t>
        <w:br/>
        <w:t>④是否存在截留、挤占、挪用、虚列支出等情况。</w:t>
        <w:br/>
        <w:t>	组织实施	管理制度</w:t>
        <w:br/>
        <w:t>健全性	项目实施单位的财务和业务管理制度是否健全，用以反映和考核财务和业务管理制度对项目顺利实施的保障情况。	评价要点：</w:t>
        <w:br/>
        <w:t>①是否已制定或具有相应的财务和业务管理制度；</w:t>
        <w:br/>
        <w:t>②财务和业务管理制度是否合法、合规、完整。</w:t>
        <w:br/>
        <w:t>		制度执行</w:t>
        <w:br/>
        <w:t>有效性	项目实施是否符合相关管理规定，用以反映和考核相关管理制度的有效执行情况。	评价要点：</w:t>
        <w:br/>
        <w:t>①是否遵守相关法律法规和相关管理规定；</w:t>
        <w:br/>
        <w:t>②项目调整及支出调整手续是否完备；</w:t>
        <w:br/>
        <w:t>③项目合同书、验收报告、技术鉴定等资料是否齐全并及时归档；</w:t>
        <w:br/>
        <w:t>④项目实施的人员条件、场地设备、信息支撑等是否落实到位。</w:t>
        <w:br/>
        <w:t>产出	产出数量	工资发放人数	项目实施的实际产出数与计划产出数的比率，用以反映和考核项目产出数量目标的实现程度。	实际完成率=（实际产出数/计划产出数）×100%。</w:t>
        <w:br/>
        <w:t>实际产出数：一定时期（本年度或项目期）内项目实际产出的产品或提供的服务数量。</w:t>
        <w:br/>
        <w:t>计划产出数：项目绩效目标确定的在一定时期（本年度或项目期）内计划产出的产品或提供的服务数量。</w:t>
        <w:br/>
        <w:t>		工资发放次数		</w:t>
        <w:br/>
        <w:t>	产出质量	工资发放准确率	项目完成的质量达标产出数与实际产出数的比率，用以反映和考核项目产出质量目标的实现程度。	质量达标率=（质量达标产出数/实际产出数）×100%。</w:t>
        <w:br/>
        <w:t>质量达标产出数：一定时期（本年度或项目期）内实际达到既定质量标准的产品或服务数量。既定质量标准是指项目实施单位设立绩效目标时依据计划标准、行业标准、历史标准或其他标准而设定的绩效指标值。</w:t>
        <w:br/>
        <w:t>	产出时效	工资发放及时率	项目实际完成时间与计划完成时间的比较，用以反映和考核项目产出时效目标的实现程度。	实际完成时间：项目实施单位完成该项目实际所耗用的时间。</w:t>
        <w:br/>
        <w:t>计划完成时间：按照项目实施计划或相关规定完成该项目所需的时间。</w:t>
        <w:br/>
        <w:t>	产出成本	每月工资发放成本	完成项目计划工作目标的实际节约成本与计划成本的比率，用以反映和考核项目的成本节约程度。	</w:t>
        <w:br/>
        <w:t>成本节约率=[（计划成本-实际成本）/计划成本]×100%。</w:t>
        <w:br/>
        <w:t>实际成本：项目实施单位如期、保质、保量完成既定工作目标实际所耗费的支出。</w:t>
        <w:br/>
        <w:t>计划成本：项目实施单位为完成工作目标计划安排的支出，一般以项目预算为参考。</w:t>
        <w:br/>
        <w:t>效益	社会效益指标	保障水区市场监督管理工作覆盖率	项目实施所产生的效益。	项目实施所产生的社会效益、经济效益、生态效益、可持续影响等。可根据项目实际情况有选择地设置和细化。</w:t>
        <w:br/>
        <w:t>		提高市场监管工作效率		</w:t>
        <w:br/>
        <w:t></w:t>
        <w:br/>
        <w:t></w:t>
        <w:br/>
        <w:t>3. 评价方法</w:t>
        <w:br/>
        <w:t>《关于印发&lt;项目支出绩效评价管理办法&gt;的通知》（财预〔2020〕10号）文件指出部门评价的方法主要包括成本效益分析法、比较法。</w:t>
        <w:br/>
        <w:t>（1）成本效益分析法。是指将投入与产出、效益进</w:t>
        <w:br/>
        <w:t>行关联性分析的方法。</w:t>
        <w:br/>
        <w:t>（2）比较法。是指将实施情况与绩效目标、历史情</w:t>
        <w:br/>
        <w:t>况、不同部门和地区同类支出情况进行比较的方法。</w:t>
        <w:br/>
        <w:t>（3）因素分析法。是指综合分析影响绩效目标实现、</w:t>
        <w:br/>
        <w:t>实施效果的内外部因素的方法。</w:t>
        <w:br/>
        <w:t>（4）最低成本法。是指在绩效目标确定的前提下，</w:t>
        <w:br/>
        <w:t>成本最小者为优的方法。</w:t>
        <w:br/>
        <w:t>（5）公众评判法。是指通过专家评估、公众问卷及</w:t>
        <w:br/>
        <w:t>抽样调查等方式进行评判的方法。</w:t>
        <w:br/>
        <w:t>（6）标杆管理法。是指以国内外同行业中较高的绩</w:t>
        <w:br/>
        <w:t>效水平为标杆进行评判的方法。</w:t>
        <w:br/>
        <w:t>（7）其他评价方法。</w:t>
        <w:br/>
        <w:t>根据本项目（消化2022年暂付款项）的特点，本次评价主要采用成本效益分析法和比较法，对项目总预算和明细预算的内容、标准、计划是否经济合理进行深入分析，以考察实际产出和效益是否达到预期。</w:t>
        <w:br/>
        <w:t>4. 评价标准</w:t>
        <w:br/>
        <w:t>绩效评价标准主要包括计划标准、行业标准、历史标准等，用于对绩效指标完成情况进行比较。</w:t>
        <w:br/>
        <w:t>（1）计划标准。指以预先制定的目标、计划、预算、定额等作为评价标准。</w:t>
        <w:br/>
        <w:t>（2）行业标准。指参照国家公布的行业指标数据制定的评价标准。</w:t>
        <w:br/>
        <w:t>（3）历史标准。指参照历史数据制定的评价标准，为体现绩效改进的原则，在可实现的条件下应当确定相对较高的评价标准。</w:t>
        <w:br/>
        <w:t>在上述评价标准的基础上，本次评价依据以下文件为重要指导和准绳：</w:t>
        <w:br/>
        <w:t>·《中共中央国务院关于全面实施预算绩效管理的意见》（中发〔2018〕34号）</w:t>
        <w:br/>
        <w:t>·《关于印发&lt;乌鲁木齐市本级部门预算绩效目标管理暂行办法&gt;的通知》（乌财预〔2018〕56号）</w:t>
        <w:br/>
        <w:t>·《关于做好2019年部门预算项目支出绩效目标管理有关事宜的通知》（乌财预〔2018〕76号）</w:t>
        <w:br/>
        <w:t>·《项目支出绩效评价管理办法》（财预〔2020〕10号）</w:t>
        <w:br/>
        <w:t>·《乌鲁木齐市水磨沟区市场监督管理局项目支出绩效评价管理办法》</w:t>
        <w:br/>
        <w:t>·《乌鲁木齐市水磨沟区市场监督管理局聘用人员管理办法》</w:t>
        <w:br/>
        <w:t xml:space="preserve">·《关于做好水磨沟区2023年度雇员考核办法的通知》 </w:t>
      </w:r>
    </w:p>
    <w:p w14:paraId="2ED6ECBD" w14:textId="77777777" w:rsidR="000048AA" w:rsidRDefault="00000000">
      <w:pPr>
        <w:spacing w:line="540" w:lineRule="exact"/>
        <w:ind w:firstLineChars="181" w:firstLine="567"/>
        <w:rPr>
          <w:rStyle w:val="ad"/>
          <w:rFonts w:ascii="楷体" w:eastAsia="楷体" w:hAnsi="楷体"/>
          <w:spacing w:val="-4"/>
          <w:sz w:val="32"/>
          <w:szCs w:val="32"/>
        </w:rPr>
      </w:pPr>
      <w:r>
        <w:rPr>
          <w:rStyle w:val="ad"/>
          <w:rFonts w:ascii="楷体" w:eastAsia="楷体" w:hAnsi="楷体" w:hint="eastAsia"/>
          <w:spacing w:val="-4"/>
          <w:sz w:val="32"/>
          <w:szCs w:val="32"/>
        </w:rPr>
        <w:t>（三）绩效评价工作过程</w:t>
      </w:r>
    </w:p>
    <w:p w14:paraId="0644D6D2"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评价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前期准备主要包括实地调研和认真研读相关文件，根据绩效评价的基本原理、原则和项目特点，结合项目绩效目标，项目绩效评组制定了评价指标体系、评分标准、评价方法和相关的工作程序及步骤，形成评价初步方案。]、材料审核分析、现场核查评价、综合分析评价及报告撰写，评价项目实施情况，展现资金使用效益。</w:t>
      </w:r>
    </w:p>
    <w:p w14:paraId="19F1E6B2" w14:textId="77777777" w:rsidR="000048AA" w:rsidRDefault="00000000">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三、综合评价情况及评价结论</w:t>
      </w:r>
    </w:p>
    <w:p w14:paraId="702BFB2D"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（一）评价结论</w:t>
        <w:br/>
        <w:t>结合项目特点，制定符合项目实际的绩效评价指标体系及评分标准，通过数据采集、问卷调查及访谈等形式，对2023年消化2022年暂付款项进行客观评价，最终评分结果为：总分为100分，绩效评级为“优”[本次绩效评价结果实施百分制和四级分类，其中90（含）-100分为优、80（含）-90分为良、70（含）-80分为中、70分以下为差。]。</w:t>
        <w:br/>
        <w:t>项目各部分权重和绩效分值如表3-1所示：</w:t>
        <w:br/>
        <w:t>表3-1 项目各部分权重和绩效分值</w:t>
        <w:br/>
        <w:t>一级指标	二级指标	三级指标	分值	得分	得分率</w:t>
        <w:br/>
        <w:t>决策	项目立项	立项依据充分性	4	4	100%</w:t>
        <w:br/>
        <w:t>		立项程序规范性	4	4	100%</w:t>
        <w:br/>
        <w:t>	绩效目标	绩效目标合理性	3	3	100%</w:t>
        <w:br/>
        <w:t>		绩效指标明确性	3	3	100%</w:t>
        <w:br/>
        <w:t>	资金投入	预算编制科学性	3	3	100%</w:t>
        <w:br/>
        <w:t>		资金分配合理性	3	3	100%</w:t>
        <w:br/>
        <w:t>过程	资金管理	资金到位率	5	5	100%</w:t>
        <w:br/>
        <w:t>		预算执行率	5	5	100%</w:t>
        <w:br/>
        <w:t>		资金使用合规性	3	3	100%</w:t>
        <w:br/>
        <w:t>	组织实施	管理制度健全性	3	3	100%</w:t>
        <w:br/>
        <w:t>		制度执行有效性	4	4	100%</w:t>
        <w:br/>
        <w:t>产出	产出数量	工资发放人数	5	5	100%</w:t>
        <w:br/>
        <w:t>		工资发放次数	5	5	100%</w:t>
        <w:br/>
        <w:t>	产出质量	工资发放准确率	10	10	100%</w:t>
        <w:br/>
        <w:t>	产出时效	工资发放及时率	10	10	100%</w:t>
        <w:br/>
        <w:t>	产出成本	每月工资发放成本	10	10	100%</w:t>
        <w:br/>
        <w:t>效益	社会效益指标	保障水区市场监督管理工作覆盖率	10	10	100%</w:t>
        <w:br/>
        <w:t>		提高市场监管工作效率	10	10	100%</w:t>
        <w:br/>
        <w:t>（二）主要绩效</w:t>
        <w:br/>
        <w:t>该项目资金区财政及时拨付，单位在此次评价期间内，有序完成设定目标的全部工作任务。具体完成情况：根据我局业务工作和后勤保障需求聘用雇员、司机、保洁、保安和厨师共计32人。我单位严格按照劳动法签订劳动合同，并按照局机关临聘人员管理规定对聘用人员进行管理，按照考勤和工作成效每月按时足额发放32名临聘人员工资及社保公积金的缴纳。发放准确率100%，发放及时率100%。我单位临聘人员按量保质完成单位分配的各项工作任务，按时出勤，廉洁自律，服从管理，做好单位后勤保障工作，积极发挥临聘人员在市场监督管理工作中的作用，有效提升单位工作效率，有效保障水区市场监督管理工作覆盖率。</w:t>
      </w:r>
    </w:p>
    <w:p w14:paraId="624FD63F" w14:textId="77777777" w:rsidR="000048AA" w:rsidRDefault="00000000">
      <w:pPr>
        <w:spacing w:line="540" w:lineRule="exact"/>
        <w:ind w:firstLine="640"/>
        <w:rPr>
          <w:rStyle w:val="ad"/>
          <w:rFonts w:ascii="黑体" w:eastAsia="黑体" w:hAnsi="黑体"/>
        </w:rPr>
      </w:pPr>
      <w:r>
        <w:rPr>
          <w:rStyle w:val="ad"/>
          <w:rFonts w:ascii="黑体" w:eastAsia="黑体" w:hAnsi="黑体" w:hint="eastAsia"/>
          <w:b w:val="0"/>
          <w:spacing w:val="-4"/>
          <w:sz w:val="32"/>
          <w:szCs w:val="32"/>
        </w:rPr>
        <w:t>四、绩效评价指标分析</w:t>
      </w:r>
      <w:r>
        <w:rPr>
          <w:rStyle w:val="ad"/>
          <w:rFonts w:ascii="黑体" w:eastAsia="黑体" w:hAnsi="黑体" w:hint="eastAsia"/>
        </w:rPr>
        <w:t xml:space="preserve"> </w:t>
      </w:r>
    </w:p>
    <w:p w14:paraId="2BDB141E" w14:textId="77777777" w:rsidR="000048AA" w:rsidRDefault="00000000">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（一）</w:t>
      </w:r>
      <w:r>
        <w:rPr>
          <w:rStyle w:val="ad"/>
          <w:rFonts w:ascii="楷体" w:eastAsia="楷体" w:hAnsi="楷体" w:hint="eastAsia"/>
          <w:spacing w:val="-4"/>
          <w:sz w:val="32"/>
          <w:szCs w:val="32"/>
        </w:rPr>
        <w:t>项目决策情况</w:t>
      </w:r>
    </w:p>
    <w:p w14:paraId="0E9F8597" w14:textId="77777777" w:rsidR="000048AA" w:rsidRDefault="00000000">
      <w:pPr>
        <w:tabs>
          <w:tab w:val="center" w:pos="4295"/>
        </w:tabs>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项目决策指标由3个二级指标和6个三级指标构成，权重为20分，实际得分20分。</w:t>
        <w:br/>
        <w:t>1. 项目立项</w:t>
        <w:br/>
        <w:t>立项依据充分性：项目立项符合水区政府要求，严格按照水区人社局核定的聘用人数和工资标准。同时，项目与部门职责范围相符，为切实提高水区市场监督管理水平，保障水区市场监督管理工作覆盖率，提升单位工作效率，做好单位后勤保障工作，聘用临聘人员属于部门履职所需。此外，本项目属于区级财政拨款范围，符合区级财政资金支出责任划分原则。因此，立项依据充分，得4分。</w:t>
        <w:br/>
        <w:t>立项程序规范性:项目按照规定的项目管理程序申请设立，严格按照水区人社局核定的聘用岗位、人数雇用临聘人员，签订劳动合同，按照考勤和人社局核定的工资标准发放工资。</w:t>
        <w:br/>
        <w:t>劳动合同、人员考勤、工资表、考核表、支付凭证项目档案等材料符合相关要求，故立项程序规范，得 4 分。</w:t>
        <w:br/>
        <w:t>综上，该指标满分8分，得分8分。</w:t>
        <w:br/>
        <w:t>2. 绩效目标</w:t>
        <w:br/>
        <w:t>绩效目标合理性：本项目的绩效目标按照产出、成本、效益构建绩效评价指标，且具有明确性、可衡量性、可实现性、相关性和时限性等特点，能较为全面地反映本项目的产出和效益。</w:t>
        <w:br/>
        <w:t>我局聘用人员经费项目已按照区财政局统一部署申报设立了绩效目标，并通过财政审核。项目绩效目标与实际工作内容基本相关，项目预期产出效益为提高市场监管工作效率和保障水区市场监管工作覆盖率，符合正常的业绩水平，与项目确定的投资额相匹配。故绩效目标合理性指标得分3分。</w:t>
        <w:br/>
        <w:t>绩效目标明确性：目标已细化为具体的绩效指标，可通过数量指标工资发放人数、工资发放次数，质量指标工资发放准确率，时效指标工资发放及时率和成本指标每月工资发放成本予以量化，并具有确切的评价标准，且指标设定均与目标相关。各项指标均能在现实条件下收集到相关数据进行佐证，人事部门提供的聘用人员的考勤表以及年底对雇员的考核表，财务部门提供的工资发放表，并与当年项目年度计划相对应，故绩效目标明确性指标得分3分。</w:t>
        <w:br/>
        <w:t>综上，该指标满分6分，得分6分。</w:t>
        <w:br/>
        <w:t>3. 资金投入</w:t>
        <w:br/>
        <w:t>预算编制科学性：根据水财发【2023】45号文件精神，该经费为消化2022年暂付款项，经费按2022年发放临聘人员工资、缴纳社保公积金和2022年缴纳退休职业年金总额拨付。故预算编制科学性指标得分3分。</w:t>
        <w:br/>
        <w:t>资金分配合理性：根据水财发【2023】45号文件精神，经费依据2022年发放临聘人员工资、缴纳社保公积金和2022年缴纳退休职业年金金额测算。故资金分配合理性指标得分3分。</w:t>
        <w:br/>
        <w:t>综上，该指标满分6分，得分6分。</w:t>
      </w:r>
      <w:r>
        <w:rPr>
          <w:rStyle w:val="ad"/>
          <w:rFonts w:ascii="楷体" w:eastAsia="楷体" w:hAnsi="楷体" w:hint="eastAsia"/>
          <w:b w:val="0"/>
          <w:bCs w:val="0"/>
          <w:spacing w:val="-4"/>
          <w:sz w:val="32"/>
          <w:szCs w:val="32"/>
        </w:rPr>
        <w:tab/>
      </w:r>
    </w:p>
    <w:p w14:paraId="18D4984C" w14:textId="77777777" w:rsidR="000048AA" w:rsidRDefault="00000000">
      <w:pPr>
        <w:spacing w:line="540" w:lineRule="exact"/>
        <w:ind w:firstLineChars="181" w:firstLine="567"/>
        <w:rPr>
          <w:rStyle w:val="ad"/>
          <w:rFonts w:ascii="楷体" w:eastAsia="楷体" w:hAnsi="楷体"/>
          <w:spacing w:val="-4"/>
          <w:sz w:val="32"/>
          <w:szCs w:val="32"/>
        </w:rPr>
      </w:pPr>
      <w:r>
        <w:rPr>
          <w:rFonts w:ascii="楷体" w:eastAsia="楷体" w:hAnsi="楷体" w:hint="eastAsia"/>
          <w:b/>
          <w:spacing w:val="-4"/>
          <w:sz w:val="32"/>
          <w:szCs w:val="32"/>
        </w:rPr>
        <w:t>（二）</w:t>
      </w:r>
      <w:r>
        <w:rPr>
          <w:rStyle w:val="ad"/>
          <w:rFonts w:ascii="楷体" w:eastAsia="楷体" w:hAnsi="楷体" w:hint="eastAsia"/>
          <w:spacing w:val="-4"/>
          <w:sz w:val="32"/>
          <w:szCs w:val="32"/>
        </w:rPr>
        <w:t>项目过程情况</w:t>
      </w:r>
    </w:p>
    <w:p w14:paraId="2EE3560E"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项目过程指标由2个二级指标和5个三级指标构成，权重为20分，实际得分20分。</w:t>
        <w:br/>
        <w:t>1. 资金管理</w:t>
        <w:br/>
        <w:t>资金到位率：该项目资金经水财发【2023】45号文件批复，为年初预算，于2023年3月到位，资金到位率为100%。故资金到位率指标得分5分。</w:t>
        <w:br/>
        <w:t>预算执行率：项目为年初预算，共安排预算345万元，资金执行金额345万元，预算执行率为100%。故预算执行率得分为5分。</w:t>
        <w:br/>
        <w:t>资金使用合规性：本项目资金的使用符合国家财经法规和我局财务管理制度以及项目资金管理办法的规定。同时，资金的拨付有完成审批程序，支付资金需要人事部门的考勤表和工资表，经局领导申请，通过财务部门发放工资，符合项目预算批复或合同规定的用途，不存在截留、挤占、挪用、虚列支出等情况。故资金使用合规性得分为3分。</w:t>
        <w:br/>
        <w:t>综上，该指标满分13分，得分13分。</w:t>
        <w:br/>
        <w:t>2. 组织实施</w:t>
        <w:br/>
        <w:t>管理制度健全性：乌鲁木齐市水磨沟区市场监督管理局已制定相应的财务预、决算管理制度、财务收支业务管理办法、项目支出绩效评价管理办法、临聘人员管理办法，且制度合法、合规、完整，为项目顺利实施提供重要保障。故管理制度健全性得分为3分。</w:t>
        <w:br/>
        <w:t>制度执行有效性：根据评价小组核查情况，乌鲁木齐市水磨沟区市场监督管理局严格遵守相关法律法规和相关管理规定，项目调整及支出调整手续完备，整体管理合理有序，项目完成后，及时将会计凭证、考勤表、发票、工资表等相关资料分类归档，制度执行有效。故制度执行有效性指标得分4分。</w:t>
        <w:br/>
        <w:t>综上，该指标满分7分，得分7分。</w:t>
      </w:r>
    </w:p>
    <w:p w14:paraId="626924A3" w14:textId="77777777" w:rsidR="000048AA" w:rsidRDefault="00000000">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（三）</w:t>
      </w:r>
      <w:r>
        <w:rPr>
          <w:rStyle w:val="ad"/>
          <w:rFonts w:ascii="楷体" w:eastAsia="楷体" w:hAnsi="楷体" w:hint="eastAsia"/>
          <w:spacing w:val="-4"/>
          <w:sz w:val="32"/>
          <w:szCs w:val="32"/>
        </w:rPr>
        <w:t>项目产出情况</w:t>
      </w:r>
    </w:p>
    <w:p w14:paraId="76AF5AFA"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项目产出指标由4个二级指标和5个三级指标构成，权重为40分，实际得分40分。</w:t>
        <w:br/>
        <w:t>1. 产出数量</w:t>
        <w:br/>
        <w:t>数量指标“工资发放人数”的目标值是32人，我单位实际发放32人工资，实际得分5分；</w:t>
        <w:br/>
        <w:t>数量指标“工资发放次数”的目标值是12次，我单位实际发放12次工资，实际得分5分；</w:t>
        <w:br/>
        <w:t>该指标赋分10分，得分10分，得分率100%。</w:t>
        <w:br/>
        <w:t>2. 产出质量</w:t>
        <w:br/>
        <w:t>质量指标“工资发放准确率”的目标值是100%，实际完成值100%，共准确发放32人工资。</w:t>
        <w:br/>
        <w:t>该指标赋分10分，得分10分，得分率100%。</w:t>
        <w:br/>
        <w:t>3. 产出时效</w:t>
        <w:br/>
        <w:t>时效指标“工资发放及时率”的目标值是100%，实际完成值100%，共按时发放32人工资。</w:t>
        <w:br/>
        <w:t>该指标赋分10分，得分10分，得分率100%。</w:t>
        <w:br/>
        <w:t>4. 产出成本</w:t>
        <w:br/>
        <w:t>成本指标“每月工资发放成本”目标值28万元，本项目临聘人员工资每月工资发放成本28万，12个月共计支出336万元，无超支情况。</w:t>
        <w:br/>
        <w:t>该指标赋分10分，得分10分，得分率100%</w:t>
        <w:br/>
        <w:t>综上，该部分指标满分40分，得分40分。</w:t>
      </w:r>
    </w:p>
    <w:p w14:paraId="404219E3" w14:textId="77777777" w:rsidR="000048AA" w:rsidRDefault="00000000">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（四）</w:t>
      </w:r>
      <w:r>
        <w:rPr>
          <w:rStyle w:val="ad"/>
          <w:rFonts w:ascii="楷体" w:eastAsia="楷体" w:hAnsi="楷体" w:hint="eastAsia"/>
          <w:spacing w:val="-4"/>
          <w:sz w:val="32"/>
          <w:szCs w:val="32"/>
        </w:rPr>
        <w:t>项目效益情况</w:t>
      </w:r>
    </w:p>
    <w:p w14:paraId="5CE82706" w14:textId="380AB000" w:rsidR="009C229E" w:rsidRDefault="00000000" w:rsidP="000B0B98">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项目效益指标由1个二级指标和2个三级指标构成，权重为20分，实际得分20分。</w:t>
        <w:br/>
        <w:t>1. 项目效益</w:t>
        <w:br/>
        <w:t>（1）实施效益</w:t>
        <w:br/>
        <w:t>经济效益指标：不适用。</w:t>
        <w:br/>
        <w:t>社会效益指标：评价指标“保障水区市场监督管理工作覆盖率”，指标值：有效保障，实际完成值：完全达到预期。我单位根据我局业务工作需求聘用22名雇员，主要从事辅助市场监管日常监管工作；进一步增强了基层市场监管力量,缓解了市场监管人员短缺压力,提高了市场监督工作服务水平,切实提高了水区市场监督管理水平，保障了水区市场监督管理工作覆盖率。</w:t>
        <w:br/>
        <w:t>评价指标“提高市场监管工作效率”，指标值：逐步提高，实际完成值：完全达到预期。我单位根据我局业务工作和后勤保障需求聘用雇员、司机、保洁、保安和厨师共计32人。我单位临聘人员按量保质完成单位分配的各项工作任务，按时出勤，廉洁自律，服从管理，做好单位后勤保障工作，积极发挥临聘人员在市场监督管理工作中的作用，有效提升单位工作效率。</w:t>
        <w:br/>
        <w:t>生态效益指标：不适用。</w:t>
        <w:br/>
        <w:t>综上，该指标满分20分，得分20分。</w:t>
      </w:r>
    </w:p>
    <w:p w14:paraId="57FD828A" w14:textId="202F46A4"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无</w:t>
      </w:r>
    </w:p>
    <w:p w14:paraId="3385D9A6" w14:textId="77777777" w:rsidR="000048AA" w:rsidRDefault="000048AA">
      <w:pPr>
        <w:spacing w:line="540" w:lineRule="exact"/>
        <w:ind w:firstLine="567"/>
        <w:rPr>
          <w:rStyle w:val="ad"/>
          <w:rFonts w:ascii="楷体" w:eastAsia="楷体" w:hAnsi="楷体"/>
          <w:spacing w:val="-4"/>
          <w:sz w:val="32"/>
          <w:szCs w:val="32"/>
        </w:rPr>
      </w:pPr>
    </w:p>
    <w:p w14:paraId="75C28D89" w14:textId="468D6AD1" w:rsidR="000048AA" w:rsidRDefault="003A1721">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五</w:t>
      </w:r>
      <w:r w:rsidR="00000000">
        <w:rPr>
          <w:rStyle w:val="ad"/>
          <w:rFonts w:ascii="黑体" w:eastAsia="黑体" w:hAnsi="黑体" w:hint="eastAsia"/>
          <w:b w:val="0"/>
          <w:spacing w:val="-4"/>
          <w:sz w:val="32"/>
          <w:szCs w:val="32"/>
        </w:rPr>
        <w:t>、主要经验及做法、存在的问题及原因分析</w:t>
      </w:r>
    </w:p>
    <w:p w14:paraId="43BCB296" w14:textId="77777777" w:rsidR="000048AA" w:rsidRDefault="00000000">
      <w:pPr>
        <w:spacing w:line="540" w:lineRule="exact"/>
        <w:ind w:firstLine="567"/>
        <w:rPr>
          <w:rFonts w:ascii="仿宋_GB2312" w:eastAsia="仿宋_GB2312"/>
          <w:spacing w:val="-4"/>
          <w:sz w:val="32"/>
          <w:szCs w:val="32"/>
        </w:rPr>
      </w:pPr>
      <w:r>
        <w:rPr>
          <w:rStyle w:val="ad"/>
          <w:rFonts w:ascii="楷体" w:eastAsia="楷体" w:hAnsi="楷体" w:hint="eastAsia"/>
          <w:b w:val="0"/>
          <w:bCs w:val="0"/>
          <w:spacing w:val="-4"/>
          <w:sz w:val="32"/>
          <w:szCs w:val="32"/>
        </w:rPr>
        <w:t>（一）主要经验及做法</w:t>
        <w:br/>
        <w:t>1、提高认识，强化领导，全面推进绩效管理。积极组织单位人员学习绩效管理，充分认识到绩效管理工作的重要意义，树立清晰的绩效管理理念，强化领导责任，把绩效管理工作放在重要地位，为绩效管理工作顺利实施打下坚实基础。</w:t>
        <w:br/>
        <w:t>2、科学设置指标，注重细节，为全面推进绩效管理奠定基础。设置项目绩效指标首先根据上级下达的目标，合理设置本单位年度目标。各业务科室根据单位全年目标，结合本科室工作内容，在预算资金内，合理细化绩效目标，确保绩效目标的一致性、精准性。</w:t>
        <w:br/>
        <w:t>3、根据我局业务和后勤保障需求设立临聘工作岗位，并按照局机关临聘人员管理规定对聘用人员进行管理，为保证聘用人员队伍相对稳定，提高工作效能，从政治、生活、工作上关心聘用工作人员，充分调动其积极性、主动性和创造性，我局建立了以岗位为基础，以工作绩效考核为核心的奖惩机制。</w:t>
        <w:br/>
        <w:t>（二）存在的问题及原因分析</w:t>
        <w:br/>
        <w:t>1、财务管理和业务管理制度融合度较低。造成此问题的主要原因是各业务科室在彼此的领域沟通了解较少，导致单位业财融合度较低，加强单位各科室人员的相互学习能力，促使财务管理制度与业务管理制度更好的融合在一起，相辅相成。</w:t>
        <w:br/>
        <w:t>2、单位对项目绩效的重视度较低，需加强对项目绩效的重视程度。加强项目管理，提高单位管理层及项目组对项目绩效的重视程度，造成此问题的主要原因为绩效工作开展时间较短，工作人员对项目重实施轻绩效，今后加强培训，提高工作人员对项目绩效工作的认识及重视程度。</w:t>
      </w:r>
    </w:p>
    <w:p w14:paraId="391BFB09" w14:textId="21B51445" w:rsidR="000048AA" w:rsidRDefault="003A1721">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六</w:t>
      </w:r>
      <w:r w:rsidR="00000000">
        <w:rPr>
          <w:rStyle w:val="ad"/>
          <w:rFonts w:ascii="黑体" w:eastAsia="黑体" w:hAnsi="黑体" w:hint="eastAsia"/>
          <w:b w:val="0"/>
          <w:spacing w:val="-4"/>
          <w:sz w:val="32"/>
          <w:szCs w:val="32"/>
        </w:rPr>
        <w:t>、有关建议</w:t>
      </w:r>
    </w:p>
    <w:p w14:paraId="017A5A3F" w14:textId="77777777" w:rsidR="000048AA" w:rsidRDefault="00000000">
      <w:pPr>
        <w:spacing w:line="540" w:lineRule="exact"/>
        <w:ind w:firstLine="567"/>
        <w:rPr>
          <w:rStyle w:val="ad"/>
          <w:rFonts w:ascii="楷体" w:eastAsia="楷体" w:hAnsi="楷体"/>
          <w:spacing w:val="-4"/>
          <w:sz w:val="32"/>
          <w:szCs w:val="32"/>
        </w:rPr>
      </w:pPr>
      <w:r>
        <w:rPr>
          <w:rStyle w:val="ad"/>
          <w:rFonts w:ascii="楷体" w:eastAsia="楷体" w:hAnsi="楷体" w:hint="eastAsia"/>
          <w:b w:val="0"/>
          <w:bCs w:val="0"/>
          <w:spacing w:val="-4"/>
          <w:sz w:val="32"/>
          <w:szCs w:val="32"/>
        </w:rPr>
        <w:t>（一）加强与财政沟通协调，确保资金及时到位 </w:t>
        <w:br/>
        <w:t>在经济下行，财政紧张的大形势下，需加强与财政沟通协调，及时申请拨付资金，确保聘用人员工资及时发放，各项工作正常运转。 </w:t>
        <w:br/>
        <w:t>（二）加强项目的绩效管理 </w:t>
        <w:br/>
        <w:t>不断完善、细化并落实管理制度和项目支出评价指标体系；严格落实运行机制，对项目资金进行认真详细事前绩效目标编审、事中绩效监控、事后的评价，及时发现纠正项目实施过程中存在的问题，不断提升绩效管理质效。</w:t>
        <w:br/>
        <w:t>（三）做好财务核算，强化财政资金管理实施单位应压实管理责任，做好财政资金拨付到位的监督审查工作，强化财政资金管理，建立本项目相关资金专项核算账目，并严格落实内外部监管制度，保证项目资金做到专款专用，规范 资金运行，坚决杜绝截留、挤占、挪用、虚列支出等现象发生。</w:t>
      </w:r>
    </w:p>
    <w:p w14:paraId="4DE4CB6C" w14:textId="75B864F1" w:rsidR="000048AA" w:rsidRDefault="003A1721">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七</w:t>
      </w:r>
      <w:r w:rsidR="00000000">
        <w:rPr>
          <w:rStyle w:val="ad"/>
          <w:rFonts w:ascii="黑体" w:eastAsia="黑体" w:hAnsi="黑体" w:hint="eastAsia"/>
          <w:b w:val="0"/>
          <w:spacing w:val="-4"/>
          <w:sz w:val="32"/>
          <w:szCs w:val="32"/>
        </w:rPr>
        <w:t>、其他需要说明的问题</w:t>
      </w:r>
    </w:p>
    <w:p w14:paraId="5D5CD257"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（一）项目支出政策和路径设计科学，符合实际需要；</w:t>
        <w:br/>
        <w:t>（二）项目安排准确，未发现背离项目立项初衷的情况；</w:t>
        <w:br/>
        <w:t>（三）项目的申报、审核机制完善；</w:t>
        <w:br/>
        <w:t>（四）未发现虚假行为和骗取财政资金的问题。</w:t>
      </w:r>
    </w:p>
    <w:p w14:paraId="4CFE2C52" w14:textId="77777777" w:rsidR="000048AA" w:rsidRDefault="000048AA">
      <w:pPr>
        <w:spacing w:line="540" w:lineRule="exact"/>
        <w:ind w:firstLine="567"/>
        <w:rPr>
          <w:rStyle w:val="ad"/>
          <w:rFonts w:ascii="仿宋" w:eastAsia="仿宋" w:hAnsi="仿宋"/>
          <w:b w:val="0"/>
          <w:spacing w:val="-4"/>
          <w:sz w:val="32"/>
          <w:szCs w:val="32"/>
        </w:rPr>
      </w:pPr>
    </w:p>
    <w:p w14:paraId="4DF72206" w14:textId="77777777" w:rsidR="000048AA" w:rsidRDefault="000048AA">
      <w:pPr>
        <w:spacing w:line="540" w:lineRule="exact"/>
        <w:ind w:firstLine="567"/>
        <w:rPr>
          <w:rStyle w:val="ad"/>
          <w:rFonts w:ascii="仿宋" w:eastAsia="仿宋" w:hAnsi="仿宋"/>
          <w:b w:val="0"/>
          <w:spacing w:val="-4"/>
          <w:sz w:val="32"/>
          <w:szCs w:val="32"/>
        </w:rPr>
      </w:pPr>
    </w:p>
    <w:p w14:paraId="1CE13106" w14:textId="77777777" w:rsidR="000048AA" w:rsidRDefault="000048AA">
      <w:pPr>
        <w:spacing w:line="540" w:lineRule="exact"/>
        <w:ind w:firstLine="567"/>
        <w:rPr>
          <w:rStyle w:val="ad"/>
          <w:rFonts w:ascii="仿宋" w:eastAsia="仿宋" w:hAnsi="仿宋"/>
          <w:b w:val="0"/>
          <w:spacing w:val="-4"/>
          <w:sz w:val="32"/>
          <w:szCs w:val="32"/>
        </w:rPr>
      </w:pPr>
    </w:p>
    <w:p w14:paraId="06227BCA" w14:textId="77777777" w:rsidR="000048AA" w:rsidRDefault="000048AA">
      <w:pPr>
        <w:spacing w:line="540" w:lineRule="exact"/>
        <w:ind w:firstLine="567"/>
        <w:rPr>
          <w:rStyle w:val="ad"/>
          <w:rFonts w:ascii="仿宋" w:eastAsia="仿宋" w:hAnsi="仿宋"/>
          <w:b w:val="0"/>
          <w:spacing w:val="-4"/>
          <w:sz w:val="32"/>
          <w:szCs w:val="32"/>
        </w:rPr>
      </w:pPr>
    </w:p>
    <w:p w14:paraId="73F3A83B" w14:textId="77777777" w:rsidR="000048AA" w:rsidRDefault="000048AA">
      <w:pPr>
        <w:spacing w:line="540" w:lineRule="exact"/>
        <w:ind w:firstLine="567"/>
        <w:rPr>
          <w:rStyle w:val="ad"/>
          <w:rFonts w:ascii="仿宋" w:eastAsia="仿宋" w:hAnsi="仿宋"/>
          <w:b w:val="0"/>
          <w:spacing w:val="-4"/>
          <w:sz w:val="32"/>
          <w:szCs w:val="32"/>
        </w:rPr>
      </w:pPr>
    </w:p>
    <w:sectPr w:rsidR="000048AA">
      <w:footerReference w:type="default" r:id="rId7"/>
      <w:pgSz w:w="11906" w:h="16838"/>
      <w:pgMar w:top="1440" w:right="1558" w:bottom="1440" w:left="1757"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1E1755F" w14:textId="77777777" w:rsidR="0083370B" w:rsidRDefault="0083370B">
      <w:r>
        <w:separator/>
      </w:r>
    </w:p>
  </w:endnote>
  <w:endnote w:type="continuationSeparator" w:id="0">
    <w:p w14:paraId="12EB7A3D" w14:textId="77777777" w:rsidR="0083370B" w:rsidRDefault="008337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1" w:usb1="080E0000" w:usb2="00000000" w:usb3="00000000" w:csb0="00040000" w:csb1="00000000"/>
  </w:font>
  <w:font w:name="仿宋_GB2312">
    <w:altName w:val="微软雅黑"/>
    <w:charset w:val="86"/>
    <w:family w:val="modern"/>
    <w:pitch w:val="default"/>
    <w:sig w:usb0="00000001" w:usb1="080E0000" w:usb2="0000000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22003363"/>
    </w:sdtPr>
    <w:sdtContent>
      <w:p w14:paraId="24F5BCB1" w14:textId="77777777" w:rsidR="000048AA" w:rsidRDefault="00000000">
        <w:pPr>
          <w:pStyle w:val="a5"/>
          <w:jc w:val="center"/>
        </w:pPr>
        <w:r>
          <w:fldChar w:fldCharType="begin"/>
        </w:r>
        <w:r>
          <w:instrText>PAGE   \* MERGEFORMAT</w:instrText>
        </w:r>
        <w:r>
          <w:fldChar w:fldCharType="separate"/>
        </w:r>
        <w:r>
          <w:rPr>
            <w:lang w:val="zh-CN"/>
          </w:rPr>
          <w:t>1</w:t>
        </w:r>
        <w:r>
          <w:fldChar w:fldCharType="end"/>
        </w:r>
      </w:p>
    </w:sdtContent>
  </w:sdt>
  <w:p w14:paraId="0254A9D2" w14:textId="77777777" w:rsidR="000048AA" w:rsidRDefault="000048AA">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4DDC7CF" w14:textId="77777777" w:rsidR="0083370B" w:rsidRDefault="0083370B">
      <w:r>
        <w:separator/>
      </w:r>
    </w:p>
  </w:footnote>
  <w:footnote w:type="continuationSeparator" w:id="0">
    <w:p w14:paraId="581B45A7" w14:textId="77777777" w:rsidR="0083370B" w:rsidRDefault="0083370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A6457"/>
    <w:rsid w:val="000048AA"/>
    <w:rsid w:val="00056465"/>
    <w:rsid w:val="000B0B98"/>
    <w:rsid w:val="00102DFF"/>
    <w:rsid w:val="00121AE4"/>
    <w:rsid w:val="00146AAD"/>
    <w:rsid w:val="001B3A40"/>
    <w:rsid w:val="00291BC0"/>
    <w:rsid w:val="00311DBE"/>
    <w:rsid w:val="003A1721"/>
    <w:rsid w:val="004366A8"/>
    <w:rsid w:val="00491B24"/>
    <w:rsid w:val="00502BA7"/>
    <w:rsid w:val="005162F1"/>
    <w:rsid w:val="00535153"/>
    <w:rsid w:val="00554F82"/>
    <w:rsid w:val="0056390D"/>
    <w:rsid w:val="005719B0"/>
    <w:rsid w:val="005D10D6"/>
    <w:rsid w:val="007E3CE9"/>
    <w:rsid w:val="0083370B"/>
    <w:rsid w:val="00855E3A"/>
    <w:rsid w:val="0091457F"/>
    <w:rsid w:val="00922CB9"/>
    <w:rsid w:val="009C229E"/>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7261865"/>
    <w:rsid w:val="0856517C"/>
    <w:rsid w:val="0BFB189F"/>
    <w:rsid w:val="11BD75F7"/>
    <w:rsid w:val="13BE561A"/>
    <w:rsid w:val="15392994"/>
    <w:rsid w:val="18FE139B"/>
    <w:rsid w:val="2A891760"/>
    <w:rsid w:val="3029612C"/>
    <w:rsid w:val="32A221C5"/>
    <w:rsid w:val="33F20F2A"/>
    <w:rsid w:val="34C44675"/>
    <w:rsid w:val="3B5B5607"/>
    <w:rsid w:val="3CE21B3C"/>
    <w:rsid w:val="4D2606A1"/>
    <w:rsid w:val="51830480"/>
    <w:rsid w:val="53A616BE"/>
    <w:rsid w:val="54662BFB"/>
    <w:rsid w:val="62051CA5"/>
    <w:rsid w:val="6C3A69EF"/>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2F5C16"/>
  <w15:docId w15:val="{0489C6AD-E05D-4182-89B3-2ACE873221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0"/>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0"/>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0"/>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0"/>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0"/>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0"/>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0"/>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0"/>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qFormat/>
    <w:rPr>
      <w:sz w:val="18"/>
      <w:szCs w:val="18"/>
    </w:rPr>
  </w:style>
  <w:style w:type="paragraph" w:styleId="a5">
    <w:name w:val="footer"/>
    <w:basedOn w:val="a"/>
    <w:link w:val="a6"/>
    <w:uiPriority w:val="99"/>
    <w:unhideWhenUsed/>
    <w:qFormat/>
    <w:pPr>
      <w:tabs>
        <w:tab w:val="center" w:pos="4153"/>
        <w:tab w:val="right" w:pos="8306"/>
      </w:tabs>
      <w:snapToGrid w:val="0"/>
      <w:jc w:val="left"/>
    </w:pPr>
    <w:rPr>
      <w:rFonts w:ascii="Calibri" w:hAnsi="Calibri"/>
      <w:sz w:val="18"/>
      <w:szCs w:val="18"/>
    </w:rPr>
  </w:style>
  <w:style w:type="paragraph" w:styleId="a7">
    <w:name w:val="header"/>
    <w:basedOn w:val="a"/>
    <w:link w:val="a8"/>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Subtitle"/>
    <w:basedOn w:val="a"/>
    <w:next w:val="a"/>
    <w:link w:val="aa"/>
    <w:uiPriority w:val="11"/>
    <w:qFormat/>
    <w:pPr>
      <w:widowControl/>
      <w:spacing w:after="60"/>
      <w:jc w:val="center"/>
      <w:outlineLvl w:val="1"/>
    </w:pPr>
    <w:rPr>
      <w:rFonts w:asciiTheme="majorHAnsi" w:eastAsiaTheme="majorEastAsia" w:hAnsiTheme="majorHAnsi"/>
      <w:kern w:val="0"/>
      <w:sz w:val="24"/>
    </w:rPr>
  </w:style>
  <w:style w:type="paragraph" w:styleId="ab">
    <w:name w:val="Title"/>
    <w:basedOn w:val="a"/>
    <w:next w:val="a"/>
    <w:link w:val="ac"/>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d">
    <w:name w:val="Strong"/>
    <w:basedOn w:val="a0"/>
    <w:qFormat/>
    <w:rPr>
      <w:b/>
      <w:bCs/>
    </w:rPr>
  </w:style>
  <w:style w:type="character" w:styleId="ae">
    <w:name w:val="Emphasis"/>
    <w:basedOn w:val="a0"/>
    <w:uiPriority w:val="20"/>
    <w:qFormat/>
    <w:rPr>
      <w:rFonts w:asciiTheme="minorHAnsi" w:hAnsiTheme="minorHAnsi"/>
      <w:b/>
      <w:i/>
      <w:iCs/>
    </w:rPr>
  </w:style>
  <w:style w:type="character" w:customStyle="1" w:styleId="10">
    <w:name w:val="标题 1 字符"/>
    <w:basedOn w:val="a0"/>
    <w:link w:val="1"/>
    <w:uiPriority w:val="9"/>
    <w:qFormat/>
    <w:rPr>
      <w:rFonts w:asciiTheme="majorHAnsi" w:eastAsiaTheme="majorEastAsia" w:hAnsiTheme="majorHAnsi"/>
      <w:b/>
      <w:bCs/>
      <w:kern w:val="32"/>
      <w:sz w:val="32"/>
      <w:szCs w:val="32"/>
    </w:rPr>
  </w:style>
  <w:style w:type="character" w:customStyle="1" w:styleId="20">
    <w:name w:val="标题 2 字符"/>
    <w:basedOn w:val="a0"/>
    <w:link w:val="2"/>
    <w:uiPriority w:val="9"/>
    <w:semiHidden/>
    <w:qFormat/>
    <w:rPr>
      <w:rFonts w:asciiTheme="majorHAnsi" w:eastAsiaTheme="majorEastAsia" w:hAnsiTheme="majorHAnsi"/>
      <w:b/>
      <w:bCs/>
      <w:i/>
      <w:iCs/>
      <w:sz w:val="28"/>
      <w:szCs w:val="28"/>
    </w:rPr>
  </w:style>
  <w:style w:type="character" w:customStyle="1" w:styleId="30">
    <w:name w:val="标题 3 字符"/>
    <w:basedOn w:val="a0"/>
    <w:link w:val="3"/>
    <w:uiPriority w:val="9"/>
    <w:semiHidden/>
    <w:qFormat/>
    <w:rPr>
      <w:rFonts w:asciiTheme="majorHAnsi" w:eastAsiaTheme="majorEastAsia" w:hAnsiTheme="majorHAnsi"/>
      <w:b/>
      <w:bCs/>
      <w:sz w:val="26"/>
      <w:szCs w:val="26"/>
    </w:rPr>
  </w:style>
  <w:style w:type="character" w:customStyle="1" w:styleId="40">
    <w:name w:val="标题 4 字符"/>
    <w:basedOn w:val="a0"/>
    <w:link w:val="4"/>
    <w:uiPriority w:val="9"/>
    <w:semiHidden/>
    <w:qFormat/>
    <w:rPr>
      <w:b/>
      <w:bCs/>
      <w:sz w:val="28"/>
      <w:szCs w:val="28"/>
    </w:rPr>
  </w:style>
  <w:style w:type="character" w:customStyle="1" w:styleId="50">
    <w:name w:val="标题 5 字符"/>
    <w:basedOn w:val="a0"/>
    <w:link w:val="5"/>
    <w:uiPriority w:val="9"/>
    <w:semiHidden/>
    <w:qFormat/>
    <w:rPr>
      <w:b/>
      <w:bCs/>
      <w:i/>
      <w:iCs/>
      <w:sz w:val="26"/>
      <w:szCs w:val="26"/>
    </w:rPr>
  </w:style>
  <w:style w:type="character" w:customStyle="1" w:styleId="60">
    <w:name w:val="标题 6 字符"/>
    <w:basedOn w:val="a0"/>
    <w:link w:val="6"/>
    <w:uiPriority w:val="9"/>
    <w:semiHidden/>
    <w:qFormat/>
    <w:rPr>
      <w:b/>
      <w:bCs/>
    </w:rPr>
  </w:style>
  <w:style w:type="character" w:customStyle="1" w:styleId="70">
    <w:name w:val="标题 7 字符"/>
    <w:basedOn w:val="a0"/>
    <w:link w:val="7"/>
    <w:uiPriority w:val="9"/>
    <w:semiHidden/>
    <w:qFormat/>
    <w:rPr>
      <w:sz w:val="24"/>
      <w:szCs w:val="24"/>
    </w:rPr>
  </w:style>
  <w:style w:type="character" w:customStyle="1" w:styleId="80">
    <w:name w:val="标题 8 字符"/>
    <w:basedOn w:val="a0"/>
    <w:link w:val="8"/>
    <w:uiPriority w:val="9"/>
    <w:semiHidden/>
    <w:qFormat/>
    <w:rPr>
      <w:i/>
      <w:iCs/>
      <w:sz w:val="24"/>
      <w:szCs w:val="24"/>
    </w:rPr>
  </w:style>
  <w:style w:type="character" w:customStyle="1" w:styleId="90">
    <w:name w:val="标题 9 字符"/>
    <w:basedOn w:val="a0"/>
    <w:link w:val="9"/>
    <w:uiPriority w:val="9"/>
    <w:semiHidden/>
    <w:qFormat/>
    <w:rPr>
      <w:rFonts w:asciiTheme="majorHAnsi" w:eastAsiaTheme="majorEastAsia" w:hAnsiTheme="majorHAnsi"/>
    </w:rPr>
  </w:style>
  <w:style w:type="character" w:customStyle="1" w:styleId="ac">
    <w:name w:val="标题 字符"/>
    <w:basedOn w:val="a0"/>
    <w:link w:val="ab"/>
    <w:uiPriority w:val="10"/>
    <w:qFormat/>
    <w:rPr>
      <w:rFonts w:asciiTheme="majorHAnsi" w:eastAsiaTheme="majorEastAsia" w:hAnsiTheme="majorHAnsi"/>
      <w:b/>
      <w:bCs/>
      <w:kern w:val="28"/>
      <w:sz w:val="32"/>
      <w:szCs w:val="32"/>
    </w:rPr>
  </w:style>
  <w:style w:type="character" w:customStyle="1" w:styleId="aa">
    <w:name w:val="副标题 字符"/>
    <w:basedOn w:val="a0"/>
    <w:link w:val="a9"/>
    <w:uiPriority w:val="11"/>
    <w:qFormat/>
    <w:rPr>
      <w:rFonts w:asciiTheme="majorHAnsi" w:eastAsiaTheme="majorEastAsia" w:hAnsiTheme="majorHAnsi"/>
      <w:sz w:val="24"/>
      <w:szCs w:val="24"/>
    </w:rPr>
  </w:style>
  <w:style w:type="paragraph" w:styleId="af">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f0">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f1">
    <w:name w:val="Quote"/>
    <w:basedOn w:val="a"/>
    <w:next w:val="a"/>
    <w:link w:val="af2"/>
    <w:uiPriority w:val="29"/>
    <w:qFormat/>
    <w:pPr>
      <w:widowControl/>
      <w:jc w:val="left"/>
    </w:pPr>
    <w:rPr>
      <w:rFonts w:asciiTheme="minorHAnsi" w:eastAsiaTheme="minorEastAsia" w:hAnsiTheme="minorHAnsi"/>
      <w:i/>
      <w:kern w:val="0"/>
      <w:sz w:val="24"/>
    </w:rPr>
  </w:style>
  <w:style w:type="character" w:customStyle="1" w:styleId="af2">
    <w:name w:val="引用 字符"/>
    <w:basedOn w:val="a0"/>
    <w:link w:val="af1"/>
    <w:uiPriority w:val="29"/>
    <w:qFormat/>
    <w:rPr>
      <w:i/>
      <w:sz w:val="24"/>
      <w:szCs w:val="24"/>
    </w:rPr>
  </w:style>
  <w:style w:type="paragraph" w:styleId="af3">
    <w:name w:val="Intense Quote"/>
    <w:basedOn w:val="a"/>
    <w:next w:val="a"/>
    <w:link w:val="af4"/>
    <w:uiPriority w:val="30"/>
    <w:qFormat/>
    <w:pPr>
      <w:widowControl/>
      <w:ind w:left="720" w:right="720"/>
      <w:jc w:val="left"/>
    </w:pPr>
    <w:rPr>
      <w:rFonts w:asciiTheme="minorHAnsi" w:eastAsiaTheme="minorEastAsia" w:hAnsiTheme="minorHAnsi"/>
      <w:b/>
      <w:i/>
      <w:kern w:val="0"/>
      <w:sz w:val="24"/>
      <w:szCs w:val="22"/>
    </w:rPr>
  </w:style>
  <w:style w:type="character" w:customStyle="1" w:styleId="af4">
    <w:name w:val="明显引用 字符"/>
    <w:basedOn w:val="a0"/>
    <w:link w:val="af3"/>
    <w:uiPriority w:val="30"/>
    <w:qFormat/>
    <w:rPr>
      <w:b/>
      <w:i/>
      <w:sz w:val="24"/>
    </w:rPr>
  </w:style>
  <w:style w:type="character" w:customStyle="1" w:styleId="11">
    <w:name w:val="不明显强调1"/>
    <w:uiPriority w:val="19"/>
    <w:qFormat/>
    <w:rPr>
      <w:i/>
      <w:color w:val="595959" w:themeColor="text1" w:themeTint="A6"/>
    </w:rPr>
  </w:style>
  <w:style w:type="character" w:customStyle="1" w:styleId="12">
    <w:name w:val="明显强调1"/>
    <w:basedOn w:val="a0"/>
    <w:uiPriority w:val="21"/>
    <w:qFormat/>
    <w:rPr>
      <w:b/>
      <w:i/>
      <w:sz w:val="24"/>
      <w:szCs w:val="24"/>
      <w:u w:val="single"/>
    </w:rPr>
  </w:style>
  <w:style w:type="character" w:customStyle="1" w:styleId="13">
    <w:name w:val="不明显参考1"/>
    <w:basedOn w:val="a0"/>
    <w:uiPriority w:val="31"/>
    <w:qFormat/>
    <w:rPr>
      <w:sz w:val="24"/>
      <w:szCs w:val="24"/>
      <w:u w:val="single"/>
    </w:rPr>
  </w:style>
  <w:style w:type="character" w:customStyle="1" w:styleId="14">
    <w:name w:val="明显参考1"/>
    <w:basedOn w:val="a0"/>
    <w:uiPriority w:val="32"/>
    <w:qFormat/>
    <w:rPr>
      <w:b/>
      <w:sz w:val="24"/>
      <w:u w:val="single"/>
    </w:rPr>
  </w:style>
  <w:style w:type="character" w:customStyle="1" w:styleId="15">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a8">
    <w:name w:val="页眉 字符"/>
    <w:basedOn w:val="a0"/>
    <w:link w:val="a7"/>
    <w:uiPriority w:val="99"/>
    <w:qFormat/>
    <w:rPr>
      <w:rFonts w:ascii="Calibri" w:eastAsia="宋体" w:hAnsi="Calibri"/>
      <w:kern w:val="2"/>
      <w:sz w:val="18"/>
      <w:szCs w:val="18"/>
    </w:rPr>
  </w:style>
  <w:style w:type="character" w:customStyle="1" w:styleId="a6">
    <w:name w:val="页脚 字符"/>
    <w:basedOn w:val="a0"/>
    <w:link w:val="a5"/>
    <w:uiPriority w:val="99"/>
    <w:rPr>
      <w:rFonts w:ascii="Calibri" w:eastAsia="宋体" w:hAnsi="Calibri"/>
      <w:kern w:val="2"/>
      <w:sz w:val="18"/>
      <w:szCs w:val="18"/>
    </w:rPr>
  </w:style>
  <w:style w:type="character" w:customStyle="1" w:styleId="a4">
    <w:name w:val="批注框文本 字符"/>
    <w:basedOn w:val="a0"/>
    <w:link w:val="a3"/>
    <w:uiPriority w:val="99"/>
    <w:semiHidden/>
    <w:qFormat/>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no"?>
<Relationships xmlns="http://schemas.openxmlformats.org/package/2006/relationships">
<Relationship Id="rId1" Target="../customXml/item1.xml" Type="http://schemas.openxmlformats.org/officeDocument/2006/relationships/customXml"/>
<Relationship Id="rId2" Target="styles.xml" Type="http://schemas.openxmlformats.org/officeDocument/2006/relationships/styles"/>
<Relationship Id="rId3" Target="settings.xml" Type="http://schemas.openxmlformats.org/officeDocument/2006/relationships/settings"/>
<Relationship Id="rId4" Target="webSettings.xml" Type="http://schemas.openxmlformats.org/officeDocument/2006/relationships/webSettings"/>
<Relationship Id="rId5" Target="footnotes.xml" Type="http://schemas.openxmlformats.org/officeDocument/2006/relationships/footnotes"/>
<Relationship Id="rId6" Target="endnotes.xml" Type="http://schemas.openxmlformats.org/officeDocument/2006/relationships/endnotes"/>
<Relationship Id="rId7" Target="footer1.xml" Type="http://schemas.openxmlformats.org/officeDocument/2006/relationships/footer"/>
<Relationship Id="rId8" Target="fontTable.xml" Type="http://schemas.openxmlformats.org/officeDocument/2006/relationships/fontTable"/>
<Relationship Id="rId9" Target="theme/theme1.xml" Type="http://schemas.openxmlformats.org/officeDocument/2006/relationships/them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3</Pages>
  <Words>95</Words>
  <Characters>546</Characters>
  <Application>Microsoft Office Word</Application>
  <DocSecurity>0</DocSecurity>
  <Lines>4</Lines>
  <Paragraphs>1</Paragraphs>
  <ScaleCrop>false</ScaleCrop>
  <Company/>
  <LinksUpToDate>false</LinksUpToDate>
  <CharactersWithSpaces>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2018-08-15T02:06:00Z</dcterms:created>
  <dc:creator>赵 恺（预算处）</dc:creator>
  <cp:lastModifiedBy>Lenovo</cp:lastModifiedBy>
  <cp:lastPrinted>2018-12-31T10:56:00Z</cp:lastPrinted>
  <dcterms:modified xsi:type="dcterms:W3CDTF">2024-03-18T05:17:00Z</dcterms:modified>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C734C92AAAF24344A0E4232D8EB3359B</vt:lpwstr>
  </property>
</Properties>
</file>