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乌鲁木齐市水磨沟区新民路片区管理委员会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乌鲁木齐市水磨沟区新民路片区管理委员会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何亚飞</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2024年05月24日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 项目背景、主要内容及实施情况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实施背景：按照项目绩效评价要求，选取资金支出占比超过20%项目，新民路片区消化2022暂付款项目，该项目包含12个子项目,于2022年完成，资金支付做往来账处理，2023年按区财政局《关于消化2022年新增暂付性款项的通知》要求，将该款项做账务处理列入当年收支，项目明细如下：</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消化2022暂付款项目，包含2022年12个区本级项目，资金均在以暂付款支付完毕。本年根据财政局消化新增暂付款工作要求，将暂付款转为本年支出，已对该项目完成调帐工作。本年根据财政局消化新增暂付款工作要求，将暂付款转为本年支出，已对该项目完成调帐工作。具体包括：(1)新民路李淑华赴京劝访相关费用,(2）社区经费，通过经费保障社区活动的组织、基础设施的维护以及社区环境的改善，给社区居民提供高质量的服务，满足居民日益增长的物质文化需求。（3）2022年临时聘用人员经费，通过按时发放临聘人员工资及缴纳社保，可以激励临聘人员更好地投入工作，提高其工作效率。（4）2022年临聘人员经费（第二次），通过按时发放临聘人员工资及缴纳社保，可以激励临聘人员更好地投入工作，提高其工作效率。（5）2022年临聘人员经费（第三次），通过按时发放临聘人员工资及缴纳社保，可以激励临聘人员更好地投入工作，提高其工作效率。（6）工作经费，通过工作经费的合理分配和使用，更好地提升了街道办事处的办公效率。（7）2019年大封闭项目资金，（8）便民服务站人员伙食费，主要用于支付配餐公司为便民服务站工作人员每天早中晚三餐餐费，从而提高他们的工作效率和生活质量。（9）社区食堂补助经费，（10）便民服务站运行经费，通过资金保障，有利于提高服务站工作效率，提升服务质量。（11）封闭化岗亭人员经费，主要用于支付封闭化岗亭值守人员工资，保障工作人员的正常生活需求，提高工作积极性。（12）2022年临聘人员经费，通过按时发放临聘人员工资及缴纳社保，可以激励临聘人员更好地投入工作，提高其工作效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2023年当年完成情况，实际完成情况为：新民路片区消化2022暂付款项目，项目金额5084.20万元元。管委会、社区、便民服务站运转经费，年初预算374.51万元，执行率100%；社区食堂伙食费，年初预算125.16万元，执行率100%；便民服务站人员伙食费，年初预算40.84万元，执行率100%；临聘人员经费4543.65万元。绩效目标已顺利完成，总体完成情况较好。</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资金投入和使用情况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资金投入情况：根据2023年水磨沟区第十七届人民代表大会第三次会议审议通过2023年预算以及《关于下达2023年水磨沟区部门预算的通知》，经水财发【2023】1号文件，下达该预算项目。项目系2023年本级资金，共安排预算5084.20万元，于2023年年初预算批复项目，年中无资金调整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资金使用情况：项目系2023年本级资金，共安排预算5084.20万元，资金到位5084.20万元。本年支付5084.20万元，执行率100%。项目包含2022年12个区本级项目，资金均在2022年以暂付款支付完毕。资金均在2022年以暂付款支付完毕。</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该项目为当年一次性项目。</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总体绩效目标：消化2022暂付款项，该项目资金金额5084.20万元，该项目具体包括：(1)新民路李淑华赴京劝访相关费用,(2）社区经费，通过经费保障社区活动的组织、基础设施的维护以及社区环境的改善，给社区居民提供高质量的服务，满足居民日益增长的物质文化需求。（3）2022年临时聘用人员经费，通过按时发放临聘人员工资及缴纳社保，可以激励临聘人员更好地投入工作，提高其工作效率。（4）2022年临聘人员经费（第二次），通过按时发放临聘人员工资及缴纳社保，可以激励临聘人员更好地投入工作，提高其工作效率。（5）2022年临聘人员经费（第三次），通过按时发放临聘人员工资及缴纳社保，可以激励临聘人员更好地投入工作，提高其工作效率。（6）工作经费，通过工作经费的合理分配和使用，更好地提升了街道办事处的办公效率。（7）2019年大封闭项目资金，（8）便民服务站人员伙食费，主要用于支付配餐公司为便民服务站工作人员每天早中晚三餐餐费，从而提高他们的工作效率和生活质量。（9）社区食堂补助经费，（10）便民服务站运行经费，通过资金保障，有利于提高服务站工作效率，提升服务质量。（11）封闭化岗亭人员经费，主要用于支付封闭化岗亭值守人员工资，保障工作人员的正常生活需求，提高工作积极性。（12）2022年临聘人员经费，通过按时发放临聘人员工资及缴纳社保，可以激励临聘人员更好地投入工作，提高其工作效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通过加强财政暂付款管理，首先可以起到消化存量的作用。其次切实增强预算约束性，起到严控增量的作用。再次，可以规范基层财政制度建设，加大财政资源统筹力度，提升财政资金使用效率。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阶段性目标为：在2023年计划完成涉及社区数量：16个；便民服务站数量：16个；临聘人员人数量：912个；工资、社保发放准确率：100%；社区正常运转率：100%；便民服务站工作正常运转率：100%；机关正常运转率：100%；工资社保发放及时率：100%；管委会、社区、便民服务站运转经费，年初预算374.51万元，执行率100%；社区食堂伙食费，年初预算125.16万元，执行率100%；便民服务站人员伙食费，年初预算40.84万元，执行率100%；临聘人员经费4543.65万元。保障辖区内各项工作正常开展：有效保障；辖区居民满意度：100%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二、绩效评价工作开展情况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（一）绩效评价目的、对象和范围</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 绩效评价完整性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首先，对于项目的目标、范围和要求，我们需要通过绩效评价指标体系将其完整地体现出来。这意味着，我们需要明确项目的核心目标，主要为及时消化2022年新增暂付款项，评价指标通过上年12个新增暂付款项目资金使用的实际用途，按照具体指标分类，如人员类指标包括发放临聘人员工资人数，工资、社保发放准确率,工资社保发放及时率等完整体现该类项目所需，进行目标设定；通过公用经费类指标，如工作正常运转率、保障辖区内各项工作正常开展、辖区居民满意度等相关指标，反映该类项目目标要求。</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其次，分析项目的计划和执行过程，是确保体现项目的进展情况和完成度的重要步骤。我们按照暂付款项目的具体用途和资金实际使用涉及的相关科目，逐条进行消化，以便对项目的整体情况有一个清晰的了解。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最后，需要对评价数据的来源、采集进行描述，以确保数据的准确性和完整性。通过上年预算项目明细账及预算项目余额表进行整理、分析，对项目的效果进行公正、客观的评价。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评价目的</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评价对象</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（1）绩效评价的对象：消化2022年暂付款项项目</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 绩效评价范围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（1）时间范围：2023年1月1日至2023年12月31日。</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项目范围：消化2022暂付款项目，项目金额5084.20万元，项目资金方面均在2022年支付完毕，本年根据财政局消化新增暂付款工作要求转为本年支出，目前在2023年计划完成涉及社区数量：16个；便民服务站数量：16个；临聘人员人数量：912个；工资、社保发放准确率：100%；社区正常运转率：100%；便民服务站工作正常运转率：100%；机关正常运转率：100%；工资社保发放及时率：100%；管委会、社区、便民服务站运转经费，年初预算374.51万元，执行率100%；社区食堂伙食费，年初预算125.16万元，执行率100%；便民服务站人员伙食费，年初预算40.84万元，执行率100%；临聘人员经费4543.65万元。保障辖区内各项工作正常开展：有效保障；辖区居民满意度：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主要经验：按照年初预算资金项目组织并实施，加强年初预算项目的管理，提高项目资金预算的准确性。榆树沟片区管委会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存在的主要问题：消化2022年暂付款项主要以区级财政投入为主，当前全区重点工作和建设任务较多，区级财政资金压力日益增大。还需要完善内部控制体系建设，建立项目的绩效跟踪机制，对项目执行进情况行督促落实，确保财政资金发挥最大效益。</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该项目已执行完毕。绩效目标已顺利完成，总体完成情况较好。全年执行率：100% ,总体完成率：100%。</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（二）绩效评价原则、评价指标体系、评价方法、评价标准</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 评价原则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（1）科学公正。绩效评价应当运用科学合理的方法，按照规范的程序，对项目绩效进行客观、公正的反映。</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（4）公开透明。绩效评价结果应依法依规公开，并自觉接受社会监督。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评价指标体系</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绩效评价指标体系作为衡量绩效目标实现程度的考核工具，一般遵循以下原则：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（1）相关性原则：绩效评价指标应当与绩效目标有直接的联系，能够恰当反映目标的实现程度。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（2）重要性原则：应当优先使用最具评价对象代表性、最能反映评价要求的核心指标。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（3）可比性原则：对同类评价对象要设定共性的绩效评价指标，以便于评价结果可以相互比较。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本项目的评价指标体系建立如表2-1所示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表2-1 项目支出绩效评价指标体系</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一级指标</w:t>
      </w:r>
      <w:r>
        <w:rPr>
          <w:rStyle w:val="17"/>
          <w:rFonts w:hint="eastAsia" w:ascii="楷体" w:hAnsi="楷体" w:eastAsia="楷体"/>
          <w:b w:val="0"/>
          <w:bCs w:val="0"/>
          <w:spacing w:val="-4"/>
          <w:sz w:val="32"/>
          <w:szCs w:val="32"/>
        </w:rPr>
        <w:tab/>
        <w:t>二级指标</w:t>
      </w:r>
      <w:r>
        <w:rPr>
          <w:rStyle w:val="17"/>
          <w:rFonts w:hint="eastAsia" w:ascii="楷体" w:hAnsi="楷体" w:eastAsia="楷体"/>
          <w:b w:val="0"/>
          <w:bCs w:val="0"/>
          <w:spacing w:val="-4"/>
          <w:sz w:val="32"/>
          <w:szCs w:val="32"/>
        </w:rPr>
        <w:tab/>
        <w:t>三级指标</w:t>
      </w:r>
      <w:r>
        <w:rPr>
          <w:rStyle w:val="17"/>
          <w:rFonts w:hint="eastAsia" w:ascii="楷体" w:hAnsi="楷体" w:eastAsia="楷体"/>
          <w:b w:val="0"/>
          <w:bCs w:val="0"/>
          <w:spacing w:val="-4"/>
          <w:sz w:val="32"/>
          <w:szCs w:val="32"/>
        </w:rPr>
        <w:tab/>
        <w:t>指标解释</w:t>
      </w:r>
      <w:r>
        <w:rPr>
          <w:rStyle w:val="17"/>
          <w:rFonts w:hint="eastAsia" w:ascii="楷体" w:hAnsi="楷体" w:eastAsia="楷体"/>
          <w:b w:val="0"/>
          <w:bCs w:val="0"/>
          <w:spacing w:val="-4"/>
          <w:sz w:val="32"/>
          <w:szCs w:val="32"/>
        </w:rPr>
        <w:tab/>
        <w:t>指标说明</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项目立项</w:t>
      </w:r>
      <w:r>
        <w:rPr>
          <w:rStyle w:val="17"/>
          <w:rFonts w:hint="eastAsia" w:ascii="楷体" w:hAnsi="楷体" w:eastAsia="楷体"/>
          <w:b w:val="0"/>
          <w:bCs w:val="0"/>
          <w:spacing w:val="-4"/>
          <w:sz w:val="32"/>
          <w:szCs w:val="32"/>
        </w:rPr>
        <w:tab/>
        <w:t>立项依据</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充分性</w:t>
      </w:r>
      <w:r>
        <w:rPr>
          <w:rStyle w:val="17"/>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①项目立项是否符合国家法律法规、国民经济发展规划和相关政策；</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②项目立项是否符合行业发展规划和政策要求；</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③项目立项是否与部门职责范围相符，属于部门履职所需；</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④项目是否属于公共财政支持范围，是否符合中央、地方事权支出责任划分原则；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⑤项目是否与相关部门同类项目或部门内部相关项目重复。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立项程序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规范性</w:t>
      </w:r>
      <w:r>
        <w:rPr>
          <w:rStyle w:val="17"/>
          <w:rFonts w:hint="eastAsia" w:ascii="楷体" w:hAnsi="楷体" w:eastAsia="楷体"/>
          <w:b w:val="0"/>
          <w:bCs w:val="0"/>
          <w:spacing w:val="-4"/>
          <w:sz w:val="32"/>
          <w:szCs w:val="32"/>
        </w:rPr>
        <w:tab/>
        <w:t>项目申请、设立过程是否符合相关要求，用以反映和考核项目立项的规范情况。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①项目是否按照规定的程序申请设立；</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②审批文件、材料是否符合相关要求；</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③事前是否已经过必要的可行性研究、专家论证、风险评估、绩效评估、集体决策。</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合理性</w:t>
      </w:r>
      <w:r>
        <w:rPr>
          <w:rStyle w:val="17"/>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（如未设定预算绩效目标，也可考核其他工作任务目标）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①项目是否有绩效目标；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②项目绩效目标与实际工作内容是否具有相关性；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③项目预期产出效益和效果是否符合正常的业绩水平；</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④是否与预算确定的项目投资额或资金量相匹配。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明确性</w:t>
      </w:r>
      <w:r>
        <w:rPr>
          <w:rStyle w:val="17"/>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①是否将项目绩效目标细化分解为具体的绩效指标；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②是否通过清晰、可衡量的指标值予以体现；</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③是否与项目目标任务数或计划数相对应。</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资金投入</w:t>
      </w:r>
      <w:r>
        <w:rPr>
          <w:rStyle w:val="17"/>
          <w:rFonts w:hint="eastAsia" w:ascii="楷体" w:hAnsi="楷体" w:eastAsia="楷体"/>
          <w:b w:val="0"/>
          <w:bCs w:val="0"/>
          <w:spacing w:val="-4"/>
          <w:sz w:val="32"/>
          <w:szCs w:val="32"/>
        </w:rPr>
        <w:tab/>
        <w:t>预算编制</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科学性</w:t>
      </w:r>
      <w:r>
        <w:rPr>
          <w:rStyle w:val="17"/>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①预算编制是否经过科学论证；</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②预算内容与项目内容是否匹配；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③预算额度测算依据是否充分，是否按照标准编制；</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④预算确定的项目投资额或资金量是否与工作任务相匹配。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资金分配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合理性</w:t>
      </w:r>
      <w:r>
        <w:rPr>
          <w:rStyle w:val="17"/>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①预算资金分配依据是否充分；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②资金分配额度是否合理，与项目单位或地方实际是否相适应。</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资金到位率</w:t>
      </w:r>
      <w:r>
        <w:rPr>
          <w:rStyle w:val="17"/>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7"/>
          <w:rFonts w:hint="eastAsia" w:ascii="楷体" w:hAnsi="楷体" w:eastAsia="楷体"/>
          <w:b w:val="0"/>
          <w:bCs w:val="0"/>
          <w:spacing w:val="-4"/>
          <w:sz w:val="32"/>
          <w:szCs w:val="32"/>
        </w:rPr>
        <w:tab/>
        <w:t>资金到位率=（实际到位资金/预算资金）×100%。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实际到位资金：一定时期（本年度或项目期）内落实到具体项目的资金。</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预算资金：一定时期（本年度或项目期）内预算安排到具体项目的资金。</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预算执行率</w:t>
      </w:r>
      <w:r>
        <w:rPr>
          <w:rStyle w:val="17"/>
          <w:rFonts w:hint="eastAsia" w:ascii="楷体" w:hAnsi="楷体" w:eastAsia="楷体"/>
          <w:b w:val="0"/>
          <w:bCs w:val="0"/>
          <w:spacing w:val="-4"/>
          <w:sz w:val="32"/>
          <w:szCs w:val="32"/>
        </w:rPr>
        <w:tab/>
        <w:t>项目预算资金是否按照计划执行，用以反映或考核项目预算执行情况。</w:t>
      </w:r>
      <w:r>
        <w:rPr>
          <w:rStyle w:val="17"/>
          <w:rFonts w:hint="eastAsia" w:ascii="楷体" w:hAnsi="楷体" w:eastAsia="楷体"/>
          <w:b w:val="0"/>
          <w:bCs w:val="0"/>
          <w:spacing w:val="-4"/>
          <w:sz w:val="32"/>
          <w:szCs w:val="32"/>
        </w:rPr>
        <w:tab/>
        <w:t>预算执行率=（实际支出资金/实际到位资金）×100%。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实际支出资金：一定时期（本年度或项目期）内项目实际拨付的资金。</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资金使用</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合规性</w:t>
      </w:r>
      <w:r>
        <w:rPr>
          <w:rStyle w:val="17"/>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①是否符合国家财经法规和财务管理制度以及有关专项资金管理办法的规定；</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②资金的拨付是否有完整的审批程序和手续；</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③是否符合项目预算批复或合同规定的用途；</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④是否存在截留、挤占、挪用、虚列支出等情况。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组织实施</w:t>
      </w:r>
      <w:r>
        <w:rPr>
          <w:rStyle w:val="17"/>
          <w:rFonts w:hint="eastAsia" w:ascii="楷体" w:hAnsi="楷体" w:eastAsia="楷体"/>
          <w:b w:val="0"/>
          <w:bCs w:val="0"/>
          <w:spacing w:val="-4"/>
          <w:sz w:val="32"/>
          <w:szCs w:val="32"/>
        </w:rPr>
        <w:tab/>
        <w:t>管理制度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健全性</w:t>
      </w:r>
      <w:r>
        <w:rPr>
          <w:rStyle w:val="17"/>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①是否已制定或具有相应的财务和业务管理制度；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②财务和业务管理制度是否合法、合规、完整。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制度执行</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有效性</w:t>
      </w:r>
      <w:r>
        <w:rPr>
          <w:rStyle w:val="17"/>
          <w:rFonts w:hint="eastAsia" w:ascii="楷体" w:hAnsi="楷体" w:eastAsia="楷体"/>
          <w:b w:val="0"/>
          <w:bCs w:val="0"/>
          <w:spacing w:val="-4"/>
          <w:sz w:val="32"/>
          <w:szCs w:val="32"/>
        </w:rPr>
        <w:tab/>
        <w:t>项目实施是否符合相关管理规定，用以反映和考核相关管理制度的有效执行情况。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①是否遵守相关法律法规和相关管理规定；</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②项目调整及支出调整手续是否完备；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③项目合同书、验收报告、技术鉴定等资料是否齐全并及时归档；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④项目实施的人员条件、场地设备、信息支撑等是否落实到位。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产出</w:t>
      </w:r>
      <w:r>
        <w:rPr>
          <w:rStyle w:val="17"/>
          <w:rFonts w:hint="eastAsia" w:ascii="楷体" w:hAnsi="楷体" w:eastAsia="楷体"/>
          <w:b w:val="0"/>
          <w:bCs w:val="0"/>
          <w:spacing w:val="-4"/>
          <w:sz w:val="32"/>
          <w:szCs w:val="32"/>
        </w:rPr>
        <w:tab/>
        <w:t>产出数量</w:t>
      </w:r>
      <w:r>
        <w:rPr>
          <w:rStyle w:val="17"/>
          <w:rFonts w:hint="eastAsia" w:ascii="楷体" w:hAnsi="楷体" w:eastAsia="楷体"/>
          <w:b w:val="0"/>
          <w:bCs w:val="0"/>
          <w:spacing w:val="-4"/>
          <w:sz w:val="32"/>
          <w:szCs w:val="32"/>
        </w:rPr>
        <w:tab/>
        <w:t>社区数量</w:t>
      </w:r>
      <w:r>
        <w:rPr>
          <w:rStyle w:val="17"/>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7"/>
          <w:rFonts w:hint="eastAsia" w:ascii="楷体" w:hAnsi="楷体" w:eastAsia="楷体"/>
          <w:b w:val="0"/>
          <w:bCs w:val="0"/>
          <w:spacing w:val="-4"/>
          <w:sz w:val="32"/>
          <w:szCs w:val="32"/>
        </w:rPr>
        <w:tab/>
        <w:t>实际完成率=（实际产出数/计划产出数）×100%。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实际产出数：一定时期（本年度或项目期）内项目实际产出的产品或提供的服务数量。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便民服务站数量</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临聘人员数量</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产出质量</w:t>
      </w:r>
      <w:r>
        <w:rPr>
          <w:rStyle w:val="17"/>
          <w:rFonts w:hint="eastAsia" w:ascii="楷体" w:hAnsi="楷体" w:eastAsia="楷体"/>
          <w:b w:val="0"/>
          <w:bCs w:val="0"/>
          <w:spacing w:val="-4"/>
          <w:sz w:val="32"/>
          <w:szCs w:val="32"/>
        </w:rPr>
        <w:tab/>
        <w:t>工资、社保发放准确率</w:t>
      </w:r>
      <w:r>
        <w:rPr>
          <w:rStyle w:val="17"/>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7"/>
          <w:rFonts w:hint="eastAsia" w:ascii="楷体" w:hAnsi="楷体" w:eastAsia="楷体"/>
          <w:b w:val="0"/>
          <w:bCs w:val="0"/>
          <w:spacing w:val="-4"/>
          <w:sz w:val="32"/>
          <w:szCs w:val="32"/>
        </w:rPr>
        <w:tab/>
        <w:t>质量达标率=（质量达标产出数/实际产出数）×100%。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社区正常运转率</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便民服务站正常运转率</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机关正常运转</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产出时效</w:t>
      </w:r>
      <w:r>
        <w:rPr>
          <w:rStyle w:val="17"/>
          <w:rFonts w:hint="eastAsia" w:ascii="楷体" w:hAnsi="楷体" w:eastAsia="楷体"/>
          <w:b w:val="0"/>
          <w:bCs w:val="0"/>
          <w:spacing w:val="-4"/>
          <w:sz w:val="32"/>
          <w:szCs w:val="32"/>
        </w:rPr>
        <w:tab/>
        <w:t>工资社保发放及时率</w:t>
      </w:r>
      <w:r>
        <w:rPr>
          <w:rStyle w:val="17"/>
          <w:rFonts w:hint="eastAsia" w:ascii="楷体" w:hAnsi="楷体" w:eastAsia="楷体"/>
          <w:b w:val="0"/>
          <w:bCs w:val="0"/>
          <w:spacing w:val="-4"/>
          <w:sz w:val="32"/>
          <w:szCs w:val="32"/>
        </w:rPr>
        <w:tab/>
        <w:t>项目实际完成时间与计划完成时间的比较，用以反映和考核项目产出时效目标的实现程度。</w:t>
      </w:r>
      <w:r>
        <w:rPr>
          <w:rStyle w:val="17"/>
          <w:rFonts w:hint="eastAsia" w:ascii="楷体" w:hAnsi="楷体" w:eastAsia="楷体"/>
          <w:b w:val="0"/>
          <w:bCs w:val="0"/>
          <w:spacing w:val="-4"/>
          <w:sz w:val="32"/>
          <w:szCs w:val="32"/>
        </w:rPr>
        <w:tab/>
        <w:t>实际完成时间：项目实施单位完成该项目实际所耗用的时间。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计划完成时间：按照项目实施计划或相关规定完成该项目所需的时间。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产出成本</w:t>
      </w:r>
      <w:r>
        <w:rPr>
          <w:rStyle w:val="17"/>
          <w:rFonts w:hint="eastAsia" w:ascii="楷体" w:hAnsi="楷体" w:eastAsia="楷体"/>
          <w:b w:val="0"/>
          <w:bCs w:val="0"/>
          <w:spacing w:val="-4"/>
          <w:sz w:val="32"/>
          <w:szCs w:val="32"/>
        </w:rPr>
        <w:tab/>
        <w:t>管委会、社区、便民服务站运转经费</w:t>
      </w:r>
      <w:r>
        <w:rPr>
          <w:rStyle w:val="17"/>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成本节约率=[（计划成本-实际成本）/计划成本]×100%。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实际成本：项目实施单位如期、保质、保量完成既定工作目标实际所耗费的支出。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计划成本：项目实施单位为完成工作目标计划安排的支出，一般以项目预算为参考。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社区食堂伙食费</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便民服务站人员伙食费</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临聘人员经费</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效益</w:t>
      </w:r>
      <w:r>
        <w:rPr>
          <w:rStyle w:val="17"/>
          <w:rFonts w:hint="eastAsia" w:ascii="楷体" w:hAnsi="楷体" w:eastAsia="楷体"/>
          <w:b w:val="0"/>
          <w:bCs w:val="0"/>
          <w:spacing w:val="-4"/>
          <w:sz w:val="32"/>
          <w:szCs w:val="32"/>
        </w:rPr>
        <w:tab/>
        <w:t>社会效益指标</w:t>
      </w:r>
      <w:r>
        <w:rPr>
          <w:rStyle w:val="17"/>
          <w:rFonts w:hint="eastAsia" w:ascii="楷体" w:hAnsi="楷体" w:eastAsia="楷体"/>
          <w:b w:val="0"/>
          <w:bCs w:val="0"/>
          <w:spacing w:val="-4"/>
          <w:sz w:val="32"/>
          <w:szCs w:val="32"/>
        </w:rPr>
        <w:tab/>
        <w:t>保障辖区内各项工作正常开展</w:t>
      </w:r>
      <w:r>
        <w:rPr>
          <w:rStyle w:val="17"/>
          <w:rFonts w:hint="eastAsia" w:ascii="楷体" w:hAnsi="楷体" w:eastAsia="楷体"/>
          <w:b w:val="0"/>
          <w:bCs w:val="0"/>
          <w:spacing w:val="-4"/>
          <w:sz w:val="32"/>
          <w:szCs w:val="32"/>
        </w:rPr>
        <w:tab/>
        <w:t>项目实施所产生的效益。</w:t>
      </w:r>
      <w:r>
        <w:rPr>
          <w:rStyle w:val="17"/>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满意度指标完成情况分析</w:t>
      </w:r>
      <w:r>
        <w:rPr>
          <w:rStyle w:val="17"/>
          <w:rFonts w:hint="eastAsia" w:ascii="楷体" w:hAnsi="楷体" w:eastAsia="楷体"/>
          <w:b w:val="0"/>
          <w:bCs w:val="0"/>
          <w:spacing w:val="-4"/>
          <w:sz w:val="32"/>
          <w:szCs w:val="32"/>
        </w:rPr>
        <w:tab/>
        <w:t>满意度指标</w:t>
      </w:r>
      <w:r>
        <w:rPr>
          <w:rStyle w:val="17"/>
          <w:rFonts w:hint="eastAsia" w:ascii="楷体" w:hAnsi="楷体" w:eastAsia="楷体"/>
          <w:b w:val="0"/>
          <w:bCs w:val="0"/>
          <w:spacing w:val="-4"/>
          <w:sz w:val="32"/>
          <w:szCs w:val="32"/>
        </w:rPr>
        <w:tab/>
        <w:t>辖区居民满意度</w:t>
      </w:r>
      <w:r>
        <w:rPr>
          <w:rStyle w:val="17"/>
          <w:rFonts w:hint="eastAsia" w:ascii="楷体" w:hAnsi="楷体" w:eastAsia="楷体"/>
          <w:b w:val="0"/>
          <w:bCs w:val="0"/>
          <w:spacing w:val="-4"/>
          <w:sz w:val="32"/>
          <w:szCs w:val="32"/>
        </w:rPr>
        <w:tab/>
        <w:t>社会公众或服务对象对项目实施效果的满意程度。</w:t>
      </w:r>
      <w:r>
        <w:rPr>
          <w:rStyle w:val="17"/>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评价方法(7个)</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（1）成本效益分析法。是指将投入与产出、效益进行关联性分析的方法。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（2）比较法。是指将实施情况与绩效目标、历史情况、不同部门和地区同类支出情况进行比较的方法。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（3）公众评判法。是指通过专家评估、公众问卷及抽样调查等方式进行评判的方法。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（4）其他评价方法。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根据本项目消化2022年暂付款项的特点，本次评价主要采用比较法和公众评判法，对项目总预算和明细预算的内容、标准、计划是否经济合理进行深入分析，以考察实际产出和效益是否达到预期。</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 评价标准（加文件不少于3个）</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绩效评价标准主要包括计划标准、行业标准、历史标准等，用于对绩效指标完成情况进行比较。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（1）计划标准。指以预先制定的目标、计划、预算、定额等作为评价标准。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（2）行业标准。指参照国家公布的行业指标数据制定的评价标准。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在上述评价标准的基础上，本次评价依据以下文件为重要指导和准绳：</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·《中共中央国务院关于全面实施预算绩效管理的意见》（中发〔2018〕34号）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·《关于印发&lt;乌鲁木齐市本级部门预算绩效目标管理暂行办法&gt;的通知》（乌财预〔2018〕56号）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·《关于做好2019年部门预算项目支出绩效目标管理有关事宜的通知》（乌财预〔2018〕76号）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·《项目支出绩效评价管理办法》（财预〔2020〕10号）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三、综合评价情况及评价结论</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（一）评价结论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结合项目特点，制定符合项目实际的绩效评价指标体系及评分标准，通过数据采集、问卷调查及访谈等形式，对2023年消化2022年暂付款项进行客观评价，最终评分结果为：总分为100分，绩效评级为“优”</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项目各部分权重和绩效分值如表3-1所示：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表3-1 项目各部分权重和绩效分值</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一级指标</w:t>
      </w:r>
      <w:r>
        <w:rPr>
          <w:rStyle w:val="17"/>
          <w:rFonts w:hint="eastAsia" w:ascii="楷体" w:hAnsi="楷体" w:eastAsia="楷体"/>
          <w:b w:val="0"/>
          <w:bCs w:val="0"/>
          <w:spacing w:val="-4"/>
          <w:sz w:val="32"/>
          <w:szCs w:val="32"/>
        </w:rPr>
        <w:tab/>
        <w:t>二级指标</w:t>
      </w:r>
      <w:r>
        <w:rPr>
          <w:rStyle w:val="17"/>
          <w:rFonts w:hint="eastAsia" w:ascii="楷体" w:hAnsi="楷体" w:eastAsia="楷体"/>
          <w:b w:val="0"/>
          <w:bCs w:val="0"/>
          <w:spacing w:val="-4"/>
          <w:sz w:val="32"/>
          <w:szCs w:val="32"/>
        </w:rPr>
        <w:tab/>
        <w:t>三级指标</w:t>
      </w:r>
      <w:r>
        <w:rPr>
          <w:rStyle w:val="17"/>
          <w:rFonts w:hint="eastAsia" w:ascii="楷体" w:hAnsi="楷体" w:eastAsia="楷体"/>
          <w:b w:val="0"/>
          <w:bCs w:val="0"/>
          <w:spacing w:val="-4"/>
          <w:sz w:val="32"/>
          <w:szCs w:val="32"/>
        </w:rPr>
        <w:tab/>
        <w:t>分值</w:t>
      </w:r>
      <w:r>
        <w:rPr>
          <w:rStyle w:val="17"/>
          <w:rFonts w:hint="eastAsia" w:ascii="楷体" w:hAnsi="楷体" w:eastAsia="楷体"/>
          <w:b w:val="0"/>
          <w:bCs w:val="0"/>
          <w:spacing w:val="-4"/>
          <w:sz w:val="32"/>
          <w:szCs w:val="32"/>
        </w:rPr>
        <w:tab/>
        <w:t>得分</w:t>
      </w:r>
      <w:r>
        <w:rPr>
          <w:rStyle w:val="17"/>
          <w:rFonts w:hint="eastAsia" w:ascii="楷体" w:hAnsi="楷体" w:eastAsia="楷体"/>
          <w:b w:val="0"/>
          <w:bCs w:val="0"/>
          <w:spacing w:val="-4"/>
          <w:sz w:val="32"/>
          <w:szCs w:val="32"/>
        </w:rPr>
        <w:tab/>
        <w:t>得分率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项目立项</w:t>
      </w:r>
      <w:r>
        <w:rPr>
          <w:rStyle w:val="17"/>
          <w:rFonts w:hint="eastAsia" w:ascii="楷体" w:hAnsi="楷体" w:eastAsia="楷体"/>
          <w:b w:val="0"/>
          <w:bCs w:val="0"/>
          <w:spacing w:val="-4"/>
          <w:sz w:val="32"/>
          <w:szCs w:val="32"/>
        </w:rPr>
        <w:tab/>
        <w:t>立项依据充分性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立项程序规范性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绩效目标合理性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绩效指标明确性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资金投入</w:t>
      </w:r>
      <w:r>
        <w:rPr>
          <w:rStyle w:val="17"/>
          <w:rFonts w:hint="eastAsia" w:ascii="楷体" w:hAnsi="楷体" w:eastAsia="楷体"/>
          <w:b w:val="0"/>
          <w:bCs w:val="0"/>
          <w:spacing w:val="-4"/>
          <w:sz w:val="32"/>
          <w:szCs w:val="32"/>
        </w:rPr>
        <w:tab/>
        <w:t>预算编制科学性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资金分配合理性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资金到位率</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预算执行率</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资金使用合规性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组织实施</w:t>
      </w:r>
      <w:r>
        <w:rPr>
          <w:rStyle w:val="17"/>
          <w:rFonts w:hint="eastAsia" w:ascii="楷体" w:hAnsi="楷体" w:eastAsia="楷体"/>
          <w:b w:val="0"/>
          <w:bCs w:val="0"/>
          <w:spacing w:val="-4"/>
          <w:sz w:val="32"/>
          <w:szCs w:val="32"/>
        </w:rPr>
        <w:tab/>
        <w:t>管理制度健全性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制度执行有效性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产出</w:t>
      </w:r>
      <w:r>
        <w:rPr>
          <w:rStyle w:val="17"/>
          <w:rFonts w:hint="eastAsia" w:ascii="楷体" w:hAnsi="楷体" w:eastAsia="楷体"/>
          <w:b w:val="0"/>
          <w:bCs w:val="0"/>
          <w:spacing w:val="-4"/>
          <w:sz w:val="32"/>
          <w:szCs w:val="32"/>
        </w:rPr>
        <w:tab/>
        <w:t>产出数量</w:t>
      </w:r>
      <w:r>
        <w:rPr>
          <w:rStyle w:val="17"/>
          <w:rFonts w:hint="eastAsia" w:ascii="楷体" w:hAnsi="楷体" w:eastAsia="楷体"/>
          <w:b w:val="0"/>
          <w:bCs w:val="0"/>
          <w:spacing w:val="-4"/>
          <w:sz w:val="32"/>
          <w:szCs w:val="32"/>
        </w:rPr>
        <w:tab/>
        <w:t>社区数量</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便民服务站数量</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临聘人员数量</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产出质量</w:t>
      </w:r>
      <w:r>
        <w:rPr>
          <w:rStyle w:val="17"/>
          <w:rFonts w:hint="eastAsia" w:ascii="楷体" w:hAnsi="楷体" w:eastAsia="楷体"/>
          <w:b w:val="0"/>
          <w:bCs w:val="0"/>
          <w:spacing w:val="-4"/>
          <w:sz w:val="32"/>
          <w:szCs w:val="32"/>
        </w:rPr>
        <w:tab/>
        <w:t>工资、社保发放准确率</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社区正常运转率</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便民服务站正常运转率</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机关正常运转</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产出时效</w:t>
      </w:r>
      <w:r>
        <w:rPr>
          <w:rStyle w:val="17"/>
          <w:rFonts w:hint="eastAsia" w:ascii="楷体" w:hAnsi="楷体" w:eastAsia="楷体"/>
          <w:b w:val="0"/>
          <w:bCs w:val="0"/>
          <w:spacing w:val="-4"/>
          <w:sz w:val="32"/>
          <w:szCs w:val="32"/>
        </w:rPr>
        <w:tab/>
        <w:t>工资社保发放及时率</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产出成本</w:t>
      </w:r>
      <w:r>
        <w:rPr>
          <w:rStyle w:val="17"/>
          <w:rFonts w:hint="eastAsia" w:ascii="楷体" w:hAnsi="楷体" w:eastAsia="楷体"/>
          <w:b w:val="0"/>
          <w:bCs w:val="0"/>
          <w:spacing w:val="-4"/>
          <w:sz w:val="32"/>
          <w:szCs w:val="32"/>
        </w:rPr>
        <w:tab/>
        <w:t>管委会、社区、便民服务站运转经费</w:t>
      </w:r>
      <w:r>
        <w:rPr>
          <w:rStyle w:val="17"/>
          <w:rFonts w:hint="eastAsia" w:ascii="楷体" w:hAnsi="楷体" w:eastAsia="楷体"/>
          <w:b w:val="0"/>
          <w:bCs w:val="0"/>
          <w:spacing w:val="-4"/>
          <w:sz w:val="32"/>
          <w:szCs w:val="32"/>
        </w:rPr>
        <w:tab/>
        <w:t>2</w:t>
      </w:r>
      <w:r>
        <w:rPr>
          <w:rStyle w:val="17"/>
          <w:rFonts w:hint="eastAsia" w:ascii="楷体" w:hAnsi="楷体" w:eastAsia="楷体"/>
          <w:b w:val="0"/>
          <w:bCs w:val="0"/>
          <w:spacing w:val="-4"/>
          <w:sz w:val="32"/>
          <w:szCs w:val="32"/>
        </w:rPr>
        <w:tab/>
        <w:t>2</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社区食堂伙食费</w:t>
      </w:r>
      <w:r>
        <w:rPr>
          <w:rStyle w:val="17"/>
          <w:rFonts w:hint="eastAsia" w:ascii="楷体" w:hAnsi="楷体" w:eastAsia="楷体"/>
          <w:b w:val="0"/>
          <w:bCs w:val="0"/>
          <w:spacing w:val="-4"/>
          <w:sz w:val="32"/>
          <w:szCs w:val="32"/>
        </w:rPr>
        <w:tab/>
        <w:t>2</w:t>
      </w:r>
      <w:r>
        <w:rPr>
          <w:rStyle w:val="17"/>
          <w:rFonts w:hint="eastAsia" w:ascii="楷体" w:hAnsi="楷体" w:eastAsia="楷体"/>
          <w:b w:val="0"/>
          <w:bCs w:val="0"/>
          <w:spacing w:val="-4"/>
          <w:sz w:val="32"/>
          <w:szCs w:val="32"/>
        </w:rPr>
        <w:tab/>
        <w:t>2</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便民服务站人员伙食费</w:t>
      </w:r>
      <w:r>
        <w:rPr>
          <w:rStyle w:val="17"/>
          <w:rFonts w:hint="eastAsia" w:ascii="楷体" w:hAnsi="楷体" w:eastAsia="楷体"/>
          <w:b w:val="0"/>
          <w:bCs w:val="0"/>
          <w:spacing w:val="-4"/>
          <w:sz w:val="32"/>
          <w:szCs w:val="32"/>
        </w:rPr>
        <w:tab/>
        <w:t>1</w:t>
      </w:r>
      <w:r>
        <w:rPr>
          <w:rStyle w:val="17"/>
          <w:rFonts w:hint="eastAsia" w:ascii="楷体" w:hAnsi="楷体" w:eastAsia="楷体"/>
          <w:b w:val="0"/>
          <w:bCs w:val="0"/>
          <w:spacing w:val="-4"/>
          <w:sz w:val="32"/>
          <w:szCs w:val="32"/>
        </w:rPr>
        <w:tab/>
        <w:t>1</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临聘人员经费</w:t>
      </w:r>
      <w:r>
        <w:rPr>
          <w:rStyle w:val="17"/>
          <w:rFonts w:hint="eastAsia" w:ascii="楷体" w:hAnsi="楷体" w:eastAsia="楷体"/>
          <w:b w:val="0"/>
          <w:bCs w:val="0"/>
          <w:spacing w:val="-4"/>
          <w:sz w:val="32"/>
          <w:szCs w:val="32"/>
        </w:rPr>
        <w:tab/>
        <w:t>2</w:t>
      </w:r>
      <w:r>
        <w:rPr>
          <w:rStyle w:val="17"/>
          <w:rFonts w:hint="eastAsia" w:ascii="楷体" w:hAnsi="楷体" w:eastAsia="楷体"/>
          <w:b w:val="0"/>
          <w:bCs w:val="0"/>
          <w:spacing w:val="-4"/>
          <w:sz w:val="32"/>
          <w:szCs w:val="32"/>
        </w:rPr>
        <w:tab/>
        <w:t>2</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效益</w:t>
      </w:r>
      <w:r>
        <w:rPr>
          <w:rStyle w:val="17"/>
          <w:rFonts w:hint="eastAsia" w:ascii="楷体" w:hAnsi="楷体" w:eastAsia="楷体"/>
          <w:b w:val="0"/>
          <w:bCs w:val="0"/>
          <w:spacing w:val="-4"/>
          <w:sz w:val="32"/>
          <w:szCs w:val="32"/>
        </w:rPr>
        <w:tab/>
        <w:t>社会效益指标</w:t>
      </w:r>
      <w:r>
        <w:rPr>
          <w:rStyle w:val="17"/>
          <w:rFonts w:hint="eastAsia" w:ascii="楷体" w:hAnsi="楷体" w:eastAsia="楷体"/>
          <w:b w:val="0"/>
          <w:bCs w:val="0"/>
          <w:spacing w:val="-4"/>
          <w:sz w:val="32"/>
          <w:szCs w:val="32"/>
        </w:rPr>
        <w:tab/>
        <w:t>保障辖区内各项工作正常开展</w:t>
      </w:r>
      <w:r>
        <w:rPr>
          <w:rStyle w:val="17"/>
          <w:rFonts w:hint="eastAsia" w:ascii="楷体" w:hAnsi="楷体" w:eastAsia="楷体"/>
          <w:b w:val="0"/>
          <w:bCs w:val="0"/>
          <w:spacing w:val="-4"/>
          <w:sz w:val="32"/>
          <w:szCs w:val="32"/>
        </w:rPr>
        <w:tab/>
        <w:t>15</w:t>
      </w:r>
      <w:r>
        <w:rPr>
          <w:rStyle w:val="17"/>
          <w:rFonts w:hint="eastAsia" w:ascii="楷体" w:hAnsi="楷体" w:eastAsia="楷体"/>
          <w:b w:val="0"/>
          <w:bCs w:val="0"/>
          <w:spacing w:val="-4"/>
          <w:sz w:val="32"/>
          <w:szCs w:val="32"/>
        </w:rPr>
        <w:tab/>
        <w:t>15</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满意度指标完成情况分析</w:t>
      </w:r>
      <w:r>
        <w:rPr>
          <w:rStyle w:val="17"/>
          <w:rFonts w:hint="eastAsia" w:ascii="楷体" w:hAnsi="楷体" w:eastAsia="楷体"/>
          <w:b w:val="0"/>
          <w:bCs w:val="0"/>
          <w:spacing w:val="-4"/>
          <w:sz w:val="32"/>
          <w:szCs w:val="32"/>
        </w:rPr>
        <w:tab/>
        <w:t>满意度指标</w:t>
      </w:r>
      <w:r>
        <w:rPr>
          <w:rStyle w:val="17"/>
          <w:rFonts w:hint="eastAsia" w:ascii="楷体" w:hAnsi="楷体" w:eastAsia="楷体"/>
          <w:b w:val="0"/>
          <w:bCs w:val="0"/>
          <w:spacing w:val="-4"/>
          <w:sz w:val="32"/>
          <w:szCs w:val="32"/>
        </w:rPr>
        <w:tab/>
        <w:t>辖区居民满意度</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（二）主要绩效</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资金区财政及时拨付，单位在此次评价期间内，有序完成设定目标的部分工作任务，涉及社区数量：16个；涉及便民服务站数量：16个；发放临聘人员工资人数：912人；工资、社保发放准确率：100%；社区正常运转率：100%；便民服务站工作正常运转率：100%；机关正常运转100%；工资社保发放及时率：100%；管委会、社区、便民服务站运转经费，年初预算374.51万元，执行率100%；社区食堂伙食费，年初预算125.16万元，执行率100%；便民服务站人员伙食费，年初预算40.84万元，执行率100%；临聘人员经费4543.65万元。保障辖区内各项工作正常开展：有效保障；辖区居民满意度：100%。按照年初预算资金项目组织并实施，加强年初预算项目的管理，提高项目资金预算的准确性。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四、绩效评价指标分析</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7"/>
          <w:rFonts w:hint="eastAsia" w:ascii="楷体" w:hAnsi="楷体" w:eastAsia="楷体"/>
          <w:spacing w:val="-4"/>
          <w:sz w:val="32"/>
          <w:szCs w:val="32"/>
        </w:rPr>
        <w:t>项目决策情况</w:t>
      </w:r>
    </w:p>
    <w:p>
      <w:pPr>
        <w:tabs>
          <w:tab w:val="center" w:pos="4295"/>
        </w:tabs>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项目决算指标由3个二级指标和6个三级指标构成，权重为20分，实际得分20分。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项目立项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立项依据充分性：项目立项符合国家法律法规、政策要求。同时，项目与部门职责范围相符，属于部门履职所需。此外，本项目属于公共财政支持范围，符合中央、地方事权支出责任划分原则。因此，立项依据充分，得4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立项程序规范性:项目按照规定的程序申请设立，审批文件、材料符合相关要求，故立项程序规范，得4分。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综上，该指标满分8分，得分8分。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目标明确性：消化2022暂付款项，该项目资金金额5084.20万元，包括12个子项目资金为：新民路李淑华赴京劝访相关费用4.8万元,社区经费145.88万元，2022年临聘人员经费1211.53万元，2022年临聘人员经费（第二次）1237.02万元，2022年临聘人员经费（第三次）503.02万元，工作经费78.13万元，2019年大封闭项目资金20万元，便民服务站人员伙食费40.87万元，社区食堂补助经费125.16万元，便民服务站运行经费125.70万元，封闭化岗亭人员经费268.56万元，2022年临时聘用人员经费1323.53万元，其中涉及人员经费，如临聘人员工资、便民服务站工作人员伙食费及社区食堂伙食补助等及公用经费方面，如工作经费、社区经费、便民服务站工作经费等，由相关部门社会事务管理中心、综治中心及党政办等各部门共同协调完成。保障了16个社区及16个便民服务站的正常运转，确保公岗工资及时、准确发放到位，更好为辖区群众开展服务，落实好党的政策，密切党和人民群众的联系，有利于提高工作人员积极性，提高居民幸福感、满意度。编制了《绩效目标申报表》，项目目标全面、完整，产出及效果指标进一步细化。各项指标均能在现实条件下收集到相关数据进行佐证，并与当年项目年度计划相对应，故绩效目标明确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综上，该指标满分6分，得分6分。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资金投入</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编制科学性：消化2022暂付款项该项目资金金额5084.20万元。管委会、社区、便民服务站运转经费，年初预算374.51万元，执行率100%；社区食堂伙食费，年初预算125.16万元，执行率100%；便民服务站人员伙食费，年初预算40.84万元，执行率100%；临聘人员经费4543.65万元。保障辖区内各项工作正常开展：有效保障；辖区居民满意度：100%。保障了16个社区及16个便民服务站的正常运转，确保公岗工资及时、准确发放到位，更好为辖区群众开展服务，落实好党的政策，密切党和人民群众的联系，有利于提高工作人员积极性，提高居民幸福感、满意度。16个社区社区经费、16个便民服务站工作经费等，资金均在2022年支付完毕，本年根据财政局消化新增暂付款工作要求所需金额预算编制为5084.20万元。故预算编制科学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资金分配合理性： 该项目2023年实际收到预算资金5084.20万元。均为财政拨款5084.20万元，消化2022暂付款项资金分配主要用于发放2022年临聘人员工资，社保，公积金、便民服务站工作人员伙食费及社区食堂伙食补助等及公用经费方面，如工作经费、16个社区社区经费、16个便民服务站工作经费等等该项目具体由各科室、社区、便民服务站对所需经费开支提交上会报告，由街道办事处财经领导小组过会后，根据本单位财务制度、预算资金支出制度、物品采购相关文件及制度等各项相关规定进行相关采购及支付审批工作。故资金分配合理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综上，该指标满分6分，得分6分。</w:t>
      </w:r>
      <w:r>
        <w:rPr>
          <w:rStyle w:val="17"/>
          <w:rFonts w:hint="eastAsia" w:ascii="楷体" w:hAnsi="楷体" w:eastAsia="楷体"/>
          <w:b w:val="0"/>
          <w:bCs w:val="0"/>
          <w:spacing w:val="-4"/>
          <w:sz w:val="32"/>
          <w:szCs w:val="32"/>
        </w:rPr>
        <w:tab/>
      </w:r>
    </w:p>
    <w:p>
      <w:pPr>
        <w:spacing w:line="540" w:lineRule="exact"/>
        <w:ind w:firstLine="567" w:firstLineChars="181"/>
        <w:rPr>
          <w:rStyle w:val="17"/>
          <w:rFonts w:ascii="楷体" w:hAnsi="楷体" w:eastAsia="楷体"/>
          <w:spacing w:val="-4"/>
          <w:sz w:val="32"/>
          <w:szCs w:val="32"/>
        </w:rPr>
      </w:pPr>
      <w:r>
        <w:rPr>
          <w:rFonts w:hint="eastAsia" w:ascii="楷体" w:hAnsi="楷体" w:eastAsia="楷体"/>
          <w:b/>
          <w:spacing w:val="-4"/>
          <w:sz w:val="32"/>
          <w:szCs w:val="32"/>
        </w:rPr>
        <w:t>（二）</w:t>
      </w:r>
      <w:r>
        <w:rPr>
          <w:rStyle w:val="17"/>
          <w:rFonts w:hint="eastAsia" w:ascii="楷体" w:hAnsi="楷体" w:eastAsia="楷体"/>
          <w:spacing w:val="-4"/>
          <w:sz w:val="32"/>
          <w:szCs w:val="32"/>
        </w:rPr>
        <w:t>项目过程情况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项目过程指标由2个二级指标和5个三级指标构成，权重为20分，实际得分20分。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资金管理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资金到位率：消化2022年暂付款项项目预算安排总额为5084.20万元，其中财政拨款5084.20万元，其他资金0万元，且年中无资金调整情况。故资金到位率指标得分5分。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执行率：资金执行率100%该项目资金，主要用于发放2022年临聘人员工资，社保，公积金、便民服务站工作人员伙食费及社区食堂伙食补助等及公用经费方面，如工作经费、16个社区经费、16个便民服务站工作经费等，有街道、社区、警务站报账人员按照报账流程进行报账，街道审核后直接支付给各供货商，并每月按时发放临聘人员工资，社保，公积金。截至2023年12月31日，消化2022年暂付款项已支出5084.20万元。。故预算执行率得分为**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需要报账的相关手续，符合项目预算批复或合同规定的用途，不存在截留、挤占、挪用、虚列支出等情况。故资金使用合规性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综上，该指标满分13分，得分**分。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组织实施</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管理制度健全性：新民路街道办事处已制定相应的财务管理制度，包括内部控制管理制度、经费管理制度及办法，其中内部控制管理制度包含预算管理制度、决算管理制度、支出管理办法、采购管理、预算绩效管理（含预算绩效评价管理）、监督检查等多项管理制度。整体来说，榆树沟街道办事处的财务管理制度涵盖了预算管理、资金审批、监督管理等多个方面，规范了项目资金申请、审批、复核、支付整个资金环节，保证资金使用的合规性。故管理制度健全性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制度执行有效性：根据评价小组核查情况，新民路街道办事处严格遵守相关法律法规和相关管理规定，项目调整及支出调整手续完备，整体管理合理有序，项目完成后，及时将会计凭证、采购单、验收单、劳务派遣公司考勤表固定资产入库单等相关资料分类归档，制度执行有效。故制度执行有效性指标得分4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7"/>
          <w:rFonts w:hint="eastAsia" w:ascii="楷体" w:hAnsi="楷体" w:eastAsia="楷体"/>
          <w:spacing w:val="-4"/>
          <w:sz w:val="32"/>
          <w:szCs w:val="32"/>
        </w:rPr>
        <w:t>项目产出情况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项目产出指标由4个二级指标和12个三级指标构成，权重为40分，实际得分40分。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产出数量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项目产出指标由4个二级指标和12个三级指标构成，权重为60分，实际得分60分。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数量指标“涉及社区数量”的目标值是16个，2023年度我单位实际完成16个，实际完成100%。实际得分为5分。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数量指标“涉及便民服务站数量”的目标值是16个，2023年度我单位实际完成16个，实际完成100%。实际得分为5分。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数量指标“临聘人员数量”的目标值是912人，2023年度我单位实际完成912人，实际完成100%。实际得分为5分。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实际完成率：100%，故实际完成率得分为15分。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产出质量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质量指标“工资、社保发放准确率”的目标值为100%，我单位按照财务制度和财政部门规定的支付手续，根据合同约定，及时向主管单位和财政局申请相关款项，并于2022年12月31日将资金支付给临聘人员，得分为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质量指标“社区正常运转率”的目标值为100%，我单位在项目完工后，根据合同约定，及时向主管单位和财政局申请相关款项，并于2022年12月31日将资金支付给各供货商，得分为5分。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质量指标“便民服务站工作正常运转率”的目标值为100%，我单位在项目完工后，根据合同约定，及时向主管单位和财政局申请相关款项，并于2022年12月31日将资金支付给各供货商。得分为5分。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质量指标“机关正常运转”的目标值为100%，我单位在项目完工后，根据合同约定，及时向主管单位和财政局申请相关款项，并于2022年12月31日将资金支付给各供货商。得分为5分。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质量达标率100%，得分为20分。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产出时效</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完成及时性：时效指标“工资社保发放及时率”的目标值为100%，该项目为支付街道、社区临聘人员工资、社保等，由社保所工作人员按照报账流程进行报账，街道审核后完成支付，所有工资社保均在规定时限内进行发放。得分为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故完成及时性100%，得分为5分。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 产出成本</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管委会、社区、便民服务站运转经费：本项目实际支出374.51万元，无超支情况，项目资金全部完成，得分为10分。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社区食堂伙食费：本项目实际支出125.16万元，无超支情况，项目资金全部完成，得分为10分。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便民服务站人员伙食费：本项目实际支出40.84万元，无超支情况，项目资金全部完成，得分为10分。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临聘人员经费：本项目实际支出4543.65万元，无超支情况，项目资金全部完成，得分为10分。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7"/>
          <w:rFonts w:hint="eastAsia" w:ascii="楷体" w:hAnsi="楷体" w:eastAsia="楷体"/>
          <w:spacing w:val="-4"/>
          <w:sz w:val="32"/>
          <w:szCs w:val="32"/>
        </w:rPr>
        <w:t>项目效益情况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项目效益指标由1个二级指标和2个三级指标构成，权重为20分，实际得分20分。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项目效益</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（1）实施效益</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经济效益指标：不适用。</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社会效益指标：评价指标“保障辖区内各项工作正常开展”，指标值：有效保障，实际完成值：完全达到预期。本项目的实施保障了街道、16个社区及16个便民服务站日常工作的正常运转。</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生态效益指标：不适用。</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综上，该指标满分10分，得分10分。</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（1）满意度指标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群众满意度：评价指标“辖区居民满意度”，指标值：=100%，实际完成值：=100%。故满意度指标得分为10分。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综上，该指标满分10分，得分10分。</w:t>
      </w:r>
    </w:p>
    <w:p>
      <w:pPr>
        <w:spacing w:line="540" w:lineRule="exact"/>
        <w:ind w:firstLine="567"/>
        <w:rPr>
          <w:rStyle w:val="17"/>
          <w:rFonts w:ascii="楷体" w:hAnsi="楷体" w:eastAsia="楷体"/>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7"/>
          <w:rFonts w:hint="eastAsia" w:ascii="楷体" w:hAnsi="楷体" w:eastAsia="楷体"/>
          <w:b w:val="0"/>
          <w:bCs w:val="0"/>
          <w:spacing w:val="-4"/>
          <w:sz w:val="32"/>
          <w:szCs w:val="32"/>
        </w:rPr>
        <w:t>（一）主要经验及做法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照年初预算资金项目组织并实施，加强年初预算项目的管理，提高项目资金预算的准确性。按照《行政事业单位内部控制规范》《会计工作基础规范》的要求，并结合自身实际情况建立健全各部门，各环节、各岗位内部控制制度，并确保制度能够长期有效的坚持执行。</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预算项目资金，主要用于发放2022年临聘人员工资，社保，公积金、便民服务站工作人员伙食费及社区食堂伙食补助等及公用经费方面，如工作经费、16个社区社区经费、16个便民服务站工作经费等，有效地维持本单位工作正常运转，实现既定目标、完成预算支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（二）存在的问题及原因分析</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消化2022年暂付款项主要以区级财政投入为主，当前全区重点工作和建设任务较多，区级财政资金压力日益增大。还需要完善内部控制体系建设，建立项目的绩效跟踪机制，对项目执行进情况行督促落实，确保财政资金发挥最大效益</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六、有关建议</w:t>
      </w:r>
    </w:p>
    <w:p>
      <w:pPr>
        <w:spacing w:line="540" w:lineRule="exact"/>
        <w:ind w:firstLine="567"/>
        <w:rPr>
          <w:rStyle w:val="17"/>
          <w:rFonts w:ascii="楷体" w:hAnsi="楷体" w:eastAsia="楷体"/>
          <w:spacing w:val="-4"/>
          <w:sz w:val="32"/>
          <w:szCs w:val="32"/>
        </w:rPr>
      </w:pPr>
      <w:r>
        <w:rPr>
          <w:rStyle w:val="17"/>
          <w:rFonts w:hint="eastAsia" w:ascii="楷体" w:hAnsi="楷体" w:eastAsia="楷体"/>
          <w:b w:val="0"/>
          <w:bCs w:val="0"/>
          <w:spacing w:val="-4"/>
          <w:sz w:val="32"/>
          <w:szCs w:val="32"/>
        </w:rPr>
        <w:t>绩效目标贯穿项目实施的整个周期，指导着项目的发展方向：绩效指标是绩效目标的具体化对项目实施的各个阶段起着考核、监督、引导的作用。设定项目总目标、年度绩效目标及绩效指标，形成项目有目标、工作有计划、绩效可量化、考核有依据的计划自标管理机制，便于有效考核执行效果。</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七、其他需要说明的问题</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（一）项目支出政策和路径设计科学，符合实际需要；</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（二）项目安排准确，未发现背离项目立项初衷的情况；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（三）项目的申报、审核机制完善；</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（四）未发现虚假行为和骗取财政资金的问题。</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5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0CD05D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2024-09-18T03:14:00Z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C734C92AAAF24344A0E4232D8EB3359B</vt:lpwstr>
  </property>
</Properties>
</file>