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ascii="方正仿宋_GBK" w:hAnsi="方正仿宋_GBK" w:eastAsia="方正仿宋_GBK" w:cs="方正仿宋_GBK"/>
          <w:b w:val="0"/>
          <w:bCs w:val="0"/>
          <w:kern w:val="0"/>
          <w:sz w:val="36"/>
          <w:szCs w:val="36"/>
        </w:rPr>
      </w:pPr>
      <w:r>
        <w:rPr>
          <w:rFonts w:hint="eastAsia" w:ascii="方正仿宋_GBK" w:hAnsi="方正仿宋_GBK" w:eastAsia="方正仿宋_GBK" w:cs="方正仿宋_GBK"/>
          <w:b w:val="0"/>
          <w:bCs w:val="0"/>
          <w:kern w:val="0"/>
          <w:sz w:val="36"/>
          <w:szCs w:val="36"/>
        </w:rPr>
        <w:t>项目名称：</w:t>
      </w:r>
      <w:r>
        <w:rPr>
          <w:rStyle w:val="18"/>
          <w:rFonts w:hint="eastAsia" w:ascii="方正仿宋_GBK" w:hAnsi="方正仿宋_GBK" w:eastAsia="方正仿宋_GBK" w:cs="方正仿宋_GBK"/>
          <w:b w:val="0"/>
          <w:bCs w:val="0"/>
          <w:spacing w:val="-4"/>
          <w:sz w:val="32"/>
          <w:szCs w:val="32"/>
        </w:rPr>
        <w:t>消化2022年暂付款项</w:t>
      </w:r>
    </w:p>
    <w:p>
      <w:pPr>
        <w:spacing w:line="540" w:lineRule="exact"/>
        <w:ind w:firstLine="567"/>
        <w:rPr>
          <w:rFonts w:hint="eastAsia" w:ascii="方正仿宋_GBK" w:hAnsi="方正仿宋_GBK" w:eastAsia="方正仿宋_GBK" w:cs="方正仿宋_GBK"/>
          <w:b w:val="0"/>
          <w:bCs w:val="0"/>
          <w:spacing w:val="-4"/>
          <w:sz w:val="24"/>
          <w:szCs w:val="24"/>
        </w:rPr>
      </w:pPr>
      <w:r>
        <w:rPr>
          <w:rFonts w:hint="eastAsia" w:ascii="方正仿宋_GBK" w:hAnsi="方正仿宋_GBK" w:eastAsia="方正仿宋_GBK" w:cs="方正仿宋_GBK"/>
          <w:b w:val="0"/>
          <w:bCs w:val="0"/>
          <w:kern w:val="0"/>
          <w:sz w:val="36"/>
          <w:szCs w:val="36"/>
        </w:rPr>
        <w:t xml:space="preserve">  实施单位（公章）：</w:t>
      </w:r>
      <w:r>
        <w:rPr>
          <w:rStyle w:val="18"/>
          <w:rFonts w:hint="eastAsia" w:ascii="方正仿宋_GBK" w:hAnsi="方正仿宋_GBK" w:eastAsia="方正仿宋_GBK" w:cs="方正仿宋_GBK"/>
          <w:b w:val="0"/>
          <w:bCs w:val="0"/>
          <w:spacing w:val="-4"/>
          <w:sz w:val="22"/>
          <w:szCs w:val="22"/>
        </w:rPr>
        <w:t>乌鲁木齐市水磨沟区南湖北路片区管理委员会</w:t>
      </w:r>
    </w:p>
    <w:p>
      <w:pPr>
        <w:spacing w:line="540" w:lineRule="exact"/>
        <w:ind w:firstLine="900" w:firstLineChars="250"/>
        <w:rPr>
          <w:rFonts w:hint="eastAsia" w:ascii="方正仿宋_GBK" w:hAnsi="方正仿宋_GBK" w:eastAsia="方正仿宋_GBK" w:cs="方正仿宋_GBK"/>
          <w:b w:val="0"/>
          <w:bCs w:val="0"/>
          <w:spacing w:val="-4"/>
          <w:sz w:val="22"/>
          <w:szCs w:val="22"/>
        </w:rPr>
      </w:pPr>
      <w:r>
        <w:rPr>
          <w:rFonts w:hint="eastAsia" w:ascii="方正仿宋_GBK" w:hAnsi="方正仿宋_GBK" w:eastAsia="方正仿宋_GBK" w:cs="方正仿宋_GBK"/>
          <w:b w:val="0"/>
          <w:bCs w:val="0"/>
          <w:kern w:val="0"/>
          <w:sz w:val="36"/>
          <w:szCs w:val="36"/>
        </w:rPr>
        <w:t>主管部门（公章）：</w:t>
      </w:r>
      <w:r>
        <w:rPr>
          <w:rStyle w:val="18"/>
          <w:rFonts w:hint="eastAsia" w:ascii="方正仿宋_GBK" w:hAnsi="方正仿宋_GBK" w:eastAsia="方正仿宋_GBK" w:cs="方正仿宋_GBK"/>
          <w:b w:val="0"/>
          <w:bCs w:val="0"/>
          <w:spacing w:val="-4"/>
          <w:sz w:val="22"/>
          <w:szCs w:val="22"/>
        </w:rPr>
        <w:t>乌鲁木齐市水磨沟区南湖北路片区管理委员会</w:t>
      </w:r>
    </w:p>
    <w:p>
      <w:pPr>
        <w:spacing w:line="540" w:lineRule="exact"/>
        <w:ind w:firstLine="900" w:firstLineChars="250"/>
        <w:rPr>
          <w:rFonts w:hint="eastAsia" w:ascii="方正仿宋_GBK" w:hAnsi="方正仿宋_GBK" w:eastAsia="方正仿宋_GBK" w:cs="方正仿宋_GBK"/>
          <w:b w:val="0"/>
          <w:bCs w:val="0"/>
          <w:spacing w:val="-4"/>
          <w:sz w:val="32"/>
          <w:szCs w:val="32"/>
        </w:rPr>
      </w:pPr>
      <w:r>
        <w:rPr>
          <w:rFonts w:hint="eastAsia" w:ascii="方正仿宋_GBK" w:hAnsi="方正仿宋_GBK" w:eastAsia="方正仿宋_GBK" w:cs="方正仿宋_GBK"/>
          <w:b w:val="0"/>
          <w:bCs w:val="0"/>
          <w:kern w:val="0"/>
          <w:sz w:val="36"/>
          <w:szCs w:val="36"/>
        </w:rPr>
        <w:t>项目负责人（签章）：</w:t>
      </w:r>
      <w:r>
        <w:rPr>
          <w:rStyle w:val="18"/>
          <w:rFonts w:hint="eastAsia" w:ascii="方正仿宋_GBK" w:hAnsi="方正仿宋_GBK" w:eastAsia="方正仿宋_GBK" w:cs="方正仿宋_GBK"/>
          <w:b w:val="0"/>
          <w:bCs w:val="0"/>
          <w:spacing w:val="-4"/>
          <w:sz w:val="32"/>
          <w:szCs w:val="32"/>
        </w:rPr>
        <w:t>李振玮</w:t>
      </w:r>
    </w:p>
    <w:p>
      <w:pPr>
        <w:spacing w:line="540" w:lineRule="exact"/>
        <w:ind w:left="273" w:firstLine="567"/>
        <w:rPr>
          <w:rStyle w:val="18"/>
          <w:rFonts w:hint="eastAsia" w:ascii="方正仿宋_GBK" w:hAnsi="方正仿宋_GBK" w:eastAsia="方正仿宋_GBK" w:cs="方正仿宋_GBK"/>
          <w:b w:val="0"/>
          <w:bCs w:val="0"/>
          <w:spacing w:val="-4"/>
          <w:sz w:val="32"/>
          <w:szCs w:val="32"/>
        </w:rPr>
      </w:pPr>
      <w:r>
        <w:rPr>
          <w:rFonts w:hint="eastAsia" w:ascii="方正仿宋_GBK" w:hAnsi="方正仿宋_GBK" w:eastAsia="方正仿宋_GBK" w:cs="方正仿宋_GBK"/>
          <w:b w:val="0"/>
          <w:bCs w:val="0"/>
          <w:kern w:val="0"/>
          <w:sz w:val="36"/>
          <w:szCs w:val="36"/>
        </w:rPr>
        <w:t>填报时间：</w:t>
      </w:r>
      <w:r>
        <w:rPr>
          <w:rStyle w:val="18"/>
          <w:rFonts w:hint="eastAsia" w:ascii="方正仿宋_GBK" w:hAnsi="方正仿宋_GBK" w:eastAsia="方正仿宋_GBK" w:cs="方正仿宋_GBK"/>
          <w:b w:val="0"/>
          <w:bCs w:val="0"/>
          <w:spacing w:val="-4"/>
          <w:sz w:val="32"/>
          <w:szCs w:val="32"/>
        </w:rPr>
        <w:t>2024年05月24日</w:t>
      </w:r>
    </w:p>
    <w:p>
      <w:pPr>
        <w:spacing w:line="540" w:lineRule="exact"/>
        <w:ind w:firstLine="640"/>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w:t>
      </w:r>
      <w:bookmarkStart w:id="0" w:name="_GoBack"/>
      <w:bookmarkEnd w:id="0"/>
      <w:r>
        <w:rPr>
          <w:rStyle w:val="18"/>
          <w:rFonts w:hint="eastAsia" w:ascii="楷体" w:hAnsi="楷体" w:eastAsia="楷体"/>
          <w:spacing w:val="-4"/>
          <w:sz w:val="32"/>
          <w:szCs w:val="32"/>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0"/>
        <w:textAlignment w:val="auto"/>
        <w:rPr>
          <w:rStyle w:val="18"/>
          <w:rFonts w:hint="eastAsia" w:ascii="方正仿宋_GBK" w:hAnsi="方正仿宋_GBK" w:eastAsia="方正仿宋_GBK" w:cs="方正仿宋_GBK"/>
          <w:b w:val="0"/>
          <w:bCs w:val="0"/>
          <w:spacing w:val="-4"/>
          <w:sz w:val="32"/>
          <w:szCs w:val="32"/>
        </w:rPr>
      </w:pPr>
      <w:r>
        <w:rPr>
          <w:rStyle w:val="18"/>
          <w:rFonts w:hint="eastAsia" w:ascii="方正仿宋_GBK" w:hAnsi="方正仿宋_GBK" w:eastAsia="方正仿宋_GBK" w:cs="方正仿宋_GBK"/>
          <w:b w:val="0"/>
          <w:bCs w:val="0"/>
          <w:spacing w:val="-4"/>
          <w:sz w:val="32"/>
          <w:szCs w:val="32"/>
        </w:rPr>
        <w:t>1. 项目背景、主要内容及实施情况</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该项目实施背景：根据2023年水磨沟区第十七届人民代表大会第三次会议审议通过2023年预算以及《关于下达2023年水磨沟区部门预算的通知》（水财发【2023】1号）文件精神，拨付2023年项目经费——消化2022年暂付款项3243.180093万元。消化2022年暂付款项，主要包括：职业年金、封闭化岗亭人员经费、便民服务站人员伙食费、便民服务站运行经费、社区经费、政府发包项目及征收类项目历年欠款、社区食堂补助专项经费、工作经费、临聘人员经费；该项目用于退休人员职业年金缴费；街道各类岗位人员发放工资、社保、住房公积金以及绩效；社区和便民警务站日常运转费用；社区食堂费用；工作费用；化解工程类账款等费用。</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项目2023年的主要实施内容：该项目资金金额3243.180093万元，包括9个子项目资金分别为：①职业年金，用于支付退休人员职业年金;②封闭化岗亭人员经费，主要用于支付封闭化岗亭值守人员工资，保障工作人员的正常生活需求，提高工作积极性；③便民服务站经费，通过资金保障，有利于提高便民服务站工作效率，提升服务质量；④社区经费，通过经费保障社区活动的组织、基础设施的维护以及社区环境的改善，给社区居民提供高质量的服务，满足居民日益增长的物质文化需求；⑤便民服务站人员伙食费，主要用于支付配餐公司为便民服务站工作人员每天早中晚三餐餐费，从而提高他们的工作效率和生活质量；便民服务站运行经费，通过资金保障，有利于提高便民服务站工作效率，提升服务质量；⑥社区食堂费用，用于支付社区食堂米面肉菜调料等食材，支付伙食费不仅解决了工作人员的伙食问题，提高了工作效率，也让他们感受到了政府的关心和尊重；⑦工作经费，通过工作经费的合理分配和使用，更好地提升了街道办事处的办公效率；⑧临聘人员经费通过按时发放临聘人员工资及缴纳社保，可以激励临聘人员更好地投入工作，提高其工作效率；⑨化解工程类账款，通过支付该项目工程款，化解矛盾纠纷，平息社会舆论，解决企业困难。有利于促进企业良性发展，提高政府公信力。。</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2023年当年完成情况，实际完成情况为：职业年金资金拨付到位20.79万元，执行20.79万元，执行率100%；封闭化岗亭人员经费资金拨付到位113.62万元，执行113.62万元，执行率100%；便民服务站人员伙食费资金拨付到位152.84万元，执行152.84万元，执行率100%；便民服务站运行经费资金拨付到位145.35万元，执行145.35万元，执行率100%；社区经费资金拨付到位98.4万元，执行98.4万元，执行率100%；政府发包项目及征收类项目历年欠款资金拨付到位17万元，执行17万元，执行率100%；社区食堂补助专项经费资金拨付到位52.15万元，执行52.15万元，执行率100%；工作经费资金拨付到位61.13万元，执行61.13万元，执行率100%；临聘人员经费资金拨付到位2581.89万元，执行2581.89万元，执行率100%；该项目用于退休人员职业年金缴费；街道各类岗位人员发放工资、社保、住房公积金以及绩效；社区和便民警务站日常运转费用；社区食堂费用；街道日常工作费用；化解工程类账款等费用。</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2. 资金投入和使用情况</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该项目资金投入情况：经根据2023年水磨沟区第十七届人民代表大会第三次会议审议通过2023年预算以及《关于下达2023年水磨沟区部门预算的通知》（水财发【2023】1号）号文件批准，项目系2023年本级资金，共安排预算3243.180093万元，于2023年年初部分预算批复项目，年中资金无调整。</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该项目资金使用情况：2023年2月按照区财政局要求完成2022年新增消化暂付款调账工作，共安排预算3243.180093万元，全年预算数3243.180093万元，该项目资金明细如下：临聘人员预算经费2581.89万元；社区经费98.4万元；便民服务站经费145.35万元；工作经费61.13万元；便民服务站人员伙食费152.84万元；封闭岗亭安保人员经费113.62万元；人员类经费20.79万元；社区食堂经费52.15万元；历年欠款17万元，全年执行3243.180093万元，执行率100%。年中无追加。</w:t>
      </w:r>
    </w:p>
    <w:p>
      <w:pPr>
        <w:keepNext w:val="0"/>
        <w:keepLines w:val="0"/>
        <w:pageBreakBefore w:val="0"/>
        <w:widowControl w:val="0"/>
        <w:kinsoku/>
        <w:wordWrap/>
        <w:overflowPunct/>
        <w:topLinePunct w:val="0"/>
        <w:autoSpaceDE/>
        <w:autoSpaceDN/>
        <w:bidi w:val="0"/>
        <w:adjustRightInd/>
        <w:snapToGrid/>
        <w:spacing w:line="560" w:lineRule="exact"/>
        <w:ind w:firstLine="0"/>
        <w:textAlignment w:val="auto"/>
        <w:rPr>
          <w:rStyle w:val="18"/>
          <w:rFonts w:hint="eastAsia" w:ascii="方正仿宋_GBK" w:hAnsi="方正仿宋_GBK" w:eastAsia="方正仿宋_GBK" w:cs="方正仿宋_GBK"/>
          <w:spacing w:val="-4"/>
          <w:sz w:val="32"/>
          <w:szCs w:val="32"/>
        </w:rPr>
      </w:pPr>
      <w:r>
        <w:rPr>
          <w:rStyle w:val="18"/>
          <w:rFonts w:hint="eastAsia" w:ascii="方正仿宋_GBK" w:hAnsi="方正仿宋_GBK" w:eastAsia="方正仿宋_GBK" w:cs="方正仿宋_GBK"/>
          <w:spacing w:val="-4"/>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0"/>
        <w:textAlignment w:val="auto"/>
        <w:rPr>
          <w:rStyle w:val="18"/>
          <w:rFonts w:ascii="楷体" w:hAnsi="楷体" w:eastAsia="楷体"/>
          <w:b w:val="0"/>
          <w:bCs w:val="0"/>
          <w:spacing w:val="-4"/>
          <w:sz w:val="32"/>
          <w:szCs w:val="32"/>
        </w:rPr>
      </w:pPr>
      <w:r>
        <w:rPr>
          <w:rStyle w:val="18"/>
          <w:rFonts w:hint="eastAsia" w:ascii="方正仿宋_GBK" w:hAnsi="方正仿宋_GBK" w:eastAsia="方正仿宋_GBK" w:cs="方正仿宋_GBK"/>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该项目为当年项目。</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该项目总体绩效目标：消化2022暂付款项，该项目资金金额3243.180093万元，包括9个子项目资金为。①职业年金，用于支付退休人员职业年金;②封闭化岗亭人员经费，主要用于支付封闭化岗亭值守人员工资，保障工作人员的正常生活需求，提高工作积极性；③便民服务站经费，通过资金保障，有利于提高便民服务站工作效率，提升服务质量；④社区经费，通过经费保障社区活动的组织、基础设施的维护以及社区环境的改善，给社区居民提供高质量的服务，满足居民日益增长的物质文化需求；⑤便民服务站人员伙食费，主要用于支付配餐公司为便民服务站工作人员每天早中晚三餐餐费，从而提高他们的工作效率和生活质量；便民服务站运行经费，通过资金保障，有利于提高便民服务站工作效率，提升服务质量；⑥社区食堂费用，用于支付社区食堂米面肉菜调料等食材，支付伙食费不仅解决了工作人员的伙食问题，提高了工作效率，也让他们感受到了政府的关心和尊重；⑦工作经费，通过工作经费的合理分配和使用，更好地提升了街道办事处的办公效率；⑧临聘人员经费通过按时发放临聘人员工资及缴纳社保，可以激励临聘人员更好地投入工作，提高其工作效率；⑨化解工程类账款，通过支付该项目工程款，化解矛盾纠纷，平息社会舆论，解决企业困难。有利于促进企业良性发展，提高政府公信力。</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该项目的阶段性绩效目标：</w:t>
      </w:r>
      <w:r>
        <w:rPr>
          <w:rStyle w:val="18"/>
          <w:rFonts w:hint="eastAsia" w:ascii="方正仿宋_GBK" w:hAnsi="方正仿宋_GBK" w:eastAsia="方正仿宋_GBK" w:cs="方正仿宋_GBK"/>
          <w:b w:val="0"/>
          <w:bCs w:val="0"/>
          <w:spacing w:val="-4"/>
          <w:sz w:val="32"/>
          <w:szCs w:val="32"/>
        </w:rPr>
        <w:cr/>
      </w:r>
      <w:r>
        <w:rPr>
          <w:rStyle w:val="18"/>
          <w:rFonts w:hint="eastAsia" w:ascii="方正仿宋_GBK" w:hAnsi="方正仿宋_GBK" w:eastAsia="方正仿宋_GBK" w:cs="方正仿宋_GBK"/>
          <w:b w:val="0"/>
          <w:bCs w:val="0"/>
          <w:spacing w:val="-4"/>
          <w:sz w:val="32"/>
          <w:szCs w:val="32"/>
        </w:rPr>
        <w:br w:type="textWrapping"/>
      </w:r>
      <w:r>
        <w:rPr>
          <w:rStyle w:val="18"/>
          <w:rFonts w:hint="eastAsia" w:ascii="方正仿宋_GBK" w:hAnsi="方正仿宋_GBK" w:eastAsia="方正仿宋_GBK" w:cs="方正仿宋_GBK"/>
          <w:b w:val="0"/>
          <w:bCs w:val="0"/>
          <w:spacing w:val="-4"/>
          <w:sz w:val="32"/>
          <w:szCs w:val="32"/>
        </w:rPr>
        <w:t>在2023年计划完成涉及临聘人员人数581人；志愿者服务人次1728人次；每月临聘人员出勤率100%；社区服务群众活动参与率100%；处理便民服务事项情况良好；度经费支出及时率100%；临聘人员预算经费2581.89万元；社区经费98.4万元；便民服务站经费145.35万元；工作经费61.13万元；便民服务站人员伙食费152.84万元；封闭岗亭安保人员经费113.62万元；人员类经费20.79万元；社区食堂经费52.15万元；历年欠款17万元；提高工作人员积极性显著提高，提升片区服务群众、环境卫生、安全生产、车辆经费、经济高质量发展各项工作措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项目的目标范围，可以临聘人员人数、志愿者服务人次（三级指标）等可以来衡量项目的产出数量，以每月临聘人员出勤率、志愿者服务人次（三级指标）等可以来衡量项目的产出质量，以经费支出及时率（三级指标）等可以来衡量项目的产出时效，以临聘人员预算经费、社区经费（三级指标）等可以来衡量项目的产出成本，此次项目目标可以通过绩效指标设定的范围与要求进行量化，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分析项目的计划和执行过程，是确保体现项目的进展情况和完成度的重要步骤。年初我们收到资金后，按照2022年暂付款项目的具体用途和资金实际使用涉及的相关科目，逐条进行消化，以便对项目的整体情况有一个清晰的了解，现9个项目均已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最后，需要对评价数据的来源、采集进行描述，以确保数据的准确性和完整性。通过上年预算项目明细账及预算项目余额表进行整理、分析，对项目的效果进行公正、客观的评价。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主要包括：职业年金、封闭化岗亭人员经费、便民服务站人员伙食费、便民服务站运行经费、社区经费、政府发包项目及征收类项目历年欠款、社区食堂补助专项经费、工作经费、2022年临聘人员经费；该项目用于退休人员职业年金缴费；街道各类岗位人员发放工资、社保、住房公积金以及绩效；社区和便民警务站日常运转费用；社区食堂费用；街道日常工作费用；化解工程类账款等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②评价工作的开展情况、综合性评价结论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③项目实现的产出情况、取得的效益情况、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2022年度临聘人员人数581人；2022年度社区数量12个；2022年度便民服务站数量19个；志愿者服务人次1728人次；2022年度每月临聘人员出勤率100%；2022年度社区服务群众活动参与率100%；2022年度处理便民服务事项情况良好；2022年度经费支出及时率100%；2022年度临聘人员预算经费2581.89万元；2022年度社区经费98.4万元；2022年度便民服务站经费145.35万元；2022年度工作经费61.13万元；2022年度便民服务站人员伙食费152.84万元；2022年度封闭岗亭安保人员经费113.62万元；2022年度人员类经费20.79万元；2022年度社区食堂经费52.15万元；2022年度历年欠款17万元；本年度提高工作人员积极性显著提高，提升片区服务群众、环境卫生、安全生产、车辆经费、经济高质量发展各项工作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年初预算资金项目组织并实施，加强年初预算项目的管理，提高项目资金预算的准确性。南湖北路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预算项目资金全部用于支付职业年金、封闭化岗亭人员经费、便民服务站人员伙食费、便民服务站运行经费、社区经费、政府发包项目及征收类项目历年欠款、社区食堂补助专项经费、工作经费、2022年临聘人员经费等，有效地维持本单位工作正常运转，实现既定目标、完成预算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⑥存在的问题及原因分析，以及综合性价结论等。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临聘人员人数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志愿者服务人次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每月临聘人员出勤率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社区服务群众活动参与率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处理便民服务事项情况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经费支出及时率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临聘人员预算经费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社区经费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便民服务站经费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便民服务站人员伙食费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封闭岗亭安保人员经费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人员类经费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社区食堂经费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政府发包项目及征收类项目历年欠款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本年度提高工作人员积极性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辖区居民满意度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《中共水磨沟区委办公室 水磨沟区人民政府办公室印发〈关于规范水磨沟区机关事业单位临时聘用人员管理的工作方案〉的通知》（水党办发〔2021〕73号）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《乌鲁木齐市社区工作经费管理使用办法（暂行）》（乌党组办字【2012】31号）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《乌鲁木齐市社区工作经费管理使用办法（暂行）》的补充通知（乌党组办字【2015】6号）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临聘人员人数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志愿者服务人次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每月临聘人员出勤率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社区服务群众活动参与率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处理便民服务事项情况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经费支出及时率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临聘人员预算经费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社区经费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便民服务站经费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便民服务站人员伙食费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封闭岗亭安保人员经费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人员类经费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社区食堂经费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政府发包项目及征收类项目历年欠款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本年度提高工作人员积极性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辖区居民满意度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临聘人员人数581人；社区数量12个；便民服务站数量19个；志愿者服务人次1728人次；每月临聘人员出勤率100%；社区服务群众活动参与率100%；处理便民服务事项情况良好；经费支出及时率100%；临聘人员预算经费2581.89万元；社区经费98.4万元；便民服务站经费145.35万元；工作经费61.13万元；便民服务站人员伙食费152.84万元；封闭岗亭安保人员经费113.62万元；人员类经费20.79万元；社区食堂经费52.15万元；政府发包项目及征收类项目历年欠款17万元；按照年初预算资金项目组织并实施，加强年初预算项目的管理，提高项目资金预算的准确性。南湖北路街道办事处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社区工作经费管理使用办法（暂行）》（乌党组办字【2012】31号）、《乌鲁木齐市社区工作经费管理使用办法（暂行）》的补充通知（乌党组办字【2015】6号）、《乌鲁木齐市第七次全国人口普查领导小组办公室、乌鲁木齐市财政局、乌鲁木齐市人力资源和社会保障局、乌鲁木齐市统计局转发新人普办字【2020】10号文的通知》等相关文件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根据2023年水磨沟区第十七届人民代表大会第三次会议审议通过2023年预算以及《关于下达2023年水磨沟区部门预算的通知》，经水财发【2023】1号文件，下达该预算项目。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本项目实施能够通过经费保障街道、社区、便民服务站在活动的组织、基础设施的维护以及辖区环境的改善，给居民提供高质量的服务，满足居民日益增长的物质文化需求；保障工作人员的正常生活需求，激励临聘人员更好地投入工作。其中，所有目标已细化为具体的绩效指标，例如临聘人员经费、社区经费项目、便民服务站运行经费等项目，均可通过数量指标、质量指标、时效指标和成本指标予以量化，并具有确切的评价标准，且指标设定均与目标相关。各项指标均能在现实条件下收集到相关数据进行佐证，例如从本单位社区、科室报账员收集上会报告、采购、合同等项目资料；从社保所收集临聘人员考勤、资金支付相关凭证；从辖区居民收集调查问卷等资料，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项目经费依据《2023年部门预算中非定额预算说明》中消化2022年暂付款项明细如下：职业年金、封闭化岗亭人员经费、便民服务站人员伙食费、便民服务站运行经费、社区经费、政府发包项目及征收类项目历年欠款、社区食堂补助专项经费、工作经费、2022年临聘人员经费。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经水财发【2023】1号文件批准，该项目资金得以保障，经费明细如下：2022年度临聘人员预算经费2581.89万元；2022年度社区经费98.4万元；2022年度便民服务站经费145.35万元；2022年度工作经费61.13万元；2022年度便民服务站人员伙食费152.84万元；2022年度封闭岗亭安保人员经费113.62万元；2022年度人员类经费20.79万元；2022年度社区食堂经费52.15万元；2022年度历年欠款17万元。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资金到位率：该项目资金由财政拨付，在2023年1月26日到位，资金直接支付到各供应商。该项目资金年初预算3243.18万元，全年预算数3243.18万元，资金到位率100%。故资金到位率指标得分5分。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预算执行率：该项目资金年初预算3243.18万元，全年预算数3243.18万元，全年执行3243.18万元，执行率100%。故预算执行率得分为5分。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市委组织部、市财政局关于《乌鲁木齐市社区工作经费管理使用办法（暂行）》（乌党组办字【2012】31号）、《乌鲁木齐市社区工作经费管理使用办法（暂行）》的补充通知（乌党组办字【2015】6号）以及《南湖北路街道内部控制管理制度汇编》 、《南湖北路街道办事处经费管理使用办法》有关专项资金管理办法的规定。同时，资金的拨付有完整的街道财务上会审批程序，需要报账的相关手续，符合项目预算批复或合同规定的用途，不存在截留、挤占、挪用、虚列支出等情况。，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管理制度健全性：乌鲁木齐市水磨沟区南湖北路街道办事处已制定相应的财务和业务管理制度，且制度合法、合规、完整，为项目顺利实施提供重要保障。故管理制度健全性得分为3分。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南湖北路街道办事处严格遵守相关法律法规和相关管理规定，项目调整及支出调整手续完备，整体管理合理有序，项目完成后，及时将会计凭证、合同、采购单、验收单、劳务派遣公司考勤表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数量指标“2022年度临聘人员人数”的目标值是581人，2023年度我单位实际完成581人；该指标赋分5分，得分5分。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数量指标“志愿者服务人次”的目标值是1728人次，2023年度我单位实际完成1728人次；该指标赋分5分，得分5分。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质量指标“2022年度每月临聘人员出勤率”的目标值是100%，2023年度我单位实际完成100%；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质量指标“2022年度社区服务群众活动参与率”的目标值是100%，2023年度我单位实际完成100%；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质量指标“2022年度处理便民服务事项情况”的目标值是100%，2023年度我单位实际完成100%；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其中，2022年度经费支出及时率：2023年度我单位实际完成100%；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2022年度临聘人员预算经费：本项目实际支出2581.89万元，无超支情况，项目资金全部完成，得分为2分。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2022年度社区经费：本项目实际支出98.4万元，无超支情况，项目资金全部完成，得分为1分。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2022年度便民服务站经费：本项目实际支出145.35万元，无超支情况，项目资金全部完成，得分为1分。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2022年度工作经费：本项目实际支出61.13万元，无超支情况，项目资金全部完成，得分为1分。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2022年度便民服务站人员伙食费：本项目实际支出152.84万元，无超支情况，项目资金全部完成，得分为1分。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2022年度封闭岗亭安保人员经费：本项目实际支出113.62万元，无超支情况，项目资金全部完成，得分为1分。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2022年度人员类经费：本项目实际支出20.79万元，无超支情况，项目资金全部完成，得分为1分。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2022年度社区食堂经费：本项目实际支出52.15万元，无超支情况，项目资金全部完成，得分为1分。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2022年度历年欠款：本项目实际支出17万元，无超支情况，项目资金全部完成，得分为1分。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以上总支出3243.18万元，预算拨付3243.18万元，无超支情况。故产出成本得分为10分。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本年度提高工作人员积极性”，指标值：显著提高，实际完成值：达成年度指标。本项目的实施该项目2023年年初预算拨付3243.18万元，通过实施该项目保障了2022年片区、12个社区以及19个警务站基本运行，每月按时发放临聘人员工资、社保以及住房公积金；同时提升片区服务群众、环境卫生、安全生产、车辆经费、经济高质量发展各项工作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辖区居民满意度”，指标值：=100%，实际完成值：=100%。通过设置问卷调查的方式进行考评评价，共计调查样本总量为20个样本，有效调查问卷20份。其中，统计“辖区居民满意度”的平均值为100%。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按照年初预算资金项目组织并实施，加强年初预算项目的管理，提高项目资金预算的准确性。南湖北路街道办事处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预算项目资金全部用于支付职业年金、封闭化岗亭人员经费、便民服务站人员伙食费、便民服务站运行经费、社区经费、政府发包项目及征收类项目历年欠款、社区食堂补助专项经费、工作经费、临聘人员经费等，有效地维持本单位工作正常运转，实现既定目标、完成预算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3.预算执行率较低且追加、调减支出随意性较大，受财力影响，财政预算支出的重点在于保运转，保民生，有限财力与刚性支出日益增长的矛盾冲突，导致预算执行率比较低，同时影响了预算的约束力和权威性。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C0D2671"/>
    <w:rsid w:val="4D2606A1"/>
    <w:rsid w:val="51830480"/>
    <w:rsid w:val="53A616BE"/>
    <w:rsid w:val="54662BFB"/>
    <w:rsid w:val="5550301D"/>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14</TotalTime>
  <ScaleCrop>false</ScaleCrop>
  <LinksUpToDate>false</LinksUpToDate>
  <CharactersWithSpaces>640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2024-09-18T06:53:06Z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C734C92AAAF24344A0E4232D8EB3359B</vt:lpwstr>
  </property>
</Properties>
</file>