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E7658A7" w14:textId="77777777" w:rsidR="000048AA" w:rsidRDefault="008559F9">
      <w:pPr>
        <w:spacing w:line="540" w:lineRule="exact"/>
        <w:jc w:val="left"/>
        <w:rPr>
          <w:rFonts w:ascii="仿宋" w:eastAsia="仿宋" w:hAnsi="仿宋" w:cs="宋体"/>
          <w:kern w:val="0"/>
          <w:sz w:val="32"/>
          <w:szCs w:val="32"/>
        </w:rPr>
      </w:pPr>
      <w:bookmarkStart w:id="0" w:name="_GoBack"/>
      <w:bookmarkEnd w:id="0"/>
      <w:r>
        <w:rPr>
          <w:rFonts w:ascii="仿宋" w:eastAsia="仿宋" w:hAnsi="仿宋" w:cs="宋体" w:hint="eastAsia"/>
          <w:kern w:val="0"/>
          <w:sz w:val="32"/>
          <w:szCs w:val="32"/>
        </w:rPr>
        <w:t>附件</w:t>
      </w:r>
      <w:r>
        <w:rPr>
          <w:rFonts w:ascii="仿宋" w:eastAsia="仿宋" w:hAnsi="仿宋" w:cs="宋体" w:hint="eastAsia"/>
          <w:kern w:val="0"/>
          <w:sz w:val="32"/>
          <w:szCs w:val="32"/>
        </w:rPr>
        <w:t>2</w:t>
      </w:r>
      <w:r>
        <w:rPr>
          <w:rFonts w:ascii="仿宋" w:eastAsia="仿宋" w:hAnsi="仿宋" w:cs="宋体" w:hint="eastAsia"/>
          <w:kern w:val="0"/>
          <w:sz w:val="32"/>
          <w:szCs w:val="32"/>
        </w:rPr>
        <w:t>：</w:t>
      </w:r>
    </w:p>
    <w:p w14:paraId="1D33FA27" w14:textId="77777777" w:rsidR="000048AA" w:rsidRDefault="000048AA">
      <w:pPr>
        <w:spacing w:line="540" w:lineRule="exact"/>
        <w:jc w:val="center"/>
        <w:rPr>
          <w:rFonts w:ascii="华文中宋" w:eastAsia="华文中宋" w:hAnsi="华文中宋" w:cs="宋体"/>
          <w:b/>
          <w:kern w:val="0"/>
          <w:sz w:val="52"/>
          <w:szCs w:val="52"/>
        </w:rPr>
      </w:pPr>
    </w:p>
    <w:p w14:paraId="6E106AD4" w14:textId="77777777" w:rsidR="000048AA" w:rsidRDefault="000048AA">
      <w:pPr>
        <w:spacing w:line="540" w:lineRule="exact"/>
        <w:jc w:val="center"/>
        <w:rPr>
          <w:rFonts w:ascii="华文中宋" w:eastAsia="华文中宋" w:hAnsi="华文中宋" w:cs="宋体"/>
          <w:b/>
          <w:kern w:val="0"/>
          <w:sz w:val="52"/>
          <w:szCs w:val="52"/>
        </w:rPr>
      </w:pPr>
    </w:p>
    <w:p w14:paraId="06DF3DDB" w14:textId="77777777" w:rsidR="000048AA" w:rsidRDefault="000048AA">
      <w:pPr>
        <w:spacing w:line="540" w:lineRule="exact"/>
        <w:jc w:val="center"/>
        <w:rPr>
          <w:rFonts w:ascii="华文中宋" w:eastAsia="华文中宋" w:hAnsi="华文中宋" w:cs="宋体"/>
          <w:b/>
          <w:kern w:val="0"/>
          <w:sz w:val="52"/>
          <w:szCs w:val="52"/>
        </w:rPr>
      </w:pPr>
    </w:p>
    <w:p w14:paraId="3D54B155" w14:textId="77777777" w:rsidR="000048AA" w:rsidRDefault="000048AA">
      <w:pPr>
        <w:spacing w:line="540" w:lineRule="exact"/>
        <w:jc w:val="center"/>
        <w:rPr>
          <w:rFonts w:ascii="华文中宋" w:eastAsia="华文中宋" w:hAnsi="华文中宋" w:cs="宋体"/>
          <w:b/>
          <w:kern w:val="0"/>
          <w:sz w:val="52"/>
          <w:szCs w:val="52"/>
        </w:rPr>
      </w:pPr>
    </w:p>
    <w:p w14:paraId="7523DB40" w14:textId="77777777" w:rsidR="000048AA" w:rsidRDefault="000048AA">
      <w:pPr>
        <w:spacing w:line="540" w:lineRule="exact"/>
        <w:jc w:val="center"/>
        <w:rPr>
          <w:rFonts w:ascii="华文中宋" w:eastAsia="华文中宋" w:hAnsi="华文中宋" w:cs="宋体"/>
          <w:b/>
          <w:kern w:val="0"/>
          <w:sz w:val="52"/>
          <w:szCs w:val="52"/>
        </w:rPr>
      </w:pPr>
    </w:p>
    <w:p w14:paraId="7B9F0A20" w14:textId="77777777" w:rsidR="000048AA" w:rsidRDefault="000048AA">
      <w:pPr>
        <w:spacing w:line="540" w:lineRule="exact"/>
        <w:jc w:val="center"/>
        <w:rPr>
          <w:rFonts w:ascii="华文中宋" w:eastAsia="华文中宋" w:hAnsi="华文中宋" w:cs="宋体"/>
          <w:b/>
          <w:kern w:val="0"/>
          <w:sz w:val="52"/>
          <w:szCs w:val="52"/>
        </w:rPr>
      </w:pPr>
    </w:p>
    <w:p w14:paraId="1F5472C6" w14:textId="77777777" w:rsidR="000048AA" w:rsidRDefault="008559F9">
      <w:pPr>
        <w:spacing w:line="540" w:lineRule="exact"/>
        <w:jc w:val="center"/>
        <w:rPr>
          <w:rFonts w:ascii="方正小标宋_GBK" w:eastAsia="方正小标宋_GBK" w:hAnsi="华文中宋" w:cs="宋体"/>
          <w:b/>
          <w:kern w:val="0"/>
          <w:sz w:val="48"/>
          <w:szCs w:val="48"/>
        </w:rPr>
      </w:pPr>
      <w:r>
        <w:rPr>
          <w:rFonts w:ascii="方正小标宋_GBK" w:eastAsia="方正小标宋_GBK" w:hAnsi="华文中宋" w:cs="宋体" w:hint="eastAsia"/>
          <w:b/>
          <w:kern w:val="0"/>
          <w:sz w:val="48"/>
          <w:szCs w:val="48"/>
        </w:rPr>
        <w:t>项目支出绩效自评报告</w:t>
      </w:r>
    </w:p>
    <w:p w14:paraId="05C3E73B" w14:textId="77777777" w:rsidR="000048AA" w:rsidRDefault="000048AA">
      <w:pPr>
        <w:spacing w:line="540" w:lineRule="exact"/>
        <w:jc w:val="center"/>
        <w:rPr>
          <w:rFonts w:ascii="华文中宋" w:eastAsia="华文中宋" w:hAnsi="华文中宋" w:cs="宋体"/>
          <w:b/>
          <w:kern w:val="0"/>
          <w:sz w:val="52"/>
          <w:szCs w:val="52"/>
        </w:rPr>
      </w:pPr>
    </w:p>
    <w:p w14:paraId="478A78FB" w14:textId="77777777" w:rsidR="000048AA" w:rsidRDefault="008559F9">
      <w:pPr>
        <w:spacing w:line="540" w:lineRule="exact"/>
        <w:jc w:val="center"/>
        <w:rPr>
          <w:rFonts w:eastAsia="仿宋_GB2312" w:hAnsi="宋体" w:cs="宋体"/>
          <w:kern w:val="0"/>
          <w:sz w:val="36"/>
          <w:szCs w:val="36"/>
        </w:rPr>
      </w:pPr>
      <w:r>
        <w:rPr>
          <w:rFonts w:eastAsia="仿宋_GB2312" w:hAnsi="宋体" w:cs="宋体" w:hint="eastAsia"/>
          <w:kern w:val="0"/>
          <w:sz w:val="36"/>
          <w:szCs w:val="36"/>
        </w:rPr>
        <w:t>（</w:t>
      </w:r>
      <w:r>
        <w:rPr>
          <w:rFonts w:eastAsia="仿宋_GB2312" w:hAnsi="宋体" w:cs="宋体" w:hint="eastAsia"/>
          <w:kern w:val="0"/>
          <w:sz w:val="36"/>
          <w:szCs w:val="36"/>
        </w:rPr>
        <w:t xml:space="preserve">   </w:t>
      </w:r>
      <w:r>
        <w:rPr>
          <w:rStyle w:val="a8"/>
          <w:rFonts w:ascii="楷体" w:eastAsia="楷体" w:hAnsi="楷体" w:hint="eastAsia"/>
          <w:spacing w:val="-4"/>
          <w:sz w:val="32"/>
          <w:szCs w:val="32"/>
        </w:rPr>
        <w:t>2023</w:t>
      </w:r>
      <w:r>
        <w:rPr>
          <w:rFonts w:eastAsia="仿宋_GB2312" w:hAnsi="宋体" w:cs="宋体" w:hint="eastAsia"/>
          <w:kern w:val="0"/>
          <w:sz w:val="36"/>
          <w:szCs w:val="36"/>
        </w:rPr>
        <w:t xml:space="preserve">  </w:t>
      </w:r>
      <w:r>
        <w:rPr>
          <w:rFonts w:eastAsia="仿宋_GB2312" w:hAnsi="宋体" w:cs="宋体" w:hint="eastAsia"/>
          <w:kern w:val="0"/>
          <w:sz w:val="36"/>
          <w:szCs w:val="36"/>
        </w:rPr>
        <w:t>年度）</w:t>
      </w:r>
    </w:p>
    <w:p w14:paraId="26501804" w14:textId="77777777" w:rsidR="000048AA" w:rsidRDefault="000048AA">
      <w:pPr>
        <w:spacing w:line="540" w:lineRule="exact"/>
        <w:jc w:val="center"/>
        <w:rPr>
          <w:rFonts w:eastAsia="仿宋_GB2312" w:hAnsi="宋体" w:cs="宋体"/>
          <w:kern w:val="0"/>
          <w:sz w:val="30"/>
          <w:szCs w:val="30"/>
        </w:rPr>
      </w:pPr>
    </w:p>
    <w:p w14:paraId="69B61B55" w14:textId="77777777" w:rsidR="000048AA" w:rsidRDefault="000048AA">
      <w:pPr>
        <w:spacing w:line="540" w:lineRule="exact"/>
        <w:jc w:val="center"/>
        <w:rPr>
          <w:rFonts w:eastAsia="仿宋_GB2312" w:hAnsi="宋体" w:cs="宋体"/>
          <w:kern w:val="0"/>
          <w:sz w:val="30"/>
          <w:szCs w:val="30"/>
        </w:rPr>
      </w:pPr>
    </w:p>
    <w:p w14:paraId="0A436978" w14:textId="77777777" w:rsidR="000048AA" w:rsidRDefault="000048AA">
      <w:pPr>
        <w:spacing w:line="540" w:lineRule="exact"/>
        <w:jc w:val="center"/>
        <w:rPr>
          <w:rFonts w:eastAsia="仿宋_GB2312" w:hAnsi="宋体" w:cs="宋体"/>
          <w:kern w:val="0"/>
          <w:sz w:val="30"/>
          <w:szCs w:val="30"/>
        </w:rPr>
      </w:pPr>
    </w:p>
    <w:p w14:paraId="5731CF0C" w14:textId="77777777" w:rsidR="000048AA" w:rsidRDefault="000048AA">
      <w:pPr>
        <w:spacing w:line="540" w:lineRule="exact"/>
        <w:jc w:val="center"/>
        <w:rPr>
          <w:rFonts w:eastAsia="仿宋_GB2312" w:hAnsi="宋体" w:cs="宋体"/>
          <w:kern w:val="0"/>
          <w:sz w:val="30"/>
          <w:szCs w:val="30"/>
        </w:rPr>
      </w:pPr>
    </w:p>
    <w:p w14:paraId="2CE0F0E1" w14:textId="77777777" w:rsidR="000048AA" w:rsidRDefault="000048AA">
      <w:pPr>
        <w:spacing w:line="540" w:lineRule="exact"/>
        <w:jc w:val="center"/>
        <w:rPr>
          <w:rFonts w:eastAsia="仿宋_GB2312" w:hAnsi="宋体" w:cs="宋体"/>
          <w:kern w:val="0"/>
          <w:sz w:val="30"/>
          <w:szCs w:val="30"/>
        </w:rPr>
      </w:pPr>
    </w:p>
    <w:p w14:paraId="4C85A255" w14:textId="77777777" w:rsidR="000048AA" w:rsidRDefault="000048AA">
      <w:pPr>
        <w:spacing w:line="540" w:lineRule="exact"/>
        <w:jc w:val="center"/>
        <w:rPr>
          <w:rFonts w:eastAsia="仿宋_GB2312" w:hAnsi="宋体" w:cs="宋体"/>
          <w:kern w:val="0"/>
          <w:sz w:val="30"/>
          <w:szCs w:val="30"/>
        </w:rPr>
      </w:pPr>
    </w:p>
    <w:p w14:paraId="3DB1725E" w14:textId="77777777" w:rsidR="000048AA" w:rsidRDefault="000048AA">
      <w:pPr>
        <w:spacing w:line="540" w:lineRule="exact"/>
        <w:rPr>
          <w:rFonts w:eastAsia="仿宋_GB2312" w:hAnsi="宋体" w:cs="宋体"/>
          <w:kern w:val="0"/>
          <w:sz w:val="30"/>
          <w:szCs w:val="30"/>
        </w:rPr>
      </w:pPr>
    </w:p>
    <w:p w14:paraId="5B7D51AB" w14:textId="77777777" w:rsidR="000048AA" w:rsidRDefault="008559F9">
      <w:pPr>
        <w:spacing w:line="700" w:lineRule="exact"/>
        <w:jc w:val="left"/>
        <w:rPr>
          <w:rFonts w:eastAsia="仿宋_GB2312" w:hAnsi="宋体" w:cs="宋体"/>
          <w:kern w:val="0"/>
          <w:sz w:val="36"/>
          <w:szCs w:val="36"/>
        </w:rPr>
      </w:pPr>
      <w:r>
        <w:rPr>
          <w:rFonts w:eastAsia="仿宋_GB2312" w:hAnsi="宋体" w:cs="宋体" w:hint="eastAsia"/>
          <w:kern w:val="0"/>
          <w:sz w:val="36"/>
          <w:szCs w:val="36"/>
        </w:rPr>
        <w:t xml:space="preserve">     </w:t>
      </w:r>
    </w:p>
    <w:p w14:paraId="71B2FEEF" w14:textId="77777777" w:rsidR="000048AA" w:rsidRDefault="008559F9">
      <w:pPr>
        <w:spacing w:line="700" w:lineRule="exact"/>
        <w:ind w:firstLineChars="250" w:firstLine="900"/>
        <w:jc w:val="left"/>
        <w:rPr>
          <w:rFonts w:eastAsia="仿宋_GB2312" w:hAnsi="宋体" w:cs="宋体"/>
          <w:kern w:val="0"/>
          <w:sz w:val="36"/>
          <w:szCs w:val="36"/>
        </w:rPr>
      </w:pPr>
      <w:r>
        <w:rPr>
          <w:rFonts w:eastAsia="仿宋_GB2312" w:hAnsi="宋体" w:cs="宋体" w:hint="eastAsia"/>
          <w:kern w:val="0"/>
          <w:sz w:val="36"/>
          <w:szCs w:val="36"/>
        </w:rPr>
        <w:t>项目名称：</w:t>
      </w:r>
      <w:r>
        <w:rPr>
          <w:rStyle w:val="a8"/>
          <w:rFonts w:ascii="楷体" w:eastAsia="楷体" w:hAnsi="楷体" w:hint="eastAsia"/>
          <w:spacing w:val="-4"/>
          <w:sz w:val="32"/>
          <w:szCs w:val="32"/>
        </w:rPr>
        <w:t>消化</w:t>
      </w:r>
      <w:r>
        <w:rPr>
          <w:rStyle w:val="a8"/>
          <w:rFonts w:ascii="楷体" w:eastAsia="楷体" w:hAnsi="楷体" w:hint="eastAsia"/>
          <w:spacing w:val="-4"/>
          <w:sz w:val="32"/>
          <w:szCs w:val="32"/>
        </w:rPr>
        <w:t>2022</w:t>
      </w:r>
      <w:r>
        <w:rPr>
          <w:rStyle w:val="a8"/>
          <w:rFonts w:ascii="楷体" w:eastAsia="楷体" w:hAnsi="楷体" w:hint="eastAsia"/>
          <w:spacing w:val="-4"/>
          <w:sz w:val="32"/>
          <w:szCs w:val="32"/>
        </w:rPr>
        <w:t>年暂付款项</w:t>
      </w:r>
    </w:p>
    <w:p w14:paraId="7AEB13A7" w14:textId="77777777" w:rsidR="000048AA" w:rsidRDefault="008559F9">
      <w:pPr>
        <w:spacing w:line="540" w:lineRule="exact"/>
        <w:ind w:firstLine="567"/>
        <w:rPr>
          <w:rFonts w:ascii="楷体" w:eastAsia="楷体" w:hAnsi="楷体"/>
          <w:b/>
          <w:bCs/>
          <w:spacing w:val="-4"/>
          <w:sz w:val="32"/>
          <w:szCs w:val="32"/>
        </w:rPr>
      </w:pPr>
      <w:r>
        <w:rPr>
          <w:rFonts w:eastAsia="仿宋_GB2312" w:hAnsi="宋体" w:cs="宋体" w:hint="eastAsia"/>
          <w:kern w:val="0"/>
          <w:sz w:val="36"/>
          <w:szCs w:val="36"/>
        </w:rPr>
        <w:t xml:space="preserve">  </w:t>
      </w:r>
      <w:r>
        <w:rPr>
          <w:rFonts w:eastAsia="仿宋_GB2312" w:hAnsi="宋体" w:cs="宋体" w:hint="eastAsia"/>
          <w:kern w:val="0"/>
          <w:sz w:val="36"/>
          <w:szCs w:val="36"/>
        </w:rPr>
        <w:t>实施单位（公章）：</w:t>
      </w:r>
      <w:r>
        <w:rPr>
          <w:rStyle w:val="a8"/>
          <w:rFonts w:ascii="楷体" w:eastAsia="楷体" w:hAnsi="楷体" w:hint="eastAsia"/>
          <w:spacing w:val="-4"/>
          <w:sz w:val="28"/>
          <w:szCs w:val="28"/>
        </w:rPr>
        <w:t>乌鲁木齐市水磨沟区水塔山片区管理委员会</w:t>
      </w:r>
    </w:p>
    <w:p w14:paraId="275DDF30" w14:textId="77777777" w:rsidR="000048AA" w:rsidRDefault="008559F9">
      <w:pPr>
        <w:spacing w:line="540" w:lineRule="exact"/>
        <w:ind w:firstLineChars="250" w:firstLine="900"/>
        <w:rPr>
          <w:rFonts w:ascii="楷体" w:eastAsia="楷体" w:hAnsi="楷体"/>
          <w:b/>
          <w:bCs/>
          <w:spacing w:val="-4"/>
          <w:sz w:val="28"/>
          <w:szCs w:val="28"/>
        </w:rPr>
      </w:pPr>
      <w:r>
        <w:rPr>
          <w:rFonts w:eastAsia="仿宋_GB2312" w:hAnsi="宋体" w:cs="宋体" w:hint="eastAsia"/>
          <w:kern w:val="0"/>
          <w:sz w:val="36"/>
          <w:szCs w:val="36"/>
        </w:rPr>
        <w:t>主管部门（公章）：</w:t>
      </w:r>
      <w:r>
        <w:rPr>
          <w:rStyle w:val="a8"/>
          <w:rFonts w:ascii="楷体" w:eastAsia="楷体" w:hAnsi="楷体" w:hint="eastAsia"/>
          <w:spacing w:val="-4"/>
          <w:sz w:val="28"/>
          <w:szCs w:val="28"/>
        </w:rPr>
        <w:t>乌鲁木齐市水磨沟区水塔山片区管理委员会</w:t>
      </w:r>
    </w:p>
    <w:p w14:paraId="5747EF1B" w14:textId="77777777" w:rsidR="000048AA" w:rsidRDefault="008559F9">
      <w:pPr>
        <w:spacing w:line="540" w:lineRule="exact"/>
        <w:ind w:firstLineChars="250" w:firstLine="900"/>
        <w:rPr>
          <w:rFonts w:ascii="楷体" w:eastAsia="楷体" w:hAnsi="楷体"/>
          <w:b/>
          <w:bCs/>
          <w:spacing w:val="-4"/>
          <w:sz w:val="32"/>
          <w:szCs w:val="32"/>
        </w:rPr>
      </w:pPr>
      <w:r>
        <w:rPr>
          <w:rFonts w:eastAsia="仿宋_GB2312" w:hAnsi="宋体" w:cs="宋体" w:hint="eastAsia"/>
          <w:kern w:val="0"/>
          <w:sz w:val="36"/>
          <w:szCs w:val="36"/>
        </w:rPr>
        <w:t>项目负责人（签章）：</w:t>
      </w:r>
      <w:r>
        <w:rPr>
          <w:rStyle w:val="a8"/>
          <w:rFonts w:ascii="楷体" w:eastAsia="楷体" w:hAnsi="楷体" w:hint="eastAsia"/>
          <w:spacing w:val="-4"/>
          <w:sz w:val="32"/>
          <w:szCs w:val="32"/>
        </w:rPr>
        <w:t>景计卉</w:t>
      </w:r>
    </w:p>
    <w:p w14:paraId="7DACC143" w14:textId="77777777" w:rsidR="000048AA" w:rsidRDefault="008559F9">
      <w:pPr>
        <w:spacing w:line="540" w:lineRule="exact"/>
        <w:ind w:left="273" w:firstLine="567"/>
        <w:rPr>
          <w:rStyle w:val="a8"/>
          <w:rFonts w:ascii="楷体" w:eastAsia="楷体" w:hAnsi="楷体"/>
          <w:spacing w:val="-4"/>
          <w:sz w:val="32"/>
          <w:szCs w:val="32"/>
        </w:rPr>
      </w:pPr>
      <w:r>
        <w:rPr>
          <w:rFonts w:eastAsia="仿宋_GB2312" w:hAnsi="宋体" w:cs="宋体" w:hint="eastAsia"/>
          <w:kern w:val="0"/>
          <w:sz w:val="36"/>
          <w:szCs w:val="36"/>
        </w:rPr>
        <w:t>填报时间：</w:t>
      </w:r>
      <w:r>
        <w:rPr>
          <w:rStyle w:val="a8"/>
          <w:rFonts w:ascii="楷体" w:eastAsia="楷体" w:hAnsi="楷体" w:hint="eastAsia"/>
          <w:spacing w:val="-4"/>
          <w:sz w:val="32"/>
          <w:szCs w:val="32"/>
        </w:rPr>
        <w:t>2024</w:t>
      </w:r>
      <w:r>
        <w:rPr>
          <w:rStyle w:val="a8"/>
          <w:rFonts w:ascii="楷体" w:eastAsia="楷体" w:hAnsi="楷体" w:hint="eastAsia"/>
          <w:spacing w:val="-4"/>
          <w:sz w:val="32"/>
          <w:szCs w:val="32"/>
        </w:rPr>
        <w:t>年</w:t>
      </w:r>
      <w:r>
        <w:rPr>
          <w:rStyle w:val="a8"/>
          <w:rFonts w:ascii="楷体" w:eastAsia="楷体" w:hAnsi="楷体" w:hint="eastAsia"/>
          <w:spacing w:val="-4"/>
          <w:sz w:val="32"/>
          <w:szCs w:val="32"/>
        </w:rPr>
        <w:t>05</w:t>
      </w:r>
      <w:r>
        <w:rPr>
          <w:rStyle w:val="a8"/>
          <w:rFonts w:ascii="楷体" w:eastAsia="楷体" w:hAnsi="楷体" w:hint="eastAsia"/>
          <w:spacing w:val="-4"/>
          <w:sz w:val="32"/>
          <w:szCs w:val="32"/>
        </w:rPr>
        <w:t>月</w:t>
      </w:r>
      <w:r>
        <w:rPr>
          <w:rStyle w:val="a8"/>
          <w:rFonts w:ascii="楷体" w:eastAsia="楷体" w:hAnsi="楷体" w:hint="eastAsia"/>
          <w:spacing w:val="-4"/>
          <w:sz w:val="32"/>
          <w:szCs w:val="32"/>
        </w:rPr>
        <w:t>15</w:t>
      </w:r>
      <w:r>
        <w:rPr>
          <w:rStyle w:val="a8"/>
          <w:rFonts w:ascii="楷体" w:eastAsia="楷体" w:hAnsi="楷体" w:hint="eastAsia"/>
          <w:spacing w:val="-4"/>
          <w:sz w:val="32"/>
          <w:szCs w:val="32"/>
        </w:rPr>
        <w:t>日</w:t>
      </w:r>
    </w:p>
    <w:p w14:paraId="677F1B1A" w14:textId="77777777" w:rsidR="000048AA" w:rsidRDefault="000048AA">
      <w:pPr>
        <w:spacing w:line="700" w:lineRule="exact"/>
        <w:ind w:firstLineChars="236" w:firstLine="708"/>
        <w:jc w:val="left"/>
        <w:rPr>
          <w:rFonts w:eastAsia="仿宋_GB2312" w:hAnsi="宋体" w:cs="宋体"/>
          <w:kern w:val="0"/>
          <w:sz w:val="30"/>
          <w:szCs w:val="30"/>
        </w:rPr>
      </w:pPr>
    </w:p>
    <w:p w14:paraId="123FA6B7" w14:textId="77777777" w:rsidR="000048AA" w:rsidRDefault="000048AA">
      <w:pPr>
        <w:spacing w:line="540" w:lineRule="exact"/>
        <w:rPr>
          <w:rStyle w:val="a8"/>
          <w:rFonts w:ascii="黑体" w:eastAsia="黑体" w:hAnsi="黑体"/>
          <w:b w:val="0"/>
          <w:spacing w:val="-4"/>
          <w:sz w:val="32"/>
          <w:szCs w:val="32"/>
        </w:rPr>
      </w:pPr>
    </w:p>
    <w:p w14:paraId="2EEB6E08" w14:textId="77777777" w:rsidR="000048AA" w:rsidRDefault="008559F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一、基本情况</w:t>
      </w:r>
    </w:p>
    <w:p w14:paraId="18E9018D" w14:textId="77777777" w:rsidR="000048AA" w:rsidRDefault="008559F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（一）项目概况</w:t>
      </w:r>
    </w:p>
    <w:p w14:paraId="3DED2D21"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项目背景、主要内容及实施情况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该项目实施背景：按照项目绩效评价要求，选取资金支出占比超过</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的项目，按全口径部门支出决算金额计算，消化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年暂付款项目资金占项目支出</w:t>
      </w:r>
      <w:r>
        <w:rPr>
          <w:rStyle w:val="a8"/>
          <w:rFonts w:ascii="楷体" w:eastAsia="楷体" w:hAnsi="楷体" w:hint="eastAsia"/>
          <w:b w:val="0"/>
          <w:bCs w:val="0"/>
          <w:spacing w:val="-4"/>
          <w:sz w:val="32"/>
          <w:szCs w:val="32"/>
        </w:rPr>
        <w:t>98.57%</w:t>
      </w:r>
      <w:r>
        <w:rPr>
          <w:rStyle w:val="a8"/>
          <w:rFonts w:ascii="楷体" w:eastAsia="楷体" w:hAnsi="楷体" w:hint="eastAsia"/>
          <w:b w:val="0"/>
          <w:bCs w:val="0"/>
          <w:spacing w:val="-4"/>
          <w:sz w:val="32"/>
          <w:szCs w:val="32"/>
        </w:rPr>
        <w:t>，因此选择该项目做绩效评价。该项目包含</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个子项目，均于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年完成，资金支付做往来账处理，</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年按区财政局《关于消化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年新增暂付性款项的通知》要求，将该款项做账务处理列入当年收支，项目明细如下：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项目的主要实施内容：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暂付款项目，包含</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个区本级项目，资金均在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年以暂付款支付完毕。本年根据财</w:t>
      </w:r>
      <w:r>
        <w:rPr>
          <w:rStyle w:val="a8"/>
          <w:rFonts w:ascii="楷体" w:eastAsia="楷体" w:hAnsi="楷体" w:hint="eastAsia"/>
          <w:b w:val="0"/>
          <w:bCs w:val="0"/>
          <w:spacing w:val="-4"/>
          <w:sz w:val="32"/>
          <w:szCs w:val="32"/>
        </w:rPr>
        <w:t>政局消化新增暂付款工作要求，将暂付款转为本年支出，该项目已在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月份完成调帐工作。具体包括：①</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通过支付该项目工程款，化解矛盾纠纷，平息社会舆论，解决企业困难。有利于促进企业良性发展，提高政府公信力；②封闭化岗亭人员经费，主要用于支付封闭化岗亭值守人员工资，保障工作人员的正常生活需求，提高工作积极性；③便民服务站人员伙食费，主要用于支付配餐公司为便民服务站工作人员每天早中晚三餐餐费，从而提高他们的工作效率和生活质量；④便民服务站运行经费，通过资金保障，有利于提高便民</w:t>
      </w:r>
      <w:r>
        <w:rPr>
          <w:rStyle w:val="a8"/>
          <w:rFonts w:ascii="楷体" w:eastAsia="楷体" w:hAnsi="楷体" w:hint="eastAsia"/>
          <w:b w:val="0"/>
          <w:bCs w:val="0"/>
          <w:spacing w:val="-4"/>
          <w:sz w:val="32"/>
          <w:szCs w:val="32"/>
        </w:rPr>
        <w:t>服务站工作效率，提升服务质量；⑤工作经费，通过工作经费的合理分配和使用，更</w:t>
      </w:r>
      <w:r>
        <w:rPr>
          <w:rStyle w:val="a8"/>
          <w:rFonts w:ascii="楷体" w:eastAsia="楷体" w:hAnsi="楷体" w:hint="eastAsia"/>
          <w:b w:val="0"/>
          <w:bCs w:val="0"/>
          <w:spacing w:val="-4"/>
          <w:sz w:val="32"/>
          <w:szCs w:val="32"/>
        </w:rPr>
        <w:lastRenderedPageBreak/>
        <w:t>好地提升了街道办事处的办公效率；⑥</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年临聘人员经费，⑦</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通过按时发放临聘人员工资及缴纳社保，可以激励临聘人员更好地投入工作，提高其工作效率；⑧社区经费，通过经费保障社区活动的组织、基础设施的维护以及社区环境的改善，给社区居民提供高质量的服务，满足居民日益增长的物质文化需求；⑨社区食堂补助经费，用于支付社区食堂米面肉菜调料等食材，支付伙食费不仅解决了工作人员的伙食问题，提高了工作效率，也让他们感受到了</w:t>
      </w:r>
      <w:r>
        <w:rPr>
          <w:rStyle w:val="a8"/>
          <w:rFonts w:ascii="楷体" w:eastAsia="楷体" w:hAnsi="楷体" w:hint="eastAsia"/>
          <w:b w:val="0"/>
          <w:bCs w:val="0"/>
          <w:spacing w:val="-4"/>
          <w:sz w:val="32"/>
          <w:szCs w:val="32"/>
        </w:rPr>
        <w:t>政府的关心和尊重；</w:t>
      </w:r>
      <w:r>
        <w:rPr>
          <w:rStyle w:val="a8"/>
          <w:rFonts w:ascii="楷体" w:eastAsia="楷体" w:hAnsi="楷体" w:hint="eastAsia"/>
          <w:b w:val="0"/>
          <w:bCs w:val="0"/>
          <w:spacing w:val="-4"/>
          <w:sz w:val="32"/>
          <w:szCs w:val="32"/>
        </w:rPr>
        <w:br/>
        <w:t>2023</w:t>
      </w:r>
      <w:r>
        <w:rPr>
          <w:rStyle w:val="a8"/>
          <w:rFonts w:ascii="楷体" w:eastAsia="楷体" w:hAnsi="楷体" w:hint="eastAsia"/>
          <w:b w:val="0"/>
          <w:bCs w:val="0"/>
          <w:spacing w:val="-4"/>
          <w:sz w:val="32"/>
          <w:szCs w:val="32"/>
        </w:rPr>
        <w:t>年当年完成情况，实际完成情况为：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月按照区财政局要求完成</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年新增消化暂付款调账工作，共支出</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万元。包括：①</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年封闭式小区建成项目工程款，年初预算</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；②封闭化岗亭人员经费，年初预算</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；③便民服务站人员伙食费，年初预算</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；④便民服务站运行经费，年初预算</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；⑤工作经费，年初预算</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；⑥</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年临聘人员经费，年初预算</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；⑦</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年临聘人员经费（第二次），年初预算</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；⑧社区经费，年初预算</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；⑨社区食堂补助经费，年初预算</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万元，执行金额</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资金投入和使用情况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该项目资金投入情况：根据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年水磨沟区第十七届人民代表大会第三次会议审议通过</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年预算以及《关于下达</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年水磨沟区部门预算的通知》，经水财发【</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号文件，下达该预算项目。项目系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年年初预算批复项目，年中无资金调整情况。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该项目资金使用情况：项目系</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年本级资金，共安排预算</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万元，资金到位</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万元。本年支付</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万元，执行率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。项目包含</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个区本级项目，资金均在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年以暂付款支付完毕。本年根据财政局消化新</w:t>
      </w:r>
      <w:r>
        <w:rPr>
          <w:rStyle w:val="a8"/>
          <w:rFonts w:ascii="楷体" w:eastAsia="楷体" w:hAnsi="楷体" w:hint="eastAsia"/>
          <w:b w:val="0"/>
          <w:bCs w:val="0"/>
          <w:spacing w:val="-4"/>
          <w:sz w:val="32"/>
          <w:szCs w:val="32"/>
        </w:rPr>
        <w:t>增暂付款工作要求，将暂付款转为本年支出，已在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月份对该项目完成调帐工作。</w:t>
      </w:r>
    </w:p>
    <w:p w14:paraId="4EE91996" w14:textId="77777777" w:rsidR="000048AA" w:rsidRDefault="008559F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（二）项目绩效目标</w:t>
      </w:r>
    </w:p>
    <w:p w14:paraId="5F877E16"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本项目依据《中共中央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自治区项目支出绩效目标设置指引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的通知》（新财预〔</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42</w:t>
      </w:r>
      <w:r>
        <w:rPr>
          <w:rStyle w:val="a8"/>
          <w:rFonts w:ascii="楷体" w:eastAsia="楷体" w:hAnsi="楷体" w:hint="eastAsia"/>
          <w:b w:val="0"/>
          <w:bCs w:val="0"/>
          <w:spacing w:val="-4"/>
          <w:sz w:val="32"/>
          <w:szCs w:val="32"/>
        </w:rPr>
        <w:t>号）等文件要求，结合项目开展情况，按照“谁申请资金，谁编制目标”的原则和规定的方法、程序，科学合理编制。绩效目标作为对预期指标的细化和量化描述，主要包</w:t>
      </w:r>
      <w:r>
        <w:rPr>
          <w:rStyle w:val="a8"/>
          <w:rFonts w:ascii="楷体" w:eastAsia="楷体" w:hAnsi="楷体" w:hint="eastAsia"/>
          <w:b w:val="0"/>
          <w:bCs w:val="0"/>
          <w:spacing w:val="-4"/>
          <w:sz w:val="32"/>
          <w:szCs w:val="32"/>
        </w:rPr>
        <w:t>括产出指标、成本指标、效益指标和满意度指标。按照指向明确、细化量化、合理可行和相应匹配的要求，设定三级绩效目标（数量指标、质量指标、时效指标、经济成本指标、效益指标、满意度指标），以准确、清晰地反映财政资金在使用期所能达到的预期产出和效果。</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该项目为当年一次性项目。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lastRenderedPageBreak/>
        <w:t>该项目总体绩效目标：消化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个子项目资金为：①</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年封闭式小区建成项目工程款，通过支付该项目工程款，化解矛盾纠纷，平息社会舆论，解决企业困难。有利于促进企业良性发展，提高政府公信力；②封</w:t>
      </w:r>
      <w:r>
        <w:rPr>
          <w:rStyle w:val="a8"/>
          <w:rFonts w:ascii="楷体" w:eastAsia="楷体" w:hAnsi="楷体" w:hint="eastAsia"/>
          <w:b w:val="0"/>
          <w:bCs w:val="0"/>
          <w:spacing w:val="-4"/>
          <w:sz w:val="32"/>
          <w:szCs w:val="32"/>
        </w:rPr>
        <w:t>闭化岗亭人员经费，主要用于支付封闭化岗亭值守人员工资，保障工作人员的正常生活需求，提高工作积极性；③便民服务站人员伙食费，主要用于支付配餐公司为便民服务站工作人员每天早中晚三餐餐费，从而提高他们的工作效率和生活质量；④便民服务站运行经费，通过资金保障，有利于提高便民服务站工作效率，提升服务质量；⑤工作经费，通过工作经费的合理分配和使用，更好地提升了街道办事处的办公效率；⑥</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年临聘人员经费，⑦</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年临聘人员经费（第二次）通过按时发放临聘人员工资及缴纳社保，可以激励临聘人员更好地投入工作，提高其工作效</w:t>
      </w:r>
      <w:r>
        <w:rPr>
          <w:rStyle w:val="a8"/>
          <w:rFonts w:ascii="楷体" w:eastAsia="楷体" w:hAnsi="楷体" w:hint="eastAsia"/>
          <w:b w:val="0"/>
          <w:bCs w:val="0"/>
          <w:spacing w:val="-4"/>
          <w:sz w:val="32"/>
          <w:szCs w:val="32"/>
        </w:rPr>
        <w:t>率；⑧社区经费，通过经费保障社区活动的组织、基础设施的维护以及社区环境的改善，给社区居民提供高质量的服务，满足居民日益增长的物质文化需求；⑨社区食堂补助经费，用于支付社区食堂米面肉菜调料等食材，支付伙食费不仅解决了工作人员的伙食问题，提高了工作效率，也让他们感受到了政府的关心和尊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通过加强财政暂付款管理，首先可以起到消化存量的作用。其次切实增强预算约束性，起到严控增量的作用。再次，可以规范基层财政制度建设，加大财政资源统筹力度，提升财政资金使用效率。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该项目阶段性目标为：在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年计划完成涉及社区数量</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个；发放临聘人员工资人数：</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lastRenderedPageBreak/>
        <w:t>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万元；封闭化岗亭人员经费</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年临聘人员经费元</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万元；社区食堂补助经</w:t>
      </w:r>
      <w:r>
        <w:rPr>
          <w:rStyle w:val="a8"/>
          <w:rFonts w:ascii="楷体" w:eastAsia="楷体" w:hAnsi="楷体" w:hint="eastAsia"/>
          <w:b w:val="0"/>
          <w:bCs w:val="0"/>
          <w:spacing w:val="-4"/>
          <w:sz w:val="32"/>
          <w:szCs w:val="32"/>
        </w:rPr>
        <w:t>费</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万元。保障辖区内各项工作正常开展：有效保障；辖区居民满意度：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14:paraId="6BFCEFBA" w14:textId="77777777" w:rsidR="000048AA" w:rsidRDefault="008559F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二、绩效评价工作开展情况</w:t>
      </w:r>
    </w:p>
    <w:p w14:paraId="61859553" w14:textId="77777777" w:rsidR="000048AA" w:rsidRDefault="008559F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（一）绩效评价目的、对象和范围</w:t>
      </w:r>
    </w:p>
    <w:p w14:paraId="5CBE7A93"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绩效评价完整性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首先，对于项目的目标、范围和要求，我们需要通过绩效评价指标体系将其完整地体现出来。这意味着，我们需要明确项目的核心目标，主要为及时消化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年新增暂付款项，评价指标通过上年</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个新增暂付款项目资金使用的实际用途，按照具体指标分类，如人员类指标包括发放临聘人员工资人数，工资、社保发放准确率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工资社保发放及时率等完整体现该类项目所需，进行目标设定；通过公用经费类指标，如工作正常运转率、保障辖区内各项工作正常开展、辖区居民满意度等相关指标，反映该类项目目标要求。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其次，分析项目的计划和执行过程，是确保体现项目的进</w:t>
      </w:r>
      <w:r>
        <w:rPr>
          <w:rStyle w:val="a8"/>
          <w:rFonts w:ascii="楷体" w:eastAsia="楷体" w:hAnsi="楷体" w:hint="eastAsia"/>
          <w:b w:val="0"/>
          <w:bCs w:val="0"/>
          <w:spacing w:val="-4"/>
          <w:sz w:val="32"/>
          <w:szCs w:val="32"/>
        </w:rPr>
        <w:t>展情况和完成度的重要步骤。我们按照</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年暂付款项目的具体用途和资金实际使用涉及的相关科目，逐条进行消化，以便对项目的整体情况有一个清晰的了解。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最后，需要对评价数据的来源、采集进行描述，以确保数据的准确性和完整性。通过上年预算项目明细账及预算项目余额表进行整理、分析，对项目的效果进行公正、客观的评价</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评价目的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本项工作旨在落实《中共中央</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号）文件精神，全面推进预算绩效管理工作，落实预算执行及绩效管理主体责任。具体而言包括以下两点：（</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）通</w:t>
      </w:r>
      <w:r>
        <w:rPr>
          <w:rStyle w:val="a8"/>
          <w:rFonts w:ascii="楷体" w:eastAsia="楷体" w:hAnsi="楷体" w:hint="eastAsia"/>
          <w:b w:val="0"/>
          <w:bCs w:val="0"/>
          <w:spacing w:val="-4"/>
          <w:sz w:val="32"/>
          <w:szCs w:val="32"/>
        </w:rPr>
        <w:t>过对项目设立的背景、意义、项目内容、项目现状及绩效目标、资金投入、资金管理、组织实施、数量指标、质量指标、时效指标、成本指标和效益指标等进行深入调研和分析，进一步了解财政委托审计费项目实施情况，并考察项目实施过程和效果。（</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通过评价，客观公正反映项目立项科学性、项目管理规范性、项目实施有效性和项目效果，总结项目实施的经验，发现项目实施过程中存在的问题，提出合理化建议，为完善项目管理和相关部门决策提供参考依据，并提高财政资金使用效益。</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评价对象</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）绩效评价的对象：消化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年暂付款项项目</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绩效评价范围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）时间范围：</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日至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）项目范围：消化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暂付款项目，项目金额</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万元，其中包括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个子项目资金方面均在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年支付完毕，本年根据财政局消化新增暂付款工作要求转为本年支出，目前已在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月份对该项目完成调帐工作，正常完成的指标：涉及社区数量：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个；发放临聘人员工资人数：</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万元；封闭化岗亭人员经费</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年临聘人员经费元</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万元。保障辖区内各项工作正常开展：有效保障；辖区居民满意度：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项目主要经验：按照年初预算资金项目组织并实施，加强年初预算项目的管理，提高项目资金预算的准确性。榆树沟片区管</w:t>
      </w:r>
      <w:r>
        <w:rPr>
          <w:rStyle w:val="a8"/>
          <w:rFonts w:ascii="楷体" w:eastAsia="楷体" w:hAnsi="楷体" w:hint="eastAsia"/>
          <w:b w:val="0"/>
          <w:bCs w:val="0"/>
          <w:spacing w:val="-4"/>
          <w:sz w:val="32"/>
          <w:szCs w:val="32"/>
        </w:rPr>
        <w:t>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项目存在的主要问题：消化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该项目已执行完毕。绩效目标已顺利完成，总体完成情况较好。全</w:t>
      </w:r>
      <w:r>
        <w:rPr>
          <w:rStyle w:val="a8"/>
          <w:rFonts w:ascii="楷体" w:eastAsia="楷体" w:hAnsi="楷体" w:hint="eastAsia"/>
          <w:b w:val="0"/>
          <w:bCs w:val="0"/>
          <w:spacing w:val="-4"/>
          <w:sz w:val="32"/>
          <w:szCs w:val="32"/>
        </w:rPr>
        <w:t>年执行率：</w:t>
      </w:r>
      <w:r>
        <w:rPr>
          <w:rStyle w:val="a8"/>
          <w:rFonts w:ascii="楷体" w:eastAsia="楷体" w:hAnsi="楷体" w:hint="eastAsia"/>
          <w:b w:val="0"/>
          <w:bCs w:val="0"/>
          <w:spacing w:val="-4"/>
          <w:sz w:val="32"/>
          <w:szCs w:val="32"/>
        </w:rPr>
        <w:t>100% ,</w:t>
      </w:r>
      <w:r>
        <w:rPr>
          <w:rStyle w:val="a8"/>
          <w:rFonts w:ascii="楷体" w:eastAsia="楷体" w:hAnsi="楷体" w:hint="eastAsia"/>
          <w:b w:val="0"/>
          <w:bCs w:val="0"/>
          <w:spacing w:val="-4"/>
          <w:sz w:val="32"/>
          <w:szCs w:val="32"/>
        </w:rPr>
        <w:t>总体完成率：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p>
    <w:p w14:paraId="1271490C" w14:textId="77777777" w:rsidR="000048AA" w:rsidRDefault="008559F9">
      <w:pPr>
        <w:spacing w:line="540" w:lineRule="exact"/>
        <w:ind w:firstLine="567"/>
        <w:rPr>
          <w:rStyle w:val="a8"/>
          <w:rFonts w:ascii="楷体" w:eastAsia="楷体" w:hAnsi="楷体"/>
          <w:spacing w:val="-4"/>
          <w:sz w:val="32"/>
          <w:szCs w:val="32"/>
        </w:rPr>
      </w:pPr>
      <w:r>
        <w:rPr>
          <w:rStyle w:val="a8"/>
          <w:rFonts w:ascii="楷体" w:eastAsia="楷体" w:hAnsi="楷体" w:hint="eastAsia"/>
          <w:spacing w:val="-4"/>
          <w:sz w:val="32"/>
          <w:szCs w:val="32"/>
        </w:rPr>
        <w:t>（二）绩效评价原则、评价指标体系、评价方法、评价标准</w:t>
      </w:r>
    </w:p>
    <w:p w14:paraId="1F0C1D90"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 xml:space="preserve">1. </w:t>
      </w:r>
      <w:r>
        <w:rPr>
          <w:rStyle w:val="a8"/>
          <w:rFonts w:ascii="楷体" w:eastAsia="楷体" w:hAnsi="楷体" w:hint="eastAsia"/>
          <w:b w:val="0"/>
          <w:bCs w:val="0"/>
          <w:spacing w:val="-4"/>
          <w:sz w:val="32"/>
          <w:szCs w:val="32"/>
        </w:rPr>
        <w:t>评价原则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）科学公正。绩效评价应当运用科学合理的方法，按照规范的程序，对项目绩效进行客观、公正的反映。</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统筹兼顾。单位自评、部门评价和财政评价应职责明确，各有侧重，相互衔接。单位自评应由项目单位自主实施，即“谁支出、谁自评”。部门评价和财政评价应在单位自评的基础上开展，必要时可委托第三方机构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）激励约束。绩效评价结果应与预算安排、政策调整、改进管理实质性挂钩，体现奖优罚劣和激励相容导</w:t>
      </w:r>
      <w:r>
        <w:rPr>
          <w:rStyle w:val="a8"/>
          <w:rFonts w:ascii="楷体" w:eastAsia="楷体" w:hAnsi="楷体" w:hint="eastAsia"/>
          <w:b w:val="0"/>
          <w:bCs w:val="0"/>
          <w:spacing w:val="-4"/>
          <w:sz w:val="32"/>
          <w:szCs w:val="32"/>
        </w:rPr>
        <w:t>向，有效要安排、低效要压减、无效要问责。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）公开透明。绩效评价结果应依法依规公开，并自觉接受社会监督。</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绩效评价指标体系作为衡量绩效目标实现程度的考核工具，一般遵循以下原则：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）相关性原则：绩效评价指标应当与绩效目标有直接的联系，能够恰当反映目标的实现程度。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）重要性原则：应当优先使用最具评价对象代表性、最能反映评价要求的核心指标。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）可比性原则：对同类评价对象要设定共性的绩效评价指标，以便于评价结果可以相互比较。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）系统性原则：绩效评价指标的设置应当将定量指标与定性</w:t>
      </w:r>
      <w:r>
        <w:rPr>
          <w:rStyle w:val="a8"/>
          <w:rFonts w:ascii="楷体" w:eastAsia="楷体" w:hAnsi="楷体" w:hint="eastAsia"/>
          <w:b w:val="0"/>
          <w:bCs w:val="0"/>
          <w:spacing w:val="-4"/>
          <w:sz w:val="32"/>
          <w:szCs w:val="32"/>
        </w:rPr>
        <w:t>指标相结合，能系统反映财政支出所产生的社会效益、经济效益和可持续影响等。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）经济性原则：绩效评价指标设计应当通俗易懂、简便易行，数据的获得应当考虑现实条件和可操作性，符合成本效益原则。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本项目的评价指标体系建立如表</w:t>
      </w:r>
      <w:r>
        <w:rPr>
          <w:rStyle w:val="a8"/>
          <w:rFonts w:ascii="楷体" w:eastAsia="楷体" w:hAnsi="楷体" w:hint="eastAsia"/>
          <w:b w:val="0"/>
          <w:bCs w:val="0"/>
          <w:spacing w:val="-4"/>
          <w:sz w:val="32"/>
          <w:szCs w:val="32"/>
        </w:rPr>
        <w:t>2-1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2-1 </w:t>
      </w:r>
      <w:r>
        <w:rPr>
          <w:rStyle w:val="a8"/>
          <w:rFonts w:ascii="楷体" w:eastAsia="楷体" w:hAnsi="楷体" w:hint="eastAsia"/>
          <w:b w:val="0"/>
          <w:bCs w:val="0"/>
          <w:spacing w:val="-4"/>
          <w:sz w:val="32"/>
          <w:szCs w:val="32"/>
        </w:rPr>
        <w:t>项目支出绩效评价指标体系</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指标解释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指标说明</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充分性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项目立项是否符合法律法规、相关政策、发展规划以及部门职责，用以反映和考核项目立项依据情况。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①项目立项是否符合国家法律法规、国民经济发展规划和相</w:t>
      </w:r>
      <w:r>
        <w:rPr>
          <w:rStyle w:val="a8"/>
          <w:rFonts w:ascii="楷体" w:eastAsia="楷体" w:hAnsi="楷体" w:hint="eastAsia"/>
          <w:b w:val="0"/>
          <w:bCs w:val="0"/>
          <w:spacing w:val="-4"/>
          <w:sz w:val="32"/>
          <w:szCs w:val="32"/>
        </w:rPr>
        <w:t>关政策；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②项目立项是否符合行业发展规划和政策要求；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③项目立项是否与部门职责范围相符，属于部门履职所需；</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④项目是否属于公共财政支持范围，是否符合中央、地方事权支出责任划分原则；</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⑤项目是否与相关部门同类项目或部门内部相关项目重复。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规范性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项目申请、设立过程是否符合相关要求，用以反映和考核项目立项的规范情况。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①项目是否按照规定的程序申请设立；</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②审批文件、材料是否符合相关要求；</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③事前是否已经过必要的可行性研究、专家论证、风险评估、绩效评估、集体决策。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项目所设定的绩效目标是否依据充分，是否符合客观实际，用以反映和考核项目绩效目标与项目实施的相符情况。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（如未设定预算绩效目标，也可考核其他工作任务目标）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①项目是否有绩效目标；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②项目绩效目标与实际工作内容是否具有相关性；</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③项目预期产出效益和效果是否符合正常的业绩水平；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④是否与预算确定的项目投资额或资金量相匹配。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明确性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依据绩效目标设定的绩效指标是否清晰、细化、可衡量等，用以反映和考核项目绩效目标的明细化情况。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①是否将项目绩效目标细化分解为具体的绩</w:t>
      </w:r>
      <w:r>
        <w:rPr>
          <w:rStyle w:val="a8"/>
          <w:rFonts w:ascii="楷体" w:eastAsia="楷体" w:hAnsi="楷体" w:hint="eastAsia"/>
          <w:b w:val="0"/>
          <w:bCs w:val="0"/>
          <w:spacing w:val="-4"/>
          <w:sz w:val="32"/>
          <w:szCs w:val="32"/>
        </w:rPr>
        <w:t>效指标；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②是否通过清晰、可衡量的指标值予以体现；</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③是否与项目目标任务数或计划数相对应。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科学性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项目预算编制是否经过科学论证、有明确标准，资金额度与年度目标是否相适应，用以反映和考核项目预算编制的科学性、合理性情况。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①预算编制是否经过科学论证；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②预算内容与项目内容是否匹配；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③预算额度测算依据是否充分，是否按照标准编制；</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④预算确定的项目投资额或资金量是否与工作任务相匹配。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项目预算资金分配是否有测算依据，与补助单位或地方实际是否相适应，用以反映和考</w:t>
      </w:r>
      <w:r>
        <w:rPr>
          <w:rStyle w:val="a8"/>
          <w:rFonts w:ascii="楷体" w:eastAsia="楷体" w:hAnsi="楷体" w:hint="eastAsia"/>
          <w:b w:val="0"/>
          <w:bCs w:val="0"/>
          <w:spacing w:val="-4"/>
          <w:sz w:val="32"/>
          <w:szCs w:val="32"/>
        </w:rPr>
        <w:t>核项目预算资金分配的科学性、合理性情况。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①预算资金分配依据是否充分；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②资金分配额度是否合理，与项目单位或地方实际是否相适应。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实际到位资金与预算资金的比率，用以反映和考核资金落实情况对项目实施的总体保障程度。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预算资金）×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实际到位资金：一定时期（本年度或项目期）内落实到具体项目的资金。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预算资金：一定时期（本年度或项目期）内预算安排到具体项目的资金。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项目预算资金是否按照计划执行，用以反映或考核项目预算执行情况。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（实际支出资金</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实际到位资金）×</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实际支出资金：一定时期（本年度或项目期）内项目实际拨付的资金。</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资金使用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合规性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项目资金使用是否符合相关的财务管理制度规定，用以反映和考核项目资金的规范运行情况。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①是否符合国家财经法规和财务管理制度以及有关专项资金管理办法的规定；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②资金的拨付是否有完整的审批程序和手续；</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③是否符合项目预算批复或合同规定的用途；</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④是否存在截留、挤占、挪用、虚列支出等情况。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健全性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项目实施单位的财务和业务管理制度</w:t>
      </w:r>
      <w:r>
        <w:rPr>
          <w:rStyle w:val="a8"/>
          <w:rFonts w:ascii="楷体" w:eastAsia="楷体" w:hAnsi="楷体" w:hint="eastAsia"/>
          <w:b w:val="0"/>
          <w:bCs w:val="0"/>
          <w:spacing w:val="-4"/>
          <w:sz w:val="32"/>
          <w:szCs w:val="32"/>
        </w:rPr>
        <w:t>是否健全，用以反映和考核财务和业务管理制度对项目顺利实施的保障情况。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①是否已制定或具有相应的财务和业务管理制度；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②财务和业务管理制度是否合法、合规、完整。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有效性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项目实施是否符合相关管理规定，用以反映和考核相关管理制度的有效执行情况。</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评价要点：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①是否遵守相关法律法规和相关管理规定；</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②项目调整及支出调整手续是否完备；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③项目合同书、验收报告、技术鉴定等资料是否齐全并及时归档；</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④项目实施的人员条件、场地设备、信息支撑等是否落实到位。</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发放临聘人员工资人数</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w:t>
      </w:r>
      <w:r>
        <w:rPr>
          <w:rStyle w:val="a8"/>
          <w:rFonts w:ascii="楷体" w:eastAsia="楷体" w:hAnsi="楷体" w:hint="eastAsia"/>
          <w:b w:val="0"/>
          <w:bCs w:val="0"/>
          <w:spacing w:val="-4"/>
          <w:sz w:val="32"/>
          <w:szCs w:val="32"/>
        </w:rPr>
        <w:t>实施的实际产出数与计划产出数的比率，用以反映和考核项目产出数量目标的实现程度。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实际产出数：一定时期（本年度或项目期）内项目实际产出的产品或提供的服务数量。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计划产出数：项目绩效目标确定的在一定时期（本年度或项目期）内计划产出的产品或提供的服务数量。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工作经费类别</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项目完成的质量达标产出数与实际产出数的比率，用以反映和考核项目产出质量目标的实现程度。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实际产出数）×</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质量达标产出数：</w:t>
      </w:r>
      <w:r>
        <w:rPr>
          <w:rStyle w:val="a8"/>
          <w:rFonts w:ascii="楷体" w:eastAsia="楷体" w:hAnsi="楷体" w:hint="eastAsia"/>
          <w:b w:val="0"/>
          <w:bCs w:val="0"/>
          <w:spacing w:val="-4"/>
          <w:sz w:val="32"/>
          <w:szCs w:val="32"/>
        </w:rPr>
        <w:t>一定时期（本年度或项目期）内实际达到既定质量标准的产品或服务数量。既定质量标准是指项目实施单位设立绩效目标时依据计划标准、行业标准、历史标准或其他标准而设定的绩效指标值。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项目实际完成时间与计划完成时间的比较，用以反映和考核项目产出时效目标的实现程度。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实际完成时间：项目实施单位完成该项目实际所耗用的时间。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计划完成时间：按照项目实施计划或相关规定完成该项目所需的时间。</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完成项目计划工作</w:t>
      </w:r>
      <w:r>
        <w:rPr>
          <w:rStyle w:val="a8"/>
          <w:rFonts w:ascii="楷体" w:eastAsia="楷体" w:hAnsi="楷体" w:hint="eastAsia"/>
          <w:b w:val="0"/>
          <w:bCs w:val="0"/>
          <w:spacing w:val="-4"/>
          <w:sz w:val="32"/>
          <w:szCs w:val="32"/>
        </w:rPr>
        <w:t>目标的实际节约成本与计划成本的比率，用以反映和考核项目的成本节约程度。</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成本节约率</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实际成本）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计划成本</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实际成本：项目实施单位如期、保质、保量完成既定工作目标实际所耗费的支出。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计划成本：项目实施单位为完成工作目标计划安排的支出，一般以项目预算为参考。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便民服务站人员伙食费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便民服务站运行经费</w:t>
      </w:r>
      <w:r>
        <w:rPr>
          <w:rStyle w:val="a8"/>
          <w:rFonts w:ascii="楷体" w:eastAsia="楷体" w:hAnsi="楷体" w:hint="eastAsia"/>
          <w:b w:val="0"/>
          <w:bCs w:val="0"/>
          <w:spacing w:val="-4"/>
          <w:sz w:val="32"/>
          <w:szCs w:val="32"/>
        </w:rPr>
        <w:br/>
        <w:t>2022</w:t>
      </w:r>
      <w:r>
        <w:rPr>
          <w:rStyle w:val="a8"/>
          <w:rFonts w:ascii="楷体" w:eastAsia="楷体" w:hAnsi="楷体" w:hint="eastAsia"/>
          <w:b w:val="0"/>
          <w:bCs w:val="0"/>
          <w:spacing w:val="-4"/>
          <w:sz w:val="32"/>
          <w:szCs w:val="32"/>
        </w:rPr>
        <w:t>年临聘人员经费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社区食堂补助经费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保障辖区内各项工作正常开展，及时解决辖区居民问题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项目实施所产生的社会效益、经济效益、生态</w:t>
      </w:r>
      <w:r>
        <w:rPr>
          <w:rStyle w:val="a8"/>
          <w:rFonts w:ascii="楷体" w:eastAsia="楷体" w:hAnsi="楷体" w:hint="eastAsia"/>
          <w:b w:val="0"/>
          <w:bCs w:val="0"/>
          <w:spacing w:val="-4"/>
          <w:sz w:val="32"/>
          <w:szCs w:val="32"/>
        </w:rPr>
        <w:t>效益、可持续影响等。可根据项目实际情况有选择地设置和细化。</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群众满意度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社会公众或服务对象对项目实施效果的满意程度。</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社会公众或服务对象是指因该项目实施而受到影响的部门（单位）、群体或个人。一般采取社会调查的方式。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br/>
        <w:t xml:space="preserve">  </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项目支出绩效评价管理办法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号）文件指出部门评价的方法主要包括成本效益分析法、比较法、因素分析法、最低成本法、公众评判法、标杆管理法等。</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）成本效益分析法。是指将投入与产出、效益进行关联性分析</w:t>
      </w:r>
      <w:r>
        <w:rPr>
          <w:rStyle w:val="a8"/>
          <w:rFonts w:ascii="楷体" w:eastAsia="楷体" w:hAnsi="楷体" w:hint="eastAsia"/>
          <w:b w:val="0"/>
          <w:bCs w:val="0"/>
          <w:spacing w:val="-4"/>
          <w:sz w:val="32"/>
          <w:szCs w:val="32"/>
        </w:rPr>
        <w:t>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）比较法。是指将实施情况与绩效目标、历史情况、不同部门和地区同类支出情况进行比较的方法。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）公众评判法。是指通过专家评估、公众问卷及抽样调查等方式进行评判的方法。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）其他评价方法。</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根据本项目（消化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年暂付款项）的特点，本次评价主要采用比较法和公众评判法，对项目总预算和明细预算的内容、标准、计划是否经济合理进行深入分析，以考察实际产出和效益是否达到预期。</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绩效评价标准主要包括计划标准、行业标准、历史标准等，用于对绩效指标完成情况进行比较。</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）计划标准。指以预先</w:t>
      </w:r>
      <w:r>
        <w:rPr>
          <w:rStyle w:val="a8"/>
          <w:rFonts w:ascii="楷体" w:eastAsia="楷体" w:hAnsi="楷体" w:hint="eastAsia"/>
          <w:b w:val="0"/>
          <w:bCs w:val="0"/>
          <w:spacing w:val="-4"/>
          <w:sz w:val="32"/>
          <w:szCs w:val="32"/>
        </w:rPr>
        <w:t>制定的目标、计划、预算、定额等作为评价标准。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）行业标准。指参照国家公布的行业指标数据制定的评价标准。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）历史标准。指参照历史数据制定的评价标准，为体现绩效改进的原则，在可实现的条件下应当确定相对较高的评价标准。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在上述评价标准的基础上，本次评价依据以下文件为重要指导和准绳：</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？《中共中央国务院关于全面实施预算绩效管理的意见》（中发〔</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34</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？《关于印发</w:t>
      </w:r>
      <w:r>
        <w:rPr>
          <w:rStyle w:val="a8"/>
          <w:rFonts w:ascii="楷体" w:eastAsia="楷体" w:hAnsi="楷体" w:hint="eastAsia"/>
          <w:b w:val="0"/>
          <w:bCs w:val="0"/>
          <w:spacing w:val="-4"/>
          <w:sz w:val="32"/>
          <w:szCs w:val="32"/>
        </w:rPr>
        <w:t>&lt;</w:t>
      </w:r>
      <w:r>
        <w:rPr>
          <w:rStyle w:val="a8"/>
          <w:rFonts w:ascii="楷体" w:eastAsia="楷体" w:hAnsi="楷体" w:hint="eastAsia"/>
          <w:b w:val="0"/>
          <w:bCs w:val="0"/>
          <w:spacing w:val="-4"/>
          <w:sz w:val="32"/>
          <w:szCs w:val="32"/>
        </w:rPr>
        <w:t>乌鲁木齐市本级部门预算绩效目标管理暂行办法</w:t>
      </w:r>
      <w:r>
        <w:rPr>
          <w:rStyle w:val="a8"/>
          <w:rFonts w:ascii="楷体" w:eastAsia="楷体" w:hAnsi="楷体" w:hint="eastAsia"/>
          <w:b w:val="0"/>
          <w:bCs w:val="0"/>
          <w:spacing w:val="-4"/>
          <w:sz w:val="32"/>
          <w:szCs w:val="32"/>
        </w:rPr>
        <w:t>&gt;</w:t>
      </w:r>
      <w:r>
        <w:rPr>
          <w:rStyle w:val="a8"/>
          <w:rFonts w:ascii="楷体" w:eastAsia="楷体" w:hAnsi="楷体" w:hint="eastAsia"/>
          <w:b w:val="0"/>
          <w:bCs w:val="0"/>
          <w:spacing w:val="-4"/>
          <w:sz w:val="32"/>
          <w:szCs w:val="32"/>
        </w:rPr>
        <w:t>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56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？《关于做好</w:t>
      </w:r>
      <w:r>
        <w:rPr>
          <w:rStyle w:val="a8"/>
          <w:rFonts w:ascii="楷体" w:eastAsia="楷体" w:hAnsi="楷体" w:hint="eastAsia"/>
          <w:b w:val="0"/>
          <w:bCs w:val="0"/>
          <w:spacing w:val="-4"/>
          <w:sz w:val="32"/>
          <w:szCs w:val="32"/>
        </w:rPr>
        <w:t>2019</w:t>
      </w:r>
      <w:r>
        <w:rPr>
          <w:rStyle w:val="a8"/>
          <w:rFonts w:ascii="楷体" w:eastAsia="楷体" w:hAnsi="楷体" w:hint="eastAsia"/>
          <w:b w:val="0"/>
          <w:bCs w:val="0"/>
          <w:spacing w:val="-4"/>
          <w:sz w:val="32"/>
          <w:szCs w:val="32"/>
        </w:rPr>
        <w:t>年部门预算项目支出绩效目标管理有</w:t>
      </w:r>
      <w:r>
        <w:rPr>
          <w:rStyle w:val="a8"/>
          <w:rFonts w:ascii="楷体" w:eastAsia="楷体" w:hAnsi="楷体" w:hint="eastAsia"/>
          <w:b w:val="0"/>
          <w:bCs w:val="0"/>
          <w:spacing w:val="-4"/>
          <w:sz w:val="32"/>
          <w:szCs w:val="32"/>
        </w:rPr>
        <w:t>关事宜的通知》（乌财预〔</w:t>
      </w:r>
      <w:r>
        <w:rPr>
          <w:rStyle w:val="a8"/>
          <w:rFonts w:ascii="楷体" w:eastAsia="楷体" w:hAnsi="楷体" w:hint="eastAsia"/>
          <w:b w:val="0"/>
          <w:bCs w:val="0"/>
          <w:spacing w:val="-4"/>
          <w:sz w:val="32"/>
          <w:szCs w:val="32"/>
        </w:rPr>
        <w:t>2018</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76</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？《项目支出绩效评价管理办法》（财预〔</w:t>
      </w:r>
      <w:r>
        <w:rPr>
          <w:rStyle w:val="a8"/>
          <w:rFonts w:ascii="楷体" w:eastAsia="楷体" w:hAnsi="楷体" w:hint="eastAsia"/>
          <w:b w:val="0"/>
          <w:bCs w:val="0"/>
          <w:spacing w:val="-4"/>
          <w:sz w:val="32"/>
          <w:szCs w:val="32"/>
        </w:rPr>
        <w:t>2020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号）</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（社区经费文件）</w:t>
      </w:r>
    </w:p>
    <w:p w14:paraId="2ED6ECBD" w14:textId="77777777" w:rsidR="000048AA" w:rsidRDefault="008559F9">
      <w:pPr>
        <w:spacing w:line="540" w:lineRule="exact"/>
        <w:ind w:firstLineChars="181" w:firstLine="567"/>
        <w:rPr>
          <w:rStyle w:val="a8"/>
          <w:rFonts w:ascii="楷体" w:eastAsia="楷体" w:hAnsi="楷体"/>
          <w:spacing w:val="-4"/>
          <w:sz w:val="32"/>
          <w:szCs w:val="32"/>
        </w:rPr>
      </w:pPr>
      <w:r>
        <w:rPr>
          <w:rStyle w:val="a8"/>
          <w:rFonts w:ascii="楷体" w:eastAsia="楷体" w:hAnsi="楷体" w:hint="eastAsia"/>
          <w:spacing w:val="-4"/>
          <w:sz w:val="32"/>
          <w:szCs w:val="32"/>
        </w:rPr>
        <w:t>（三）绩效评价工作过程</w:t>
      </w:r>
    </w:p>
    <w:p w14:paraId="0644D6D2"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评价小组根据项目绩效目标，查阅有关佐证资料，结合现场抽样调查及延伸评价等方式开展此次评价，重点关注和评价项目预算和绩效目标的匹配情况、项目资金的管理和使用情况、项目实施和监督情况（包括但不限于项目立项、制度执行、质量达标、完成时效等）以及项目产生的实际效益等。具体而言，通过前期准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、材料审核分析、现场核查评价、综合分析评价及报告撰写，评价项目实施情况，展现资金使用</w:t>
      </w:r>
      <w:r>
        <w:rPr>
          <w:rStyle w:val="a8"/>
          <w:rFonts w:ascii="楷体" w:eastAsia="楷体" w:hAnsi="楷体" w:hint="eastAsia"/>
          <w:b w:val="0"/>
          <w:bCs w:val="0"/>
          <w:spacing w:val="-4"/>
          <w:sz w:val="32"/>
          <w:szCs w:val="32"/>
        </w:rPr>
        <w:t>效益。</w:t>
      </w:r>
    </w:p>
    <w:p w14:paraId="19F1E6B2" w14:textId="77777777" w:rsidR="000048AA" w:rsidRDefault="008559F9">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三、综合评价情况及评价结论</w:t>
      </w:r>
    </w:p>
    <w:p w14:paraId="702BFB2D"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（一）评价结论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结合项目特点，制定符合项目实际的绩效评价指标体系及评分标准，通过数据采集、问卷调查及访谈等形式，对</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年暂付款项进行客观评价，最终评分结果为：总分为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分，绩效评级为“优”</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项目各部分权重和绩效分值如表</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所示：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表</w:t>
      </w:r>
      <w:r>
        <w:rPr>
          <w:rStyle w:val="a8"/>
          <w:rFonts w:ascii="楷体" w:eastAsia="楷体" w:hAnsi="楷体" w:hint="eastAsia"/>
          <w:b w:val="0"/>
          <w:bCs w:val="0"/>
          <w:spacing w:val="-4"/>
          <w:sz w:val="32"/>
          <w:szCs w:val="32"/>
        </w:rPr>
        <w:t xml:space="preserve">3-1 </w:t>
      </w:r>
      <w:r>
        <w:rPr>
          <w:rStyle w:val="a8"/>
          <w:rFonts w:ascii="楷体" w:eastAsia="楷体" w:hAnsi="楷体" w:hint="eastAsia"/>
          <w:b w:val="0"/>
          <w:bCs w:val="0"/>
          <w:spacing w:val="-4"/>
          <w:sz w:val="32"/>
          <w:szCs w:val="32"/>
        </w:rPr>
        <w:t>项目各部分权重和绩效分值</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一级指标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二级指标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三级指标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分值</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得分率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决策</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立项依据充分性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绩效目标合理性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绩效指标明确性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预算编制科学性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过程</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资金到位率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管理制度健全性</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发放临聘人员工资人数</w:t>
      </w:r>
      <w:r>
        <w:rPr>
          <w:rStyle w:val="a8"/>
          <w:rFonts w:ascii="楷体" w:eastAsia="楷体" w:hAnsi="楷体" w:hint="eastAsia"/>
          <w:b w:val="0"/>
          <w:bCs w:val="0"/>
          <w:spacing w:val="-4"/>
          <w:sz w:val="32"/>
          <w:szCs w:val="32"/>
        </w:rPr>
        <w:t xml:space="preserve"> 3 3 100%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涉及社区数量</w:t>
      </w:r>
      <w:r>
        <w:rPr>
          <w:rStyle w:val="a8"/>
          <w:rFonts w:ascii="楷体" w:eastAsia="楷体" w:hAnsi="楷体" w:hint="eastAsia"/>
          <w:b w:val="0"/>
          <w:bCs w:val="0"/>
          <w:spacing w:val="-4"/>
          <w:sz w:val="32"/>
          <w:szCs w:val="32"/>
        </w:rPr>
        <w:t xml:space="preserve"> 3 3</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涉及便民服务站数量</w:t>
      </w:r>
      <w:r>
        <w:rPr>
          <w:rStyle w:val="a8"/>
          <w:rFonts w:ascii="楷体" w:eastAsia="楷体" w:hAnsi="楷体" w:hint="eastAsia"/>
          <w:b w:val="0"/>
          <w:bCs w:val="0"/>
          <w:spacing w:val="-4"/>
          <w:sz w:val="32"/>
          <w:szCs w:val="32"/>
        </w:rPr>
        <w:t xml:space="preserve"> 4 4</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工资、社保发放准确率</w:t>
      </w:r>
      <w:r>
        <w:rPr>
          <w:rStyle w:val="a8"/>
          <w:rFonts w:ascii="楷体" w:eastAsia="楷体" w:hAnsi="楷体" w:hint="eastAsia"/>
          <w:b w:val="0"/>
          <w:bCs w:val="0"/>
          <w:spacing w:val="-4"/>
          <w:sz w:val="32"/>
          <w:szCs w:val="32"/>
        </w:rPr>
        <w:t xml:space="preserve"> 4 4 100%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 xml:space="preserve"> 3 3</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 xml:space="preserve"> 3</w:t>
      </w:r>
      <w:r>
        <w:rPr>
          <w:rStyle w:val="a8"/>
          <w:rFonts w:ascii="楷体" w:eastAsia="楷体" w:hAnsi="楷体" w:hint="eastAsia"/>
          <w:b w:val="0"/>
          <w:bCs w:val="0"/>
          <w:spacing w:val="-4"/>
          <w:sz w:val="32"/>
          <w:szCs w:val="32"/>
        </w:rPr>
        <w:t xml:space="preserve"> 3</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 xml:space="preserve"> 10 10 100%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t xml:space="preserve"> 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 xml:space="preserve"> 1 1 100%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便民服务站人员伙食费</w:t>
      </w:r>
      <w:r>
        <w:rPr>
          <w:rStyle w:val="a8"/>
          <w:rFonts w:ascii="楷体" w:eastAsia="楷体" w:hAnsi="楷体" w:hint="eastAsia"/>
          <w:b w:val="0"/>
          <w:bCs w:val="0"/>
          <w:spacing w:val="-4"/>
          <w:sz w:val="32"/>
          <w:szCs w:val="32"/>
        </w:rPr>
        <w:t xml:space="preserve"> 1 1</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便民服务站运行经费</w:t>
      </w:r>
      <w:r>
        <w:rPr>
          <w:rStyle w:val="a8"/>
          <w:rFonts w:ascii="楷体" w:eastAsia="楷体" w:hAnsi="楷体" w:hint="eastAsia"/>
          <w:b w:val="0"/>
          <w:bCs w:val="0"/>
          <w:spacing w:val="-4"/>
          <w:sz w:val="32"/>
          <w:szCs w:val="32"/>
        </w:rPr>
        <w:t xml:space="preserve"> 1 1</w:t>
      </w:r>
      <w:r>
        <w:rPr>
          <w:rStyle w:val="a8"/>
          <w:rFonts w:ascii="楷体" w:eastAsia="楷体" w:hAnsi="楷体" w:hint="eastAsia"/>
          <w:b w:val="0"/>
          <w:bCs w:val="0"/>
          <w:spacing w:val="-4"/>
          <w:sz w:val="32"/>
          <w:szCs w:val="32"/>
        </w:rPr>
        <w:br/>
        <w:t>2022</w:t>
      </w:r>
      <w:r>
        <w:rPr>
          <w:rStyle w:val="a8"/>
          <w:rFonts w:ascii="楷体" w:eastAsia="楷体" w:hAnsi="楷体" w:hint="eastAsia"/>
          <w:b w:val="0"/>
          <w:bCs w:val="0"/>
          <w:spacing w:val="-4"/>
          <w:sz w:val="32"/>
          <w:szCs w:val="32"/>
        </w:rPr>
        <w:t>年临聘人员经费</w:t>
      </w:r>
      <w:r>
        <w:rPr>
          <w:rStyle w:val="a8"/>
          <w:rFonts w:ascii="楷体" w:eastAsia="楷体" w:hAnsi="楷体" w:hint="eastAsia"/>
          <w:b w:val="0"/>
          <w:bCs w:val="0"/>
          <w:spacing w:val="-4"/>
          <w:sz w:val="32"/>
          <w:szCs w:val="32"/>
        </w:rPr>
        <w:t xml:space="preserve"> 4 4</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社区经费</w:t>
      </w:r>
      <w:r>
        <w:rPr>
          <w:rStyle w:val="a8"/>
          <w:rFonts w:ascii="楷体" w:eastAsia="楷体" w:hAnsi="楷体" w:hint="eastAsia"/>
          <w:b w:val="0"/>
          <w:bCs w:val="0"/>
          <w:spacing w:val="-4"/>
          <w:sz w:val="32"/>
          <w:szCs w:val="32"/>
        </w:rPr>
        <w:t xml:space="preserve"> 2 2</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社区食堂补助经费</w:t>
      </w:r>
      <w:r>
        <w:rPr>
          <w:rStyle w:val="a8"/>
          <w:rFonts w:ascii="楷体" w:eastAsia="楷体" w:hAnsi="楷体" w:hint="eastAsia"/>
          <w:b w:val="0"/>
          <w:bCs w:val="0"/>
          <w:spacing w:val="-4"/>
          <w:sz w:val="32"/>
          <w:szCs w:val="32"/>
        </w:rPr>
        <w:t xml:space="preserve"> 1 1</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效益</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社会效益指标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保障辖区内各项工作正常开展</w:t>
      </w:r>
      <w:r>
        <w:rPr>
          <w:rStyle w:val="a8"/>
          <w:rFonts w:ascii="楷体" w:eastAsia="楷体" w:hAnsi="楷体" w:hint="eastAsia"/>
          <w:b w:val="0"/>
          <w:bCs w:val="0"/>
          <w:spacing w:val="-4"/>
          <w:sz w:val="32"/>
          <w:szCs w:val="32"/>
        </w:rPr>
        <w:t xml:space="preserve"> 15 15 100%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满意度指标完成情况分析</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满意度指标</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辖区居民满意度</w:t>
      </w:r>
      <w:r>
        <w:rPr>
          <w:rStyle w:val="a8"/>
          <w:rFonts w:ascii="楷体" w:eastAsia="楷体" w:hAnsi="楷体" w:hint="eastAsia"/>
          <w:b w:val="0"/>
          <w:bCs w:val="0"/>
          <w:spacing w:val="-4"/>
          <w:sz w:val="32"/>
          <w:szCs w:val="32"/>
        </w:rPr>
        <w:t xml:space="preserve"> 5 5 100%</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（二）主要绩效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该项目资金区财政及时拨付，单位在此次评价期间内，有序完成设定目标的部分工作任务，涉及社区数量：</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；发放临聘人员工资人数：</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人；涉及便民服务站数量：</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个；工资、社保发放准确率：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；社区工作正常运转率：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；便民服务站工作正常运转率：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；工资社保发放及时率：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万元；封闭化岗亭人员经费</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年临聘人员经费元</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191</w:t>
      </w:r>
      <w:r>
        <w:rPr>
          <w:rStyle w:val="a8"/>
          <w:rFonts w:ascii="楷体" w:eastAsia="楷体" w:hAnsi="楷体" w:hint="eastAsia"/>
          <w:b w:val="0"/>
          <w:bCs w:val="0"/>
          <w:spacing w:val="-4"/>
          <w:sz w:val="32"/>
          <w:szCs w:val="32"/>
        </w:rPr>
        <w:t>.77</w:t>
      </w:r>
      <w:r>
        <w:rPr>
          <w:rStyle w:val="a8"/>
          <w:rFonts w:ascii="楷体" w:eastAsia="楷体" w:hAnsi="楷体" w:hint="eastAsia"/>
          <w:b w:val="0"/>
          <w:bCs w:val="0"/>
          <w:spacing w:val="-4"/>
          <w:sz w:val="32"/>
          <w:szCs w:val="32"/>
        </w:rPr>
        <w:t>万元。保障辖区内各项工作正常开展：有效保障；辖区居民满意度：</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按照年初预算资金项目组织并实施，加强年初预算项目的管理，提高项目资金预算的准确性。水塔山片区管委会按照《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p>
    <w:p w14:paraId="624FD63F" w14:textId="77777777" w:rsidR="000048AA" w:rsidRDefault="008559F9">
      <w:pPr>
        <w:spacing w:line="540" w:lineRule="exact"/>
        <w:ind w:firstLine="640"/>
        <w:rPr>
          <w:rStyle w:val="a8"/>
          <w:rFonts w:ascii="黑体" w:eastAsia="黑体" w:hAnsi="黑体"/>
        </w:rPr>
      </w:pPr>
      <w:r>
        <w:rPr>
          <w:rStyle w:val="a8"/>
          <w:rFonts w:ascii="黑体" w:eastAsia="黑体" w:hAnsi="黑体" w:hint="eastAsia"/>
          <w:b w:val="0"/>
          <w:spacing w:val="-4"/>
          <w:sz w:val="32"/>
          <w:szCs w:val="32"/>
        </w:rPr>
        <w:t>四、绩效评价指标分析</w:t>
      </w:r>
      <w:r>
        <w:rPr>
          <w:rStyle w:val="a8"/>
          <w:rFonts w:ascii="黑体" w:eastAsia="黑体" w:hAnsi="黑体" w:hint="eastAsia"/>
        </w:rPr>
        <w:t xml:space="preserve"> </w:t>
      </w:r>
    </w:p>
    <w:p w14:paraId="2BDB141E" w14:textId="77777777" w:rsidR="000048AA" w:rsidRDefault="008559F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（一）</w:t>
      </w:r>
      <w:r>
        <w:rPr>
          <w:rStyle w:val="a8"/>
          <w:rFonts w:ascii="楷体" w:eastAsia="楷体" w:hAnsi="楷体" w:hint="eastAsia"/>
          <w:spacing w:val="-4"/>
          <w:sz w:val="32"/>
          <w:szCs w:val="32"/>
        </w:rPr>
        <w:t>项目决策情况</w:t>
      </w:r>
    </w:p>
    <w:p w14:paraId="0E9F8597" w14:textId="77777777" w:rsidR="000048AA" w:rsidRDefault="008559F9">
      <w:pPr>
        <w:tabs>
          <w:tab w:val="center" w:pos="4295"/>
        </w:tabs>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项目决算指标由</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项目立项</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依据充分性：项目立项符合国家法律法规、政策要求。同时，项目与部门职责范围相符，属于部门履职所需。此外，本项目属于公共财政支持范围，符合中央、地方事权支出责任划分原则。因此，立项依据充分，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立项程序规范性</w:t>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项目按照规定的程序申请设立，审批文件、材料符合相关要求，故立项程序规范，得</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8</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绩效目标</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绩效目标合理性：本项目的绩效目标按照产出、效益和满意度构建绩效评价指标，且具有明确性、可衡量性、可实现性、相关性和时限性等特点，能较为全面地反映本</w:t>
      </w:r>
      <w:r>
        <w:rPr>
          <w:rStyle w:val="a8"/>
          <w:rFonts w:ascii="楷体" w:eastAsia="楷体" w:hAnsi="楷体" w:hint="eastAsia"/>
          <w:b w:val="0"/>
          <w:bCs w:val="0"/>
          <w:spacing w:val="-4"/>
          <w:sz w:val="32"/>
          <w:szCs w:val="32"/>
        </w:rPr>
        <w:t>项目的产出和效益，故绩效目标合理性指标得分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绩效目标明确性：消化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个子项目资金为：</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万元；封闭化岗亭人员经费</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年临聘人员经费元</w:t>
      </w:r>
      <w:r>
        <w:rPr>
          <w:rStyle w:val="a8"/>
          <w:rFonts w:ascii="楷体" w:eastAsia="楷体" w:hAnsi="楷体" w:hint="eastAsia"/>
          <w:b w:val="0"/>
          <w:bCs w:val="0"/>
          <w:spacing w:val="-4"/>
          <w:sz w:val="32"/>
          <w:szCs w:val="32"/>
        </w:rPr>
        <w:t>1810.49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元。其中涉及人员经费，如临聘人员工资、便</w:t>
      </w:r>
      <w:r>
        <w:rPr>
          <w:rStyle w:val="a8"/>
          <w:rFonts w:ascii="楷体" w:eastAsia="楷体" w:hAnsi="楷体" w:hint="eastAsia"/>
          <w:b w:val="0"/>
          <w:bCs w:val="0"/>
          <w:spacing w:val="-4"/>
          <w:sz w:val="32"/>
          <w:szCs w:val="32"/>
        </w:rPr>
        <w:t>民服务站工作人员伙食费及社区食堂伙食补助等及公用经费方面，如工作经费、社区经费、便民服务站工作经费等，由相关部门社会事务管理中心、综治中心及党政办等各部门共同协调完成。保障了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个社区及</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的正常运转，确保公岗工资及时、准确发放到位，更好为辖区群众开展服务，落实好党的政策，密切党和人民群众的联系，有利于提高工作人员积极性，提高居民幸福感、满意度。编制了《绩效目标申报表》，项目目标全面、完整，产出及效果指标进一步细化。其中，目标已细化为具体的绩效指标，可通过数量指标、质量指标、时效指标和成本指标予</w:t>
      </w:r>
      <w:r>
        <w:rPr>
          <w:rStyle w:val="a8"/>
          <w:rFonts w:ascii="楷体" w:eastAsia="楷体" w:hAnsi="楷体" w:hint="eastAsia"/>
          <w:b w:val="0"/>
          <w:bCs w:val="0"/>
          <w:spacing w:val="-4"/>
          <w:sz w:val="32"/>
          <w:szCs w:val="32"/>
        </w:rPr>
        <w:t>以量化，并具有确切的评价标准，且指标设定均与目标相关。各项指标均能在现实条件下收集到相关数据进行佐证，并与当年项目年度计划相对应，故绩效目标明确性指标得分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资金投入</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预算编制科学性：消化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暂付款项，该项目资金金额</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个子项目资金为：</w:t>
      </w:r>
      <w:r>
        <w:rPr>
          <w:rStyle w:val="a8"/>
          <w:rFonts w:ascii="楷体" w:eastAsia="楷体" w:hAnsi="楷体" w:hint="eastAsia"/>
          <w:b w:val="0"/>
          <w:bCs w:val="0"/>
          <w:spacing w:val="-4"/>
          <w:sz w:val="32"/>
          <w:szCs w:val="32"/>
        </w:rPr>
        <w:t>2017</w:t>
      </w:r>
      <w:r>
        <w:rPr>
          <w:rStyle w:val="a8"/>
          <w:rFonts w:ascii="楷体" w:eastAsia="楷体" w:hAnsi="楷体" w:hint="eastAsia"/>
          <w:b w:val="0"/>
          <w:bCs w:val="0"/>
          <w:spacing w:val="-4"/>
          <w:sz w:val="32"/>
          <w:szCs w:val="32"/>
        </w:rPr>
        <w:t>年封闭式小区建成项目工程款</w:t>
      </w:r>
      <w:r>
        <w:rPr>
          <w:rStyle w:val="a8"/>
          <w:rFonts w:ascii="楷体" w:eastAsia="楷体" w:hAnsi="楷体" w:hint="eastAsia"/>
          <w:b w:val="0"/>
          <w:bCs w:val="0"/>
          <w:spacing w:val="-4"/>
          <w:sz w:val="32"/>
          <w:szCs w:val="32"/>
        </w:rPr>
        <w:t>50</w:t>
      </w:r>
      <w:r>
        <w:rPr>
          <w:rStyle w:val="a8"/>
          <w:rFonts w:ascii="楷体" w:eastAsia="楷体" w:hAnsi="楷体" w:hint="eastAsia"/>
          <w:b w:val="0"/>
          <w:bCs w:val="0"/>
          <w:spacing w:val="-4"/>
          <w:sz w:val="32"/>
          <w:szCs w:val="32"/>
        </w:rPr>
        <w:t>万元；封闭化岗亭人员经费</w:t>
      </w:r>
      <w:r>
        <w:rPr>
          <w:rStyle w:val="a8"/>
          <w:rFonts w:ascii="楷体" w:eastAsia="楷体" w:hAnsi="楷体" w:hint="eastAsia"/>
          <w:b w:val="0"/>
          <w:bCs w:val="0"/>
          <w:spacing w:val="-4"/>
          <w:sz w:val="32"/>
          <w:szCs w:val="32"/>
        </w:rPr>
        <w:t>287.04</w:t>
      </w:r>
      <w:r>
        <w:rPr>
          <w:rStyle w:val="a8"/>
          <w:rFonts w:ascii="楷体" w:eastAsia="楷体" w:hAnsi="楷体" w:hint="eastAsia"/>
          <w:b w:val="0"/>
          <w:bCs w:val="0"/>
          <w:spacing w:val="-4"/>
          <w:sz w:val="32"/>
          <w:szCs w:val="32"/>
        </w:rPr>
        <w:t>万元；便民服务站人员伙食费</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万元；便民服务站运行经费</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万元；工作经费</w:t>
      </w:r>
      <w:r>
        <w:rPr>
          <w:rStyle w:val="a8"/>
          <w:rFonts w:ascii="楷体" w:eastAsia="楷体" w:hAnsi="楷体" w:hint="eastAsia"/>
          <w:b w:val="0"/>
          <w:bCs w:val="0"/>
          <w:spacing w:val="-4"/>
          <w:sz w:val="32"/>
          <w:szCs w:val="32"/>
        </w:rPr>
        <w:t>55.61</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年临聘人员经费元</w:t>
      </w:r>
      <w:r>
        <w:rPr>
          <w:rStyle w:val="a8"/>
          <w:rFonts w:ascii="楷体" w:eastAsia="楷体" w:hAnsi="楷体" w:hint="eastAsia"/>
          <w:b w:val="0"/>
          <w:bCs w:val="0"/>
          <w:spacing w:val="-4"/>
          <w:sz w:val="32"/>
          <w:szCs w:val="32"/>
        </w:rPr>
        <w:t>18</w:t>
      </w:r>
      <w:r>
        <w:rPr>
          <w:rStyle w:val="a8"/>
          <w:rFonts w:ascii="楷体" w:eastAsia="楷体" w:hAnsi="楷体" w:hint="eastAsia"/>
          <w:b w:val="0"/>
          <w:bCs w:val="0"/>
          <w:spacing w:val="-4"/>
          <w:sz w:val="32"/>
          <w:szCs w:val="32"/>
        </w:rPr>
        <w:t>10.49</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年临聘人员经费（第二次）</w:t>
      </w:r>
      <w:r>
        <w:rPr>
          <w:rStyle w:val="a8"/>
          <w:rFonts w:ascii="楷体" w:eastAsia="楷体" w:hAnsi="楷体" w:hint="eastAsia"/>
          <w:b w:val="0"/>
          <w:bCs w:val="0"/>
          <w:spacing w:val="-4"/>
          <w:sz w:val="32"/>
          <w:szCs w:val="32"/>
        </w:rPr>
        <w:t>1390.11</w:t>
      </w:r>
      <w:r>
        <w:rPr>
          <w:rStyle w:val="a8"/>
          <w:rFonts w:ascii="楷体" w:eastAsia="楷体" w:hAnsi="楷体" w:hint="eastAsia"/>
          <w:b w:val="0"/>
          <w:bCs w:val="0"/>
          <w:spacing w:val="-4"/>
          <w:sz w:val="32"/>
          <w:szCs w:val="32"/>
        </w:rPr>
        <w:t>万元；社区经费</w:t>
      </w:r>
      <w:r>
        <w:rPr>
          <w:rStyle w:val="a8"/>
          <w:rFonts w:ascii="楷体" w:eastAsia="楷体" w:hAnsi="楷体" w:hint="eastAsia"/>
          <w:b w:val="0"/>
          <w:bCs w:val="0"/>
          <w:spacing w:val="-4"/>
          <w:sz w:val="32"/>
          <w:szCs w:val="32"/>
        </w:rPr>
        <w:t>176.40</w:t>
      </w:r>
      <w:r>
        <w:rPr>
          <w:rStyle w:val="a8"/>
          <w:rFonts w:ascii="楷体" w:eastAsia="楷体" w:hAnsi="楷体" w:hint="eastAsia"/>
          <w:b w:val="0"/>
          <w:bCs w:val="0"/>
          <w:spacing w:val="-4"/>
          <w:sz w:val="32"/>
          <w:szCs w:val="32"/>
        </w:rPr>
        <w:t>万元，社区食堂补助经费</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元。其中涉及人员经费，如发放临聘人员人数</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人工资，社保，公积金、便民服务站工作人员伙食费及社区食堂伙食补助等及公用经费方面，如工作经费、</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个社区社区经费、</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个便民服务站工作经费等，资金均在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年支付完毕，本年根据财政局消化新增暂付款工作要求所需金额预算编制为</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万元。故预算编制科学性指标得分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资金分配合理性：</w:t>
      </w:r>
      <w:r>
        <w:rPr>
          <w:rStyle w:val="a8"/>
          <w:rFonts w:ascii="楷体" w:eastAsia="楷体" w:hAnsi="楷体" w:hint="eastAsia"/>
          <w:b w:val="0"/>
          <w:bCs w:val="0"/>
          <w:spacing w:val="-4"/>
          <w:sz w:val="32"/>
          <w:szCs w:val="32"/>
        </w:rPr>
        <w:t xml:space="preserve"> </w:t>
      </w:r>
      <w:r>
        <w:rPr>
          <w:rStyle w:val="a8"/>
          <w:rFonts w:ascii="楷体" w:eastAsia="楷体" w:hAnsi="楷体" w:hint="eastAsia"/>
          <w:b w:val="0"/>
          <w:bCs w:val="0"/>
          <w:spacing w:val="-4"/>
          <w:sz w:val="32"/>
          <w:szCs w:val="32"/>
        </w:rPr>
        <w:t>该项目</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年实际收到预算资金</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w:t>
      </w:r>
      <w:r>
        <w:rPr>
          <w:rStyle w:val="a8"/>
          <w:rFonts w:ascii="楷体" w:eastAsia="楷体" w:hAnsi="楷体" w:hint="eastAsia"/>
          <w:b w:val="0"/>
          <w:bCs w:val="0"/>
          <w:spacing w:val="-4"/>
          <w:sz w:val="32"/>
          <w:szCs w:val="32"/>
        </w:rPr>
        <w:t>。均为财政拨款</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暂付款项资金分配主要用于发放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年临聘人员工资，社保，公积金、便民服务站工作人员伙食费及社区食堂伙食补助等及公用经费方面，如工作经费、</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个社区社区经费、</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工作经费等等该项目具体由各科室、社区、便民服务站对所需经费开支提交上会报告，由街道办事处财经领导小组过会后，根据本单位财务制度、预算资金支出制度、物品采购相关文件及制度等各项相关规定进行相关采购及支付审批工作。</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个子项目，资金均在</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年支付完毕，本年根据财政局消化新增暂付款工作要求转为本</w:t>
      </w:r>
      <w:r>
        <w:rPr>
          <w:rStyle w:val="a8"/>
          <w:rFonts w:ascii="楷体" w:eastAsia="楷体" w:hAnsi="楷体" w:hint="eastAsia"/>
          <w:b w:val="0"/>
          <w:bCs w:val="0"/>
          <w:spacing w:val="-4"/>
          <w:sz w:val="32"/>
          <w:szCs w:val="32"/>
        </w:rPr>
        <w:t>年支出，目前已在</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月份对该项目完成调帐工作，该项目已执行完毕。故资金分配合理性指标得分</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ab/>
      </w:r>
    </w:p>
    <w:p w14:paraId="18D4984C" w14:textId="77777777" w:rsidR="000048AA" w:rsidRDefault="008559F9">
      <w:pPr>
        <w:spacing w:line="540" w:lineRule="exact"/>
        <w:ind w:firstLineChars="181" w:firstLine="567"/>
        <w:rPr>
          <w:rStyle w:val="a8"/>
          <w:rFonts w:ascii="楷体" w:eastAsia="楷体" w:hAnsi="楷体"/>
          <w:spacing w:val="-4"/>
          <w:sz w:val="32"/>
          <w:szCs w:val="32"/>
        </w:rPr>
      </w:pPr>
      <w:r>
        <w:rPr>
          <w:rFonts w:ascii="楷体" w:eastAsia="楷体" w:hAnsi="楷体" w:hint="eastAsia"/>
          <w:b/>
          <w:spacing w:val="-4"/>
          <w:sz w:val="32"/>
          <w:szCs w:val="32"/>
        </w:rPr>
        <w:t>（二）</w:t>
      </w:r>
      <w:r>
        <w:rPr>
          <w:rStyle w:val="a8"/>
          <w:rFonts w:ascii="楷体" w:eastAsia="楷体" w:hAnsi="楷体" w:hint="eastAsia"/>
          <w:spacing w:val="-4"/>
          <w:sz w:val="32"/>
          <w:szCs w:val="32"/>
        </w:rPr>
        <w:t>项目过程情况</w:t>
      </w:r>
    </w:p>
    <w:p w14:paraId="2EE3560E"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项目过程指标由</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资金管理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资金到位率：消化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年暂付款项项目预算安排总额为</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万元，其中财政拨款</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万元，其他资金</w:t>
      </w:r>
      <w:r>
        <w:rPr>
          <w:rStyle w:val="a8"/>
          <w:rFonts w:ascii="楷体" w:eastAsia="楷体" w:hAnsi="楷体" w:hint="eastAsia"/>
          <w:b w:val="0"/>
          <w:bCs w:val="0"/>
          <w:spacing w:val="-4"/>
          <w:sz w:val="32"/>
          <w:szCs w:val="32"/>
        </w:rPr>
        <w:t>0</w:t>
      </w:r>
      <w:r>
        <w:rPr>
          <w:rStyle w:val="a8"/>
          <w:rFonts w:ascii="楷体" w:eastAsia="楷体" w:hAnsi="楷体" w:hint="eastAsia"/>
          <w:b w:val="0"/>
          <w:bCs w:val="0"/>
          <w:spacing w:val="-4"/>
          <w:sz w:val="32"/>
          <w:szCs w:val="32"/>
        </w:rPr>
        <w:t>万元，并于</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29</w:t>
      </w:r>
      <w:r>
        <w:rPr>
          <w:rStyle w:val="a8"/>
          <w:rFonts w:ascii="楷体" w:eastAsia="楷体" w:hAnsi="楷体" w:hint="eastAsia"/>
          <w:b w:val="0"/>
          <w:bCs w:val="0"/>
          <w:spacing w:val="-4"/>
          <w:sz w:val="32"/>
          <w:szCs w:val="32"/>
        </w:rPr>
        <w:t>日到位</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万元，资金直接支付到各供货商并将临时聘用人员工资发放到位，资金到位率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。故资金到位率指标得</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预算执行率：该项目包括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个子项目资金，主要用于发放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年临聘人员工资，社保，公积金、便民服务站工作人员伙食费及社区食堂伙食补助等及公用经费方面，如工作经费、</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个社区社区经费、</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个便民服务站工作经费等，有街道、社区、警务站报账人员按照报账流程进行报账，街道审核后直接支付给各供货商，并每月按时发放临聘人员工资，社保，公积金。截至</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日，消化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年暂付款项已支出</w:t>
      </w:r>
      <w:r>
        <w:rPr>
          <w:rStyle w:val="a8"/>
          <w:rFonts w:ascii="楷体" w:eastAsia="楷体" w:hAnsi="楷体" w:hint="eastAsia"/>
          <w:b w:val="0"/>
          <w:bCs w:val="0"/>
          <w:spacing w:val="-4"/>
          <w:sz w:val="32"/>
          <w:szCs w:val="32"/>
        </w:rPr>
        <w:t>4280.28</w:t>
      </w:r>
      <w:r>
        <w:rPr>
          <w:rStyle w:val="a8"/>
          <w:rFonts w:ascii="楷体" w:eastAsia="楷体" w:hAnsi="楷体" w:hint="eastAsia"/>
          <w:b w:val="0"/>
          <w:bCs w:val="0"/>
          <w:spacing w:val="-4"/>
          <w:sz w:val="32"/>
          <w:szCs w:val="32"/>
        </w:rPr>
        <w:t>万元。故预算执行率得分为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资金使用合规性：本项目资金的使用符合国家财经法规和财务管理制度以及有关</w:t>
      </w:r>
      <w:r>
        <w:rPr>
          <w:rStyle w:val="a8"/>
          <w:rFonts w:ascii="楷体" w:eastAsia="楷体" w:hAnsi="楷体" w:hint="eastAsia"/>
          <w:b w:val="0"/>
          <w:bCs w:val="0"/>
          <w:spacing w:val="-4"/>
          <w:sz w:val="32"/>
          <w:szCs w:val="32"/>
        </w:rPr>
        <w:t>专项资金管理办法的规定。同时，资金的拨付有完整的审批程序，需要报账的相关手续，符合项目预算批复或合同规定的用途，不存在截留、挤占、挪用、虚列支出等情况。故资金使用合规性得分为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组织实施</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管理制度健全性：水塔山片区管理委员会已制定相应的财务管理制度，包括内部控制管理制度、经费管理制度及办法，其中内部控制管理制度包含预算管理制度、决算管理制度、支出管理办法、采购管理、预算绩效管理（含预算绩效评价管理）、监督检查等多项管理制度。整体来说，榆树沟街道办事处的财务管理</w:t>
      </w:r>
      <w:r>
        <w:rPr>
          <w:rStyle w:val="a8"/>
          <w:rFonts w:ascii="楷体" w:eastAsia="楷体" w:hAnsi="楷体" w:hint="eastAsia"/>
          <w:b w:val="0"/>
          <w:bCs w:val="0"/>
          <w:spacing w:val="-4"/>
          <w:sz w:val="32"/>
          <w:szCs w:val="32"/>
        </w:rPr>
        <w:t>制度涵盖了预算管理、资金审批、监督管理等多个方面，规范了项目资金申请、审批、复核、支付整个资金环节，保证资金使用的合规性。且制度合法、合规、完整，为项目顺利实施提供重要保障。故管理制度健全性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制度执行有效性：根据评价小组核查情况，水塔山片区管理委员会严格遵守相关法律法规和相关管理规定，项目调整及支出调整手续完备，整体管理合理有序，项目完成后，及时将会计凭证、固定资产入库单等相关资料分类归档，制度执行有效。故制度执行有效性指标得分</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7</w:t>
      </w:r>
      <w:r>
        <w:rPr>
          <w:rStyle w:val="a8"/>
          <w:rFonts w:ascii="楷体" w:eastAsia="楷体" w:hAnsi="楷体" w:hint="eastAsia"/>
          <w:b w:val="0"/>
          <w:bCs w:val="0"/>
          <w:spacing w:val="-4"/>
          <w:sz w:val="32"/>
          <w:szCs w:val="32"/>
        </w:rPr>
        <w:t>分。</w:t>
      </w:r>
    </w:p>
    <w:p w14:paraId="626924A3" w14:textId="77777777" w:rsidR="000048AA" w:rsidRDefault="008559F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（三）</w:t>
      </w:r>
      <w:r>
        <w:rPr>
          <w:rStyle w:val="a8"/>
          <w:rFonts w:ascii="楷体" w:eastAsia="楷体" w:hAnsi="楷体" w:hint="eastAsia"/>
          <w:spacing w:val="-4"/>
          <w:sz w:val="32"/>
          <w:szCs w:val="32"/>
        </w:rPr>
        <w:t>项目产出情况</w:t>
      </w:r>
    </w:p>
    <w:p w14:paraId="76AF5AFA"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项目产</w:t>
      </w:r>
      <w:r>
        <w:rPr>
          <w:rStyle w:val="a8"/>
          <w:rFonts w:ascii="楷体" w:eastAsia="楷体" w:hAnsi="楷体" w:hint="eastAsia"/>
          <w:b w:val="0"/>
          <w:bCs w:val="0"/>
          <w:spacing w:val="-4"/>
          <w:sz w:val="32"/>
          <w:szCs w:val="32"/>
        </w:rPr>
        <w:t>出指标由</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产出数量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数量指标“发放临聘人员工资人数”的目标值是</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760</w:t>
      </w:r>
      <w:r>
        <w:rPr>
          <w:rStyle w:val="a8"/>
          <w:rFonts w:ascii="楷体" w:eastAsia="楷体" w:hAnsi="楷体" w:hint="eastAsia"/>
          <w:b w:val="0"/>
          <w:bCs w:val="0"/>
          <w:spacing w:val="-4"/>
          <w:sz w:val="32"/>
          <w:szCs w:val="32"/>
        </w:rPr>
        <w:t>人，实际完成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数量指标“涉及社区数量”的目标值是</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数量指标“涉及便民服务站数量”的目标值是</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w:t>
      </w:r>
      <w:r>
        <w:rPr>
          <w:rStyle w:val="a8"/>
          <w:rFonts w:ascii="楷体" w:eastAsia="楷体" w:hAnsi="楷体" w:hint="eastAsia"/>
          <w:b w:val="0"/>
          <w:bCs w:val="0"/>
          <w:spacing w:val="-4"/>
          <w:sz w:val="32"/>
          <w:szCs w:val="32"/>
        </w:rPr>
        <w:t>2023</w:t>
      </w:r>
      <w:r>
        <w:rPr>
          <w:rStyle w:val="a8"/>
          <w:rFonts w:ascii="楷体" w:eastAsia="楷体" w:hAnsi="楷体" w:hint="eastAsia"/>
          <w:b w:val="0"/>
          <w:bCs w:val="0"/>
          <w:spacing w:val="-4"/>
          <w:sz w:val="32"/>
          <w:szCs w:val="32"/>
        </w:rPr>
        <w:t>年度我单位实际完成</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个，实际完成</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。实际得分为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实际完成率：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，故实际完成率得分为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2. </w:t>
      </w:r>
      <w:r>
        <w:rPr>
          <w:rStyle w:val="a8"/>
          <w:rFonts w:ascii="楷体" w:eastAsia="楷体" w:hAnsi="楷体" w:hint="eastAsia"/>
          <w:b w:val="0"/>
          <w:bCs w:val="0"/>
          <w:spacing w:val="-4"/>
          <w:sz w:val="32"/>
          <w:szCs w:val="32"/>
        </w:rPr>
        <w:t>产出质量</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w:t>
      </w:r>
      <w:r>
        <w:rPr>
          <w:rStyle w:val="a8"/>
          <w:rFonts w:ascii="楷体" w:eastAsia="楷体" w:hAnsi="楷体" w:hint="eastAsia"/>
          <w:b w:val="0"/>
          <w:bCs w:val="0"/>
          <w:spacing w:val="-4"/>
          <w:sz w:val="32"/>
          <w:szCs w:val="32"/>
        </w:rPr>
        <w:t>指标“工资、社保发放准确率”的目标值为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，我单位按照财务制度和财政部门规定的支付手续，根据合同约定，及时向主管单位和财政局申请相关款项，并于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日将资金支付给临聘人员，得分为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质量指标“社区工作正常运转率”的目标值为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，我单位在项目完工后，根据合同约定，及时向主管单位和财政局申请相关款项，并于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日将资金支付给各供货商，得分为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质量指标“便民服务站工作正常运转率”的目标值为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，我单位在项目完工后，根据合同约定，及时向主管单位和财政局申请相关款项，</w:t>
      </w:r>
      <w:r>
        <w:rPr>
          <w:rStyle w:val="a8"/>
          <w:rFonts w:ascii="楷体" w:eastAsia="楷体" w:hAnsi="楷体" w:hint="eastAsia"/>
          <w:b w:val="0"/>
          <w:bCs w:val="0"/>
          <w:spacing w:val="-4"/>
          <w:sz w:val="32"/>
          <w:szCs w:val="32"/>
        </w:rPr>
        <w:t>并于</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w:t>
      </w:r>
      <w:r>
        <w:rPr>
          <w:rStyle w:val="a8"/>
          <w:rFonts w:ascii="楷体" w:eastAsia="楷体" w:hAnsi="楷体" w:hint="eastAsia"/>
          <w:b w:val="0"/>
          <w:bCs w:val="0"/>
          <w:spacing w:val="-4"/>
          <w:sz w:val="32"/>
          <w:szCs w:val="32"/>
        </w:rPr>
        <w:t>12</w:t>
      </w:r>
      <w:r>
        <w:rPr>
          <w:rStyle w:val="a8"/>
          <w:rFonts w:ascii="楷体" w:eastAsia="楷体" w:hAnsi="楷体" w:hint="eastAsia"/>
          <w:b w:val="0"/>
          <w:bCs w:val="0"/>
          <w:spacing w:val="-4"/>
          <w:sz w:val="32"/>
          <w:szCs w:val="32"/>
        </w:rPr>
        <w:t>月</w:t>
      </w:r>
      <w:r>
        <w:rPr>
          <w:rStyle w:val="a8"/>
          <w:rFonts w:ascii="楷体" w:eastAsia="楷体" w:hAnsi="楷体" w:hint="eastAsia"/>
          <w:b w:val="0"/>
          <w:bCs w:val="0"/>
          <w:spacing w:val="-4"/>
          <w:sz w:val="32"/>
          <w:szCs w:val="32"/>
        </w:rPr>
        <w:t>31</w:t>
      </w:r>
      <w:r>
        <w:rPr>
          <w:rStyle w:val="a8"/>
          <w:rFonts w:ascii="楷体" w:eastAsia="楷体" w:hAnsi="楷体" w:hint="eastAsia"/>
          <w:b w:val="0"/>
          <w:bCs w:val="0"/>
          <w:spacing w:val="-4"/>
          <w:sz w:val="32"/>
          <w:szCs w:val="32"/>
        </w:rPr>
        <w:t>日将资金支付给各供货商。得分为</w:t>
      </w:r>
      <w:r>
        <w:rPr>
          <w:rStyle w:val="a8"/>
          <w:rFonts w:ascii="楷体" w:eastAsia="楷体" w:hAnsi="楷体" w:hint="eastAsia"/>
          <w:b w:val="0"/>
          <w:bCs w:val="0"/>
          <w:spacing w:val="-4"/>
          <w:sz w:val="32"/>
          <w:szCs w:val="32"/>
        </w:rPr>
        <w:t>3</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质量达标率</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3. </w:t>
      </w:r>
      <w:r>
        <w:rPr>
          <w:rStyle w:val="a8"/>
          <w:rFonts w:ascii="楷体" w:eastAsia="楷体" w:hAnsi="楷体" w:hint="eastAsia"/>
          <w:b w:val="0"/>
          <w:bCs w:val="0"/>
          <w:spacing w:val="-4"/>
          <w:sz w:val="32"/>
          <w:szCs w:val="32"/>
        </w:rPr>
        <w:t>产出时效</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时效指标“工资社保发放及时率”的目标值为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，该项目为支付街道、社区临聘人员工资、社保等，由社保所工作人员按照报账流程进行报账，街道审核后完成支付，所有工资社保均在规定时限内进行发放。得分为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故完成及时性</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，得分为</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4. </w:t>
      </w:r>
      <w:r>
        <w:rPr>
          <w:rStyle w:val="a8"/>
          <w:rFonts w:ascii="楷体" w:eastAsia="楷体" w:hAnsi="楷体" w:hint="eastAsia"/>
          <w:b w:val="0"/>
          <w:bCs w:val="0"/>
          <w:spacing w:val="-4"/>
          <w:sz w:val="32"/>
          <w:szCs w:val="32"/>
        </w:rPr>
        <w:t>产出成本</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项目预算控制率：</w:t>
      </w:r>
      <w:r>
        <w:rPr>
          <w:rStyle w:val="a8"/>
          <w:rFonts w:ascii="楷体" w:eastAsia="楷体" w:hAnsi="楷体" w:hint="eastAsia"/>
          <w:b w:val="0"/>
          <w:bCs w:val="0"/>
          <w:spacing w:val="-4"/>
          <w:sz w:val="32"/>
          <w:szCs w:val="32"/>
        </w:rPr>
        <w:br/>
        <w:t>2017</w:t>
      </w:r>
      <w:r>
        <w:rPr>
          <w:rStyle w:val="a8"/>
          <w:rFonts w:ascii="楷体" w:eastAsia="楷体" w:hAnsi="楷体" w:hint="eastAsia"/>
          <w:b w:val="0"/>
          <w:bCs w:val="0"/>
          <w:spacing w:val="-4"/>
          <w:sz w:val="32"/>
          <w:szCs w:val="32"/>
        </w:rPr>
        <w:t>年封闭式小区建成项目工程款：本项目实际支出</w:t>
      </w:r>
      <w:r>
        <w:rPr>
          <w:rStyle w:val="a8"/>
          <w:rFonts w:ascii="楷体" w:eastAsia="楷体" w:hAnsi="楷体" w:hint="eastAsia"/>
          <w:b w:val="0"/>
          <w:bCs w:val="0"/>
          <w:spacing w:val="-4"/>
          <w:sz w:val="32"/>
          <w:szCs w:val="32"/>
        </w:rPr>
        <w:t xml:space="preserve">   50</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便民服务站人</w:t>
      </w:r>
      <w:r>
        <w:rPr>
          <w:rStyle w:val="a8"/>
          <w:rFonts w:ascii="楷体" w:eastAsia="楷体" w:hAnsi="楷体" w:hint="eastAsia"/>
          <w:b w:val="0"/>
          <w:bCs w:val="0"/>
          <w:spacing w:val="-4"/>
          <w:sz w:val="32"/>
          <w:szCs w:val="32"/>
        </w:rPr>
        <w:t>员伙食费：本项目实际支出</w:t>
      </w:r>
      <w:r>
        <w:rPr>
          <w:rStyle w:val="a8"/>
          <w:rFonts w:ascii="楷体" w:eastAsia="楷体" w:hAnsi="楷体" w:hint="eastAsia"/>
          <w:b w:val="0"/>
          <w:bCs w:val="0"/>
          <w:spacing w:val="-4"/>
          <w:sz w:val="32"/>
          <w:szCs w:val="32"/>
        </w:rPr>
        <w:t>188.52</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便民服务站运行经费：本项目实际支出</w:t>
      </w:r>
      <w:r>
        <w:rPr>
          <w:rStyle w:val="a8"/>
          <w:rFonts w:ascii="楷体" w:eastAsia="楷体" w:hAnsi="楷体" w:hint="eastAsia"/>
          <w:b w:val="0"/>
          <w:bCs w:val="0"/>
          <w:spacing w:val="-4"/>
          <w:sz w:val="32"/>
          <w:szCs w:val="32"/>
        </w:rPr>
        <w:t>130.34</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2022</w:t>
      </w:r>
      <w:r>
        <w:rPr>
          <w:rStyle w:val="a8"/>
          <w:rFonts w:ascii="楷体" w:eastAsia="楷体" w:hAnsi="楷体" w:hint="eastAsia"/>
          <w:b w:val="0"/>
          <w:bCs w:val="0"/>
          <w:spacing w:val="-4"/>
          <w:sz w:val="32"/>
          <w:szCs w:val="32"/>
        </w:rPr>
        <w:t>年临聘人员经费本项目实际支出</w:t>
      </w:r>
      <w:r>
        <w:rPr>
          <w:rStyle w:val="a8"/>
          <w:rFonts w:ascii="楷体" w:eastAsia="楷体" w:hAnsi="楷体" w:hint="eastAsia"/>
          <w:b w:val="0"/>
          <w:bCs w:val="0"/>
          <w:spacing w:val="-4"/>
          <w:sz w:val="32"/>
          <w:szCs w:val="32"/>
        </w:rPr>
        <w:t>3487.64</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4</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社区经费：本项目实际支出</w:t>
      </w:r>
      <w:r>
        <w:rPr>
          <w:rStyle w:val="a8"/>
          <w:rFonts w:ascii="楷体" w:eastAsia="楷体" w:hAnsi="楷体" w:hint="eastAsia"/>
          <w:b w:val="0"/>
          <w:bCs w:val="0"/>
          <w:spacing w:val="-4"/>
          <w:sz w:val="32"/>
          <w:szCs w:val="32"/>
        </w:rPr>
        <w:t>232.01</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2</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社区食堂补助经费：本项目实际支出</w:t>
      </w:r>
      <w:r>
        <w:rPr>
          <w:rStyle w:val="a8"/>
          <w:rFonts w:ascii="楷体" w:eastAsia="楷体" w:hAnsi="楷体" w:hint="eastAsia"/>
          <w:b w:val="0"/>
          <w:bCs w:val="0"/>
          <w:spacing w:val="-4"/>
          <w:sz w:val="32"/>
          <w:szCs w:val="32"/>
        </w:rPr>
        <w:t>191.77</w:t>
      </w:r>
      <w:r>
        <w:rPr>
          <w:rStyle w:val="a8"/>
          <w:rFonts w:ascii="楷体" w:eastAsia="楷体" w:hAnsi="楷体" w:hint="eastAsia"/>
          <w:b w:val="0"/>
          <w:bCs w:val="0"/>
          <w:spacing w:val="-4"/>
          <w:sz w:val="32"/>
          <w:szCs w:val="32"/>
        </w:rPr>
        <w:t>万元，无超支情况，项目资金全部完成，得分为</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综上，该项指标下设</w:t>
      </w:r>
      <w:r>
        <w:rPr>
          <w:rStyle w:val="a8"/>
          <w:rFonts w:ascii="楷体" w:eastAsia="楷体" w:hAnsi="楷体" w:hint="eastAsia"/>
          <w:b w:val="0"/>
          <w:bCs w:val="0"/>
          <w:spacing w:val="-4"/>
          <w:sz w:val="32"/>
          <w:szCs w:val="32"/>
        </w:rPr>
        <w:t>6</w:t>
      </w:r>
      <w:r>
        <w:rPr>
          <w:rStyle w:val="a8"/>
          <w:rFonts w:ascii="楷体" w:eastAsia="楷体" w:hAnsi="楷体" w:hint="eastAsia"/>
          <w:b w:val="0"/>
          <w:bCs w:val="0"/>
          <w:spacing w:val="-4"/>
          <w:sz w:val="32"/>
          <w:szCs w:val="32"/>
        </w:rPr>
        <w:t>个三级指标，项目资金全部完成，</w:t>
      </w:r>
      <w:r>
        <w:rPr>
          <w:rStyle w:val="a8"/>
          <w:rFonts w:ascii="楷体" w:eastAsia="楷体" w:hAnsi="楷体" w:hint="eastAsia"/>
          <w:b w:val="0"/>
          <w:bCs w:val="0"/>
          <w:spacing w:val="-4"/>
          <w:sz w:val="32"/>
          <w:szCs w:val="32"/>
        </w:rPr>
        <w:t>得分</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综上，该部分指标满分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40</w:t>
      </w:r>
      <w:r>
        <w:rPr>
          <w:rStyle w:val="a8"/>
          <w:rFonts w:ascii="楷体" w:eastAsia="楷体" w:hAnsi="楷体" w:hint="eastAsia"/>
          <w:b w:val="0"/>
          <w:bCs w:val="0"/>
          <w:spacing w:val="-4"/>
          <w:sz w:val="32"/>
          <w:szCs w:val="32"/>
        </w:rPr>
        <w:t>分。</w:t>
      </w:r>
    </w:p>
    <w:p w14:paraId="404219E3" w14:textId="77777777" w:rsidR="000048AA" w:rsidRDefault="008559F9">
      <w:pPr>
        <w:spacing w:line="540" w:lineRule="exact"/>
        <w:ind w:firstLineChars="181" w:firstLine="567"/>
        <w:rPr>
          <w:rFonts w:ascii="楷体" w:eastAsia="楷体" w:hAnsi="楷体"/>
          <w:b/>
          <w:spacing w:val="-4"/>
          <w:sz w:val="32"/>
          <w:szCs w:val="32"/>
        </w:rPr>
      </w:pPr>
      <w:r>
        <w:rPr>
          <w:rFonts w:ascii="楷体" w:eastAsia="楷体" w:hAnsi="楷体" w:hint="eastAsia"/>
          <w:b/>
          <w:spacing w:val="-4"/>
          <w:sz w:val="32"/>
          <w:szCs w:val="32"/>
        </w:rPr>
        <w:t>（四）</w:t>
      </w:r>
      <w:r>
        <w:rPr>
          <w:rStyle w:val="a8"/>
          <w:rFonts w:ascii="楷体" w:eastAsia="楷体" w:hAnsi="楷体" w:hint="eastAsia"/>
          <w:spacing w:val="-4"/>
          <w:sz w:val="32"/>
          <w:szCs w:val="32"/>
        </w:rPr>
        <w:t>项目效益情况</w:t>
      </w:r>
    </w:p>
    <w:p w14:paraId="5CE82706" w14:textId="380AB000" w:rsidR="009C229E" w:rsidRDefault="008559F9" w:rsidP="000B0B98">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项目效益指标由</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个二级指标和</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个三级指标构成，权重为</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分，实际得分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t xml:space="preserve">1. </w:t>
      </w:r>
      <w:r>
        <w:rPr>
          <w:rStyle w:val="a8"/>
          <w:rFonts w:ascii="楷体" w:eastAsia="楷体" w:hAnsi="楷体" w:hint="eastAsia"/>
          <w:b w:val="0"/>
          <w:bCs w:val="0"/>
          <w:spacing w:val="-4"/>
          <w:sz w:val="32"/>
          <w:szCs w:val="32"/>
        </w:rPr>
        <w:t>项目效益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w:t>
      </w:r>
      <w:r>
        <w:rPr>
          <w:rStyle w:val="a8"/>
          <w:rFonts w:ascii="楷体" w:eastAsia="楷体" w:hAnsi="楷体" w:hint="eastAsia"/>
          <w:b w:val="0"/>
          <w:bCs w:val="0"/>
          <w:spacing w:val="-4"/>
          <w:sz w:val="32"/>
          <w:szCs w:val="32"/>
        </w:rPr>
        <w:t>1</w:t>
      </w:r>
      <w:r>
        <w:rPr>
          <w:rStyle w:val="a8"/>
          <w:rFonts w:ascii="楷体" w:eastAsia="楷体" w:hAnsi="楷体" w:hint="eastAsia"/>
          <w:b w:val="0"/>
          <w:bCs w:val="0"/>
          <w:spacing w:val="-4"/>
          <w:sz w:val="32"/>
          <w:szCs w:val="32"/>
        </w:rPr>
        <w:t>）实施效益</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经济效益指标：不适用。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社会效益指标：评价指标“保障辖区内各项工作正常开展”，指标值：有效保障，实际完成值：完全达到预期。本项目的实施保障了街道、</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个社区及</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个便民服务站日常工作的正常运转，确保公岗工资及时、准确发放到位，充分调动职工的工作积极性，加大对日常工作经费的管理力度，进一步提升了社会服务能力。</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生态效益指标：不适用。</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15</w:t>
      </w:r>
      <w:r>
        <w:rPr>
          <w:rStyle w:val="a8"/>
          <w:rFonts w:ascii="楷体" w:eastAsia="楷体" w:hAnsi="楷体" w:hint="eastAsia"/>
          <w:b w:val="0"/>
          <w:bCs w:val="0"/>
          <w:spacing w:val="-4"/>
          <w:sz w:val="32"/>
          <w:szCs w:val="32"/>
        </w:rPr>
        <w:t>分。</w:t>
      </w:r>
    </w:p>
    <w:p w14:paraId="57FD828A" w14:textId="202F46A4"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群众满意度：评价指标“辖区居民满意度”，指标值：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，实际完成值：</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。通过设置问卷调查的方式进行考评评价，共计调查样本总量为</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个样本，有效调查问卷</w:t>
      </w:r>
      <w:r>
        <w:rPr>
          <w:rStyle w:val="a8"/>
          <w:rFonts w:ascii="楷体" w:eastAsia="楷体" w:hAnsi="楷体" w:hint="eastAsia"/>
          <w:b w:val="0"/>
          <w:bCs w:val="0"/>
          <w:spacing w:val="-4"/>
          <w:sz w:val="32"/>
          <w:szCs w:val="32"/>
        </w:rPr>
        <w:t>20</w:t>
      </w:r>
      <w:r>
        <w:rPr>
          <w:rStyle w:val="a8"/>
          <w:rFonts w:ascii="楷体" w:eastAsia="楷体" w:hAnsi="楷体" w:hint="eastAsia"/>
          <w:b w:val="0"/>
          <w:bCs w:val="0"/>
          <w:spacing w:val="-4"/>
          <w:sz w:val="32"/>
          <w:szCs w:val="32"/>
        </w:rPr>
        <w:t>份。其中，统计“辖区居民满意度”的平均值为</w:t>
      </w:r>
      <w:r>
        <w:rPr>
          <w:rStyle w:val="a8"/>
          <w:rFonts w:ascii="楷体" w:eastAsia="楷体" w:hAnsi="楷体" w:hint="eastAsia"/>
          <w:b w:val="0"/>
          <w:bCs w:val="0"/>
          <w:spacing w:val="-4"/>
          <w:sz w:val="32"/>
          <w:szCs w:val="32"/>
        </w:rPr>
        <w:t>100%</w:t>
      </w:r>
      <w:r>
        <w:rPr>
          <w:rStyle w:val="a8"/>
          <w:rFonts w:ascii="楷体" w:eastAsia="楷体" w:hAnsi="楷体" w:hint="eastAsia"/>
          <w:b w:val="0"/>
          <w:bCs w:val="0"/>
          <w:spacing w:val="-4"/>
          <w:sz w:val="32"/>
          <w:szCs w:val="32"/>
        </w:rPr>
        <w:t>。故满意度指标得分为</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综上，该指标满分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分，得分</w:t>
      </w:r>
      <w:r>
        <w:rPr>
          <w:rStyle w:val="a8"/>
          <w:rFonts w:ascii="楷体" w:eastAsia="楷体" w:hAnsi="楷体" w:hint="eastAsia"/>
          <w:b w:val="0"/>
          <w:bCs w:val="0"/>
          <w:spacing w:val="-4"/>
          <w:sz w:val="32"/>
          <w:szCs w:val="32"/>
        </w:rPr>
        <w:t>5</w:t>
      </w:r>
      <w:r>
        <w:rPr>
          <w:rStyle w:val="a8"/>
          <w:rFonts w:ascii="楷体" w:eastAsia="楷体" w:hAnsi="楷体" w:hint="eastAsia"/>
          <w:b w:val="0"/>
          <w:bCs w:val="0"/>
          <w:spacing w:val="-4"/>
          <w:sz w:val="32"/>
          <w:szCs w:val="32"/>
        </w:rPr>
        <w:t>分。</w:t>
      </w:r>
    </w:p>
    <w:p w14:paraId="3385D9A6" w14:textId="77777777" w:rsidR="000048AA" w:rsidRDefault="000048AA">
      <w:pPr>
        <w:spacing w:line="540" w:lineRule="exact"/>
        <w:ind w:firstLine="567"/>
        <w:rPr>
          <w:rStyle w:val="a8"/>
          <w:rFonts w:ascii="楷体" w:eastAsia="楷体" w:hAnsi="楷体"/>
          <w:spacing w:val="-4"/>
          <w:sz w:val="32"/>
          <w:szCs w:val="32"/>
        </w:rPr>
      </w:pPr>
    </w:p>
    <w:p w14:paraId="75C28D89" w14:textId="468D6AD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五、主要经验及做法、存在的问题及原因分析</w:t>
      </w:r>
    </w:p>
    <w:p w14:paraId="43BCB296" w14:textId="77777777" w:rsidR="000048AA" w:rsidRDefault="008559F9">
      <w:pPr>
        <w:spacing w:line="540" w:lineRule="exact"/>
        <w:ind w:firstLine="567"/>
        <w:rPr>
          <w:rFonts w:ascii="仿宋_GB2312" w:eastAsia="仿宋_GB2312"/>
          <w:spacing w:val="-4"/>
          <w:sz w:val="32"/>
          <w:szCs w:val="32"/>
        </w:rPr>
      </w:pPr>
      <w:r>
        <w:rPr>
          <w:rStyle w:val="a8"/>
          <w:rFonts w:ascii="楷体" w:eastAsia="楷体" w:hAnsi="楷体" w:hint="eastAsia"/>
          <w:b w:val="0"/>
          <w:bCs w:val="0"/>
          <w:spacing w:val="-4"/>
          <w:sz w:val="32"/>
          <w:szCs w:val="32"/>
        </w:rPr>
        <w:t>（一）主要经验及做法</w:t>
      </w:r>
      <w:r>
        <w:rPr>
          <w:rStyle w:val="a8"/>
          <w:rFonts w:ascii="楷体" w:eastAsia="楷体" w:hAnsi="楷体" w:hint="eastAsia"/>
          <w:b w:val="0"/>
          <w:bCs w:val="0"/>
          <w:spacing w:val="-4"/>
          <w:sz w:val="32"/>
          <w:szCs w:val="32"/>
        </w:rPr>
        <w:br/>
        <w:t>1.</w:t>
      </w:r>
      <w:r>
        <w:rPr>
          <w:rStyle w:val="a8"/>
          <w:rFonts w:ascii="楷体" w:eastAsia="楷体" w:hAnsi="楷体" w:hint="eastAsia"/>
          <w:b w:val="0"/>
          <w:bCs w:val="0"/>
          <w:spacing w:val="-4"/>
          <w:sz w:val="32"/>
          <w:szCs w:val="32"/>
        </w:rPr>
        <w:t>按照年初预算资金项目组织并实施，加强年初预算项目的管理，提高项目资金预算的准确性。水塔山片区管委会按照</w:t>
      </w:r>
      <w:r>
        <w:rPr>
          <w:rStyle w:val="a8"/>
          <w:rFonts w:ascii="楷体" w:eastAsia="楷体" w:hAnsi="楷体" w:hint="eastAsia"/>
          <w:b w:val="0"/>
          <w:bCs w:val="0"/>
          <w:spacing w:val="-4"/>
          <w:sz w:val="32"/>
          <w:szCs w:val="32"/>
        </w:rPr>
        <w:t>《行政事业单位内部控制规范》《会计工作基础规范》的要求，并结合自身实际情况建立健全各部门，各环节、各岗位内部控制制度，并确保制度能够长期有效的坚持执行。项目支出要附有专项预算报告，保证了项目资金使用的合规、有效。</w:t>
      </w:r>
      <w:r>
        <w:rPr>
          <w:rStyle w:val="a8"/>
          <w:rFonts w:ascii="楷体" w:eastAsia="楷体" w:hAnsi="楷体" w:hint="eastAsia"/>
          <w:b w:val="0"/>
          <w:bCs w:val="0"/>
          <w:spacing w:val="-4"/>
          <w:sz w:val="32"/>
          <w:szCs w:val="32"/>
        </w:rPr>
        <w:br/>
        <w:t>2.</w:t>
      </w:r>
      <w:r>
        <w:rPr>
          <w:rStyle w:val="a8"/>
          <w:rFonts w:ascii="楷体" w:eastAsia="楷体" w:hAnsi="楷体" w:hint="eastAsia"/>
          <w:b w:val="0"/>
          <w:bCs w:val="0"/>
          <w:spacing w:val="-4"/>
          <w:sz w:val="32"/>
          <w:szCs w:val="32"/>
        </w:rPr>
        <w:t>该预算项目资金包括</w:t>
      </w:r>
      <w:r>
        <w:rPr>
          <w:rStyle w:val="a8"/>
          <w:rFonts w:ascii="楷体" w:eastAsia="楷体" w:hAnsi="楷体" w:hint="eastAsia"/>
          <w:b w:val="0"/>
          <w:bCs w:val="0"/>
          <w:spacing w:val="-4"/>
          <w:sz w:val="32"/>
          <w:szCs w:val="32"/>
        </w:rPr>
        <w:t>9</w:t>
      </w:r>
      <w:r>
        <w:rPr>
          <w:rStyle w:val="a8"/>
          <w:rFonts w:ascii="楷体" w:eastAsia="楷体" w:hAnsi="楷体" w:hint="eastAsia"/>
          <w:b w:val="0"/>
          <w:bCs w:val="0"/>
          <w:spacing w:val="-4"/>
          <w:sz w:val="32"/>
          <w:szCs w:val="32"/>
        </w:rPr>
        <w:t>个子项目资金，主要用于发放</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年临聘人员工资，社保，公积金、便民服务站工作人员伙食费及社区食堂伙食补助等及公用经费方面，如工作经费、</w:t>
      </w:r>
      <w:r>
        <w:rPr>
          <w:rStyle w:val="a8"/>
          <w:rFonts w:ascii="楷体" w:eastAsia="楷体" w:hAnsi="楷体" w:hint="eastAsia"/>
          <w:b w:val="0"/>
          <w:bCs w:val="0"/>
          <w:spacing w:val="-4"/>
          <w:sz w:val="32"/>
          <w:szCs w:val="32"/>
        </w:rPr>
        <w:t>10</w:t>
      </w:r>
      <w:r>
        <w:rPr>
          <w:rStyle w:val="a8"/>
          <w:rFonts w:ascii="楷体" w:eastAsia="楷体" w:hAnsi="楷体" w:hint="eastAsia"/>
          <w:b w:val="0"/>
          <w:bCs w:val="0"/>
          <w:spacing w:val="-4"/>
          <w:sz w:val="32"/>
          <w:szCs w:val="32"/>
        </w:rPr>
        <w:t>个社区社区经费、</w:t>
      </w:r>
      <w:r>
        <w:rPr>
          <w:rStyle w:val="a8"/>
          <w:rFonts w:ascii="楷体" w:eastAsia="楷体" w:hAnsi="楷体" w:hint="eastAsia"/>
          <w:b w:val="0"/>
          <w:bCs w:val="0"/>
          <w:spacing w:val="-4"/>
          <w:sz w:val="32"/>
          <w:szCs w:val="32"/>
        </w:rPr>
        <w:t>13</w:t>
      </w:r>
      <w:r>
        <w:rPr>
          <w:rStyle w:val="a8"/>
          <w:rFonts w:ascii="楷体" w:eastAsia="楷体" w:hAnsi="楷体" w:hint="eastAsia"/>
          <w:b w:val="0"/>
          <w:bCs w:val="0"/>
          <w:spacing w:val="-4"/>
          <w:sz w:val="32"/>
          <w:szCs w:val="32"/>
        </w:rPr>
        <w:t>个便民服务站工作经费等，有效地维持本单位工作正常运转，实现既定目标、完成预算支出。</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（二）存在的问题及原因分析</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消</w:t>
      </w:r>
      <w:r>
        <w:rPr>
          <w:rStyle w:val="a8"/>
          <w:rFonts w:ascii="楷体" w:eastAsia="楷体" w:hAnsi="楷体" w:hint="eastAsia"/>
          <w:b w:val="0"/>
          <w:bCs w:val="0"/>
          <w:spacing w:val="-4"/>
          <w:sz w:val="32"/>
          <w:szCs w:val="32"/>
        </w:rPr>
        <w:t>化</w:t>
      </w:r>
      <w:r>
        <w:rPr>
          <w:rStyle w:val="a8"/>
          <w:rFonts w:ascii="楷体" w:eastAsia="楷体" w:hAnsi="楷体" w:hint="eastAsia"/>
          <w:b w:val="0"/>
          <w:bCs w:val="0"/>
          <w:spacing w:val="-4"/>
          <w:sz w:val="32"/>
          <w:szCs w:val="32"/>
        </w:rPr>
        <w:t>2022</w:t>
      </w:r>
      <w:r>
        <w:rPr>
          <w:rStyle w:val="a8"/>
          <w:rFonts w:ascii="楷体" w:eastAsia="楷体" w:hAnsi="楷体" w:hint="eastAsia"/>
          <w:b w:val="0"/>
          <w:bCs w:val="0"/>
          <w:spacing w:val="-4"/>
          <w:sz w:val="32"/>
          <w:szCs w:val="32"/>
        </w:rPr>
        <w:t>年暂付款项主要以区级财政投入为主，当前全区重点工作和建设任务较多，区级财政资金压力日益增大。还需要完善内部控制体系建设，建立项目的绩效跟踪机制，对项目执行进情况行督促落实，确保财政资金发挥最大效益。</w:t>
      </w:r>
    </w:p>
    <w:p w14:paraId="391BFB09" w14:textId="21B51445"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六、有关建议</w:t>
      </w:r>
    </w:p>
    <w:p w14:paraId="017A5A3F" w14:textId="77777777" w:rsidR="000048AA" w:rsidRDefault="008559F9">
      <w:pPr>
        <w:spacing w:line="540" w:lineRule="exact"/>
        <w:ind w:firstLine="567"/>
        <w:rPr>
          <w:rStyle w:val="a8"/>
          <w:rFonts w:ascii="楷体" w:eastAsia="楷体" w:hAnsi="楷体"/>
          <w:spacing w:val="-4"/>
          <w:sz w:val="32"/>
          <w:szCs w:val="32"/>
        </w:rPr>
      </w:pPr>
      <w:r>
        <w:rPr>
          <w:rStyle w:val="a8"/>
          <w:rFonts w:ascii="楷体" w:eastAsia="楷体" w:hAnsi="楷体" w:hint="eastAsia"/>
          <w:b w:val="0"/>
          <w:bCs w:val="0"/>
          <w:spacing w:val="-4"/>
          <w:sz w:val="32"/>
          <w:szCs w:val="32"/>
        </w:rPr>
        <w:t>绩效目标贯穿项目实施的整个周期，指导着项目的发展方向：绩效指标是绩效目标的具体化对项目实施的各个阶段起着考核、监督、引导的作用。我单位在以后年度财政项目绩效目标申报工作中将结合项目实施内容及特点，设定项目总目标、年度绩效目标及绩效指标，形成项目有目标、工作有计划、绩效可量化、考核有依据的</w:t>
      </w:r>
      <w:r>
        <w:rPr>
          <w:rStyle w:val="a8"/>
          <w:rFonts w:ascii="楷体" w:eastAsia="楷体" w:hAnsi="楷体" w:hint="eastAsia"/>
          <w:b w:val="0"/>
          <w:bCs w:val="0"/>
          <w:spacing w:val="-4"/>
          <w:sz w:val="32"/>
          <w:szCs w:val="32"/>
        </w:rPr>
        <w:t>计划自标管理机制，便于有效考核执行效果。</w:t>
      </w:r>
    </w:p>
    <w:p w14:paraId="4DE4CB6C" w14:textId="75B864F1" w:rsidR="000048AA" w:rsidRDefault="003A1721">
      <w:pPr>
        <w:spacing w:line="540" w:lineRule="exact"/>
        <w:ind w:firstLine="640"/>
        <w:rPr>
          <w:rStyle w:val="a8"/>
          <w:rFonts w:ascii="黑体" w:eastAsia="黑体" w:hAnsi="黑体"/>
          <w:b w:val="0"/>
          <w:spacing w:val="-4"/>
          <w:sz w:val="32"/>
          <w:szCs w:val="32"/>
        </w:rPr>
      </w:pPr>
      <w:r>
        <w:rPr>
          <w:rStyle w:val="a8"/>
          <w:rFonts w:ascii="黑体" w:eastAsia="黑体" w:hAnsi="黑体" w:hint="eastAsia"/>
          <w:b w:val="0"/>
          <w:spacing w:val="-4"/>
          <w:sz w:val="32"/>
          <w:szCs w:val="32"/>
        </w:rPr>
        <w:t>七、其他需要说明的问题</w:t>
      </w:r>
    </w:p>
    <w:p w14:paraId="5D5CD257" w14:textId="77777777" w:rsidR="000048AA" w:rsidRDefault="008559F9">
      <w:pPr>
        <w:spacing w:line="540" w:lineRule="exact"/>
        <w:ind w:firstLine="567"/>
        <w:rPr>
          <w:rStyle w:val="a8"/>
          <w:rFonts w:ascii="楷体" w:eastAsia="楷体" w:hAnsi="楷体"/>
          <w:b w:val="0"/>
          <w:bCs w:val="0"/>
          <w:spacing w:val="-4"/>
          <w:sz w:val="32"/>
          <w:szCs w:val="32"/>
        </w:rPr>
      </w:pPr>
      <w:r>
        <w:rPr>
          <w:rStyle w:val="a8"/>
          <w:rFonts w:ascii="楷体" w:eastAsia="楷体" w:hAnsi="楷体" w:hint="eastAsia"/>
          <w:b w:val="0"/>
          <w:bCs w:val="0"/>
          <w:spacing w:val="-4"/>
          <w:sz w:val="32"/>
          <w:szCs w:val="32"/>
        </w:rPr>
        <w:t>（一）项目支出政策和路径设计科学，符合实际需要；</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（二）项目安排准确，未发现背离项目立项初衷的情况；</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（三）项目的申报、审核机制完善；</w:t>
      </w:r>
      <w:r>
        <w:rPr>
          <w:rStyle w:val="a8"/>
          <w:rFonts w:ascii="楷体" w:eastAsia="楷体" w:hAnsi="楷体" w:hint="eastAsia"/>
          <w:b w:val="0"/>
          <w:bCs w:val="0"/>
          <w:spacing w:val="-4"/>
          <w:sz w:val="32"/>
          <w:szCs w:val="32"/>
        </w:rPr>
        <w:br/>
      </w:r>
      <w:r>
        <w:rPr>
          <w:rStyle w:val="a8"/>
          <w:rFonts w:ascii="楷体" w:eastAsia="楷体" w:hAnsi="楷体" w:hint="eastAsia"/>
          <w:b w:val="0"/>
          <w:bCs w:val="0"/>
          <w:spacing w:val="-4"/>
          <w:sz w:val="32"/>
          <w:szCs w:val="32"/>
        </w:rPr>
        <w:t>（四）未发现虚假行为和骗取财政资金的问题。</w:t>
      </w:r>
    </w:p>
    <w:p w14:paraId="4CFE2C52" w14:textId="77777777" w:rsidR="000048AA" w:rsidRDefault="000048AA">
      <w:pPr>
        <w:spacing w:line="540" w:lineRule="exact"/>
        <w:ind w:firstLine="567"/>
        <w:rPr>
          <w:rStyle w:val="a8"/>
          <w:rFonts w:ascii="仿宋" w:eastAsia="仿宋" w:hAnsi="仿宋"/>
          <w:b w:val="0"/>
          <w:spacing w:val="-4"/>
          <w:sz w:val="32"/>
          <w:szCs w:val="32"/>
        </w:rPr>
      </w:pPr>
    </w:p>
    <w:p w14:paraId="4DF72206" w14:textId="77777777" w:rsidR="000048AA" w:rsidRDefault="000048AA">
      <w:pPr>
        <w:spacing w:line="540" w:lineRule="exact"/>
        <w:ind w:firstLine="567"/>
        <w:rPr>
          <w:rStyle w:val="a8"/>
          <w:rFonts w:ascii="仿宋" w:eastAsia="仿宋" w:hAnsi="仿宋"/>
          <w:b w:val="0"/>
          <w:spacing w:val="-4"/>
          <w:sz w:val="32"/>
          <w:szCs w:val="32"/>
        </w:rPr>
      </w:pPr>
    </w:p>
    <w:p w14:paraId="1CE13106" w14:textId="77777777" w:rsidR="000048AA" w:rsidRDefault="000048AA">
      <w:pPr>
        <w:spacing w:line="540" w:lineRule="exact"/>
        <w:ind w:firstLine="567"/>
        <w:rPr>
          <w:rStyle w:val="a8"/>
          <w:rFonts w:ascii="仿宋" w:eastAsia="仿宋" w:hAnsi="仿宋"/>
          <w:b w:val="0"/>
          <w:spacing w:val="-4"/>
          <w:sz w:val="32"/>
          <w:szCs w:val="32"/>
        </w:rPr>
      </w:pPr>
    </w:p>
    <w:p w14:paraId="06227BCA" w14:textId="77777777" w:rsidR="000048AA" w:rsidRDefault="000048AA">
      <w:pPr>
        <w:spacing w:line="540" w:lineRule="exact"/>
        <w:ind w:firstLine="567"/>
        <w:rPr>
          <w:rStyle w:val="a8"/>
          <w:rFonts w:ascii="仿宋" w:eastAsia="仿宋" w:hAnsi="仿宋"/>
          <w:b w:val="0"/>
          <w:spacing w:val="-4"/>
          <w:sz w:val="32"/>
          <w:szCs w:val="32"/>
        </w:rPr>
      </w:pPr>
    </w:p>
    <w:p w14:paraId="73F3A83B" w14:textId="77777777" w:rsidR="000048AA" w:rsidRDefault="000048AA">
      <w:pPr>
        <w:spacing w:line="540" w:lineRule="exact"/>
        <w:ind w:firstLine="567"/>
        <w:rPr>
          <w:rStyle w:val="a8"/>
          <w:rFonts w:ascii="仿宋" w:eastAsia="仿宋" w:hAnsi="仿宋"/>
          <w:b w:val="0"/>
          <w:spacing w:val="-4"/>
          <w:sz w:val="32"/>
          <w:szCs w:val="32"/>
        </w:rPr>
      </w:pPr>
    </w:p>
    <w:sectPr w:rsidR="000048AA">
      <w:footerReference w:type="default" r:id="rId8"/>
      <w:pgSz w:w="11906" w:h="16838"/>
      <w:pgMar w:top="1440" w:right="1558" w:bottom="1440" w:left="1757"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54C2DB54" w14:textId="77777777" w:rsidR="008559F9" w:rsidRDefault="008559F9">
      <w:r>
        <w:separator/>
      </w:r>
    </w:p>
  </w:endnote>
  <w:endnote w:type="continuationSeparator" w:id="0">
    <w:p w14:paraId="0AA49534" w14:textId="77777777" w:rsidR="008559F9" w:rsidRDefault="008559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仿宋">
    <w:panose1 w:val="02010609060101010101"/>
    <w:charset w:val="86"/>
    <w:family w:val="modern"/>
    <w:pitch w:val="fixed"/>
    <w:sig w:usb0="800002BF" w:usb1="38CF7CFA" w:usb2="00000016" w:usb3="00000000" w:csb0="00040001" w:csb1="00000000"/>
  </w:font>
  <w:font w:name="华文中宋">
    <w:panose1 w:val="02010600040101010101"/>
    <w:charset w:val="86"/>
    <w:family w:val="auto"/>
    <w:pitch w:val="variable"/>
    <w:sig w:usb0="00000287" w:usb1="080F0000" w:usb2="00000010" w:usb3="00000000" w:csb0="0004009F" w:csb1="00000000"/>
  </w:font>
  <w:font w:name="方正小标宋_GBK">
    <w:altName w:val="微软雅黑"/>
    <w:charset w:val="86"/>
    <w:family w:val="script"/>
    <w:pitch w:val="default"/>
    <w:sig w:usb0="00000001" w:usb1="080E0000" w:usb2="00000000" w:usb3="00000000" w:csb0="00040000" w:csb1="00000000"/>
  </w:font>
  <w:font w:name="仿宋_GB2312">
    <w:altName w:val="仿宋"/>
    <w:charset w:val="86"/>
    <w:family w:val="modern"/>
    <w:pitch w:val="default"/>
    <w:sig w:usb0="00000001" w:usb1="080E0000" w:usb2="00000000" w:usb3="00000000" w:csb0="00040000" w:csb1="00000000"/>
  </w:font>
  <w:font w:name="楷体">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22003363"/>
    </w:sdtPr>
    <w:sdtEndPr/>
    <w:sdtContent>
      <w:p w14:paraId="24F5BCB1" w14:textId="77777777" w:rsidR="000048AA" w:rsidRDefault="008559F9">
        <w:pPr>
          <w:pStyle w:val="a4"/>
          <w:jc w:val="center"/>
        </w:pPr>
        <w:r>
          <w:fldChar w:fldCharType="begin"/>
        </w:r>
        <w:r>
          <w:instrText>PAGE   \* MERGEFORMAT</w:instrText>
        </w:r>
        <w:r>
          <w:fldChar w:fldCharType="separate"/>
        </w:r>
        <w:r w:rsidR="00EC25D7" w:rsidRPr="00EC25D7">
          <w:rPr>
            <w:noProof/>
            <w:lang w:val="zh-CN"/>
          </w:rPr>
          <w:t>1</w:t>
        </w:r>
        <w:r>
          <w:fldChar w:fldCharType="end"/>
        </w:r>
      </w:p>
    </w:sdtContent>
  </w:sdt>
  <w:p w14:paraId="0254A9D2" w14:textId="77777777" w:rsidR="000048AA" w:rsidRDefault="000048AA">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D6FC97E" w14:textId="77777777" w:rsidR="008559F9" w:rsidRDefault="008559F9">
      <w:r>
        <w:separator/>
      </w:r>
    </w:p>
  </w:footnote>
  <w:footnote w:type="continuationSeparator" w:id="0">
    <w:p w14:paraId="06D935BC" w14:textId="77777777" w:rsidR="008559F9" w:rsidRDefault="008559F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6457"/>
    <w:rsid w:val="000048AA"/>
    <w:rsid w:val="00056465"/>
    <w:rsid w:val="000B0B98"/>
    <w:rsid w:val="00102DFF"/>
    <w:rsid w:val="00121AE4"/>
    <w:rsid w:val="00146AAD"/>
    <w:rsid w:val="001B3A40"/>
    <w:rsid w:val="00291BC0"/>
    <w:rsid w:val="00311DBE"/>
    <w:rsid w:val="003A1721"/>
    <w:rsid w:val="004366A8"/>
    <w:rsid w:val="00491B24"/>
    <w:rsid w:val="00502BA7"/>
    <w:rsid w:val="005162F1"/>
    <w:rsid w:val="00535153"/>
    <w:rsid w:val="00554F82"/>
    <w:rsid w:val="0056390D"/>
    <w:rsid w:val="005719B0"/>
    <w:rsid w:val="005D10D6"/>
    <w:rsid w:val="007E3CE9"/>
    <w:rsid w:val="0083370B"/>
    <w:rsid w:val="008559F9"/>
    <w:rsid w:val="00855E3A"/>
    <w:rsid w:val="0091457F"/>
    <w:rsid w:val="00922CB9"/>
    <w:rsid w:val="009C229E"/>
    <w:rsid w:val="009E5CD9"/>
    <w:rsid w:val="00A26421"/>
    <w:rsid w:val="00A34588"/>
    <w:rsid w:val="00A4293B"/>
    <w:rsid w:val="00A67D50"/>
    <w:rsid w:val="00A8691A"/>
    <w:rsid w:val="00AC1946"/>
    <w:rsid w:val="00B40063"/>
    <w:rsid w:val="00B41F61"/>
    <w:rsid w:val="00BA46E6"/>
    <w:rsid w:val="00C55C32"/>
    <w:rsid w:val="00C56C72"/>
    <w:rsid w:val="00CA6457"/>
    <w:rsid w:val="00CE2FD9"/>
    <w:rsid w:val="00D17F2E"/>
    <w:rsid w:val="00D30354"/>
    <w:rsid w:val="00DF42A0"/>
    <w:rsid w:val="00E30E91"/>
    <w:rsid w:val="00E769FE"/>
    <w:rsid w:val="00EA2CBE"/>
    <w:rsid w:val="00EC25D7"/>
    <w:rsid w:val="00F32FEE"/>
    <w:rsid w:val="00FB10BB"/>
    <w:rsid w:val="07261865"/>
    <w:rsid w:val="0856517C"/>
    <w:rsid w:val="0BFB189F"/>
    <w:rsid w:val="11BD75F7"/>
    <w:rsid w:val="13BE561A"/>
    <w:rsid w:val="15392994"/>
    <w:rsid w:val="18FE139B"/>
    <w:rsid w:val="2A891760"/>
    <w:rsid w:val="3029612C"/>
    <w:rsid w:val="32A221C5"/>
    <w:rsid w:val="33F20F2A"/>
    <w:rsid w:val="34C44675"/>
    <w:rsid w:val="3B5B5607"/>
    <w:rsid w:val="3CE21B3C"/>
    <w:rsid w:val="4D2606A1"/>
    <w:rsid w:val="51830480"/>
    <w:rsid w:val="53A616BE"/>
    <w:rsid w:val="54662BFB"/>
    <w:rsid w:val="62051CA5"/>
    <w:rsid w:val="6C3A69EF"/>
    <w:rsid w:val="7DB128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52F5C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uiPriority="35"/>
    <w:lsdException w:name="Title" w:semiHidden="0" w:uiPriority="10" w:unhideWhenUsed="0" w:qFormat="1"/>
    <w:lsdException w:name="Default Paragraph Font" w:uiPriority="1" w:qFormat="1"/>
    <w:lsdException w:name="Subtitle" w:semiHidden="0" w:uiPriority="11" w:unhideWhenUsed="0" w:qFormat="1"/>
    <w:lsdException w:name="Strong" w:semiHidden="0" w:uiPriority="0" w:unhideWhenUsed="0" w:qFormat="1"/>
    <w:lsdException w:name="Emphasis" w:semiHidden="0" w:uiPriority="20" w:unhideWhenUsed="0" w:qFormat="1"/>
    <w:lsdException w:name="Normal Table" w:qFormat="1"/>
    <w:lsdException w:name="Balloon Text"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rFonts w:ascii="Times New Roman" w:eastAsia="宋体" w:hAnsi="Times New Roman"/>
      <w:kern w:val="2"/>
      <w:sz w:val="21"/>
      <w:szCs w:val="24"/>
    </w:rPr>
  </w:style>
  <w:style w:type="paragraph" w:styleId="1">
    <w:name w:val="heading 1"/>
    <w:basedOn w:val="a"/>
    <w:next w:val="a"/>
    <w:link w:val="1Char"/>
    <w:uiPriority w:val="9"/>
    <w:qFormat/>
    <w:pPr>
      <w:keepNext/>
      <w:widowControl/>
      <w:spacing w:before="240" w:after="60"/>
      <w:jc w:val="left"/>
      <w:outlineLvl w:val="0"/>
    </w:pPr>
    <w:rPr>
      <w:rFonts w:asciiTheme="majorHAnsi" w:eastAsiaTheme="majorEastAsia" w:hAnsiTheme="majorHAnsi"/>
      <w:b/>
      <w:bCs/>
      <w:kern w:val="32"/>
      <w:sz w:val="32"/>
      <w:szCs w:val="32"/>
    </w:rPr>
  </w:style>
  <w:style w:type="paragraph" w:styleId="2">
    <w:name w:val="heading 2"/>
    <w:basedOn w:val="a"/>
    <w:next w:val="a"/>
    <w:link w:val="2Char"/>
    <w:uiPriority w:val="9"/>
    <w:semiHidden/>
    <w:unhideWhenUsed/>
    <w:qFormat/>
    <w:pPr>
      <w:keepNext/>
      <w:widowControl/>
      <w:spacing w:before="240" w:after="60"/>
      <w:jc w:val="left"/>
      <w:outlineLvl w:val="1"/>
    </w:pPr>
    <w:rPr>
      <w:rFonts w:asciiTheme="majorHAnsi" w:eastAsiaTheme="majorEastAsia" w:hAnsiTheme="majorHAnsi"/>
      <w:b/>
      <w:bCs/>
      <w:i/>
      <w:iCs/>
      <w:kern w:val="0"/>
      <w:sz w:val="28"/>
      <w:szCs w:val="28"/>
    </w:rPr>
  </w:style>
  <w:style w:type="paragraph" w:styleId="3">
    <w:name w:val="heading 3"/>
    <w:basedOn w:val="a"/>
    <w:next w:val="a"/>
    <w:link w:val="3Char"/>
    <w:uiPriority w:val="9"/>
    <w:semiHidden/>
    <w:unhideWhenUsed/>
    <w:qFormat/>
    <w:pPr>
      <w:keepNext/>
      <w:widowControl/>
      <w:spacing w:before="240" w:after="60"/>
      <w:jc w:val="left"/>
      <w:outlineLvl w:val="2"/>
    </w:pPr>
    <w:rPr>
      <w:rFonts w:asciiTheme="majorHAnsi" w:eastAsiaTheme="majorEastAsia" w:hAnsiTheme="majorHAnsi"/>
      <w:b/>
      <w:bCs/>
      <w:kern w:val="0"/>
      <w:sz w:val="26"/>
      <w:szCs w:val="26"/>
    </w:rPr>
  </w:style>
  <w:style w:type="paragraph" w:styleId="4">
    <w:name w:val="heading 4"/>
    <w:basedOn w:val="a"/>
    <w:next w:val="a"/>
    <w:link w:val="4Char"/>
    <w:uiPriority w:val="9"/>
    <w:semiHidden/>
    <w:unhideWhenUsed/>
    <w:qFormat/>
    <w:pPr>
      <w:keepNext/>
      <w:widowControl/>
      <w:spacing w:before="240" w:after="60"/>
      <w:jc w:val="left"/>
      <w:outlineLvl w:val="3"/>
    </w:pPr>
    <w:rPr>
      <w:rFonts w:asciiTheme="minorHAnsi" w:eastAsiaTheme="minorEastAsia" w:hAnsiTheme="minorHAnsi"/>
      <w:b/>
      <w:bCs/>
      <w:kern w:val="0"/>
      <w:sz w:val="28"/>
      <w:szCs w:val="28"/>
    </w:rPr>
  </w:style>
  <w:style w:type="paragraph" w:styleId="5">
    <w:name w:val="heading 5"/>
    <w:basedOn w:val="a"/>
    <w:next w:val="a"/>
    <w:link w:val="5Char"/>
    <w:uiPriority w:val="9"/>
    <w:semiHidden/>
    <w:unhideWhenUsed/>
    <w:qFormat/>
    <w:pPr>
      <w:widowControl/>
      <w:spacing w:before="240" w:after="60"/>
      <w:jc w:val="left"/>
      <w:outlineLvl w:val="4"/>
    </w:pPr>
    <w:rPr>
      <w:rFonts w:asciiTheme="minorHAnsi" w:eastAsiaTheme="minorEastAsia" w:hAnsiTheme="minorHAnsi"/>
      <w:b/>
      <w:bCs/>
      <w:i/>
      <w:iCs/>
      <w:kern w:val="0"/>
      <w:sz w:val="26"/>
      <w:szCs w:val="26"/>
    </w:rPr>
  </w:style>
  <w:style w:type="paragraph" w:styleId="6">
    <w:name w:val="heading 6"/>
    <w:basedOn w:val="a"/>
    <w:next w:val="a"/>
    <w:link w:val="6Char"/>
    <w:uiPriority w:val="9"/>
    <w:semiHidden/>
    <w:unhideWhenUsed/>
    <w:qFormat/>
    <w:pPr>
      <w:widowControl/>
      <w:spacing w:before="240" w:after="60"/>
      <w:jc w:val="left"/>
      <w:outlineLvl w:val="5"/>
    </w:pPr>
    <w:rPr>
      <w:rFonts w:asciiTheme="minorHAnsi" w:eastAsiaTheme="minorEastAsia" w:hAnsiTheme="minorHAnsi"/>
      <w:b/>
      <w:bCs/>
      <w:kern w:val="0"/>
      <w:sz w:val="22"/>
      <w:szCs w:val="22"/>
    </w:rPr>
  </w:style>
  <w:style w:type="paragraph" w:styleId="7">
    <w:name w:val="heading 7"/>
    <w:basedOn w:val="a"/>
    <w:next w:val="a"/>
    <w:link w:val="7Char"/>
    <w:uiPriority w:val="9"/>
    <w:semiHidden/>
    <w:unhideWhenUsed/>
    <w:qFormat/>
    <w:pPr>
      <w:widowControl/>
      <w:spacing w:before="240" w:after="60"/>
      <w:jc w:val="left"/>
      <w:outlineLvl w:val="6"/>
    </w:pPr>
    <w:rPr>
      <w:rFonts w:asciiTheme="minorHAnsi" w:eastAsiaTheme="minorEastAsia" w:hAnsiTheme="minorHAnsi"/>
      <w:kern w:val="0"/>
      <w:sz w:val="24"/>
    </w:rPr>
  </w:style>
  <w:style w:type="paragraph" w:styleId="8">
    <w:name w:val="heading 8"/>
    <w:basedOn w:val="a"/>
    <w:next w:val="a"/>
    <w:link w:val="8Char"/>
    <w:uiPriority w:val="9"/>
    <w:semiHidden/>
    <w:unhideWhenUsed/>
    <w:qFormat/>
    <w:pPr>
      <w:widowControl/>
      <w:spacing w:before="240" w:after="60"/>
      <w:jc w:val="left"/>
      <w:outlineLvl w:val="7"/>
    </w:pPr>
    <w:rPr>
      <w:rFonts w:asciiTheme="minorHAnsi" w:eastAsiaTheme="minorEastAsia" w:hAnsiTheme="minorHAnsi"/>
      <w:i/>
      <w:iCs/>
      <w:kern w:val="0"/>
      <w:sz w:val="24"/>
    </w:rPr>
  </w:style>
  <w:style w:type="paragraph" w:styleId="9">
    <w:name w:val="heading 9"/>
    <w:basedOn w:val="a"/>
    <w:next w:val="a"/>
    <w:link w:val="9Char"/>
    <w:uiPriority w:val="9"/>
    <w:semiHidden/>
    <w:unhideWhenUsed/>
    <w:qFormat/>
    <w:pPr>
      <w:widowControl/>
      <w:spacing w:before="240" w:after="60"/>
      <w:jc w:val="left"/>
      <w:outlineLvl w:val="8"/>
    </w:pPr>
    <w:rPr>
      <w:rFonts w:asciiTheme="majorHAnsi" w:eastAsiaTheme="majorEastAsia" w:hAnsiTheme="majorHAnsi"/>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Char"/>
    <w:uiPriority w:val="99"/>
    <w:semiHidden/>
    <w:unhideWhenUsed/>
    <w:qFormat/>
    <w:rPr>
      <w:sz w:val="18"/>
      <w:szCs w:val="18"/>
    </w:rPr>
  </w:style>
  <w:style w:type="paragraph" w:styleId="a4">
    <w:name w:val="footer"/>
    <w:basedOn w:val="a"/>
    <w:link w:val="Char0"/>
    <w:uiPriority w:val="99"/>
    <w:unhideWhenUsed/>
    <w:qFormat/>
    <w:pPr>
      <w:tabs>
        <w:tab w:val="center" w:pos="4153"/>
        <w:tab w:val="right" w:pos="8306"/>
      </w:tabs>
      <w:snapToGrid w:val="0"/>
      <w:jc w:val="left"/>
    </w:pPr>
    <w:rPr>
      <w:rFonts w:ascii="Calibri" w:hAnsi="Calibri"/>
      <w:sz w:val="18"/>
      <w:szCs w:val="18"/>
    </w:rPr>
  </w:style>
  <w:style w:type="paragraph" w:styleId="a5">
    <w:name w:val="header"/>
    <w:basedOn w:val="a"/>
    <w:link w:val="Char1"/>
    <w:uiPriority w:val="99"/>
    <w:unhideWhenUsed/>
    <w:qFormat/>
    <w:pPr>
      <w:pBdr>
        <w:bottom w:val="single" w:sz="6" w:space="1" w:color="auto"/>
      </w:pBdr>
      <w:tabs>
        <w:tab w:val="center" w:pos="4153"/>
        <w:tab w:val="right" w:pos="8306"/>
      </w:tabs>
      <w:snapToGrid w:val="0"/>
      <w:jc w:val="center"/>
    </w:pPr>
    <w:rPr>
      <w:rFonts w:ascii="Calibri" w:hAnsi="Calibri"/>
      <w:sz w:val="18"/>
      <w:szCs w:val="18"/>
    </w:rPr>
  </w:style>
  <w:style w:type="paragraph" w:styleId="a6">
    <w:name w:val="Subtitle"/>
    <w:basedOn w:val="a"/>
    <w:next w:val="a"/>
    <w:link w:val="Char2"/>
    <w:uiPriority w:val="11"/>
    <w:qFormat/>
    <w:pPr>
      <w:widowControl/>
      <w:spacing w:after="60"/>
      <w:jc w:val="center"/>
      <w:outlineLvl w:val="1"/>
    </w:pPr>
    <w:rPr>
      <w:rFonts w:asciiTheme="majorHAnsi" w:eastAsiaTheme="majorEastAsia" w:hAnsiTheme="majorHAnsi"/>
      <w:kern w:val="0"/>
      <w:sz w:val="24"/>
    </w:rPr>
  </w:style>
  <w:style w:type="paragraph" w:styleId="a7">
    <w:name w:val="Title"/>
    <w:basedOn w:val="a"/>
    <w:next w:val="a"/>
    <w:link w:val="Char3"/>
    <w:uiPriority w:val="10"/>
    <w:qFormat/>
    <w:pPr>
      <w:widowControl/>
      <w:spacing w:before="240" w:after="60"/>
      <w:jc w:val="center"/>
      <w:outlineLvl w:val="0"/>
    </w:pPr>
    <w:rPr>
      <w:rFonts w:asciiTheme="majorHAnsi" w:eastAsiaTheme="majorEastAsia" w:hAnsiTheme="majorHAnsi"/>
      <w:b/>
      <w:bCs/>
      <w:kern w:val="28"/>
      <w:sz w:val="32"/>
      <w:szCs w:val="32"/>
    </w:rPr>
  </w:style>
  <w:style w:type="character" w:styleId="a8">
    <w:name w:val="Strong"/>
    <w:basedOn w:val="a0"/>
    <w:qFormat/>
    <w:rPr>
      <w:b/>
      <w:bCs/>
    </w:rPr>
  </w:style>
  <w:style w:type="character" w:styleId="a9">
    <w:name w:val="Emphasis"/>
    <w:basedOn w:val="a0"/>
    <w:uiPriority w:val="20"/>
    <w:qFormat/>
    <w:rPr>
      <w:rFonts w:asciiTheme="minorHAnsi" w:hAnsiTheme="minorHAnsi"/>
      <w:b/>
      <w:i/>
      <w:iCs/>
    </w:rPr>
  </w:style>
  <w:style w:type="character" w:customStyle="1" w:styleId="1Char">
    <w:name w:val="标题 1 Char"/>
    <w:basedOn w:val="a0"/>
    <w:link w:val="1"/>
    <w:uiPriority w:val="9"/>
    <w:qFormat/>
    <w:rPr>
      <w:rFonts w:asciiTheme="majorHAnsi" w:eastAsiaTheme="majorEastAsia" w:hAnsiTheme="majorHAnsi"/>
      <w:b/>
      <w:bCs/>
      <w:kern w:val="32"/>
      <w:sz w:val="32"/>
      <w:szCs w:val="32"/>
    </w:rPr>
  </w:style>
  <w:style w:type="character" w:customStyle="1" w:styleId="2Char">
    <w:name w:val="标题 2 Char"/>
    <w:basedOn w:val="a0"/>
    <w:link w:val="2"/>
    <w:uiPriority w:val="9"/>
    <w:semiHidden/>
    <w:qFormat/>
    <w:rPr>
      <w:rFonts w:asciiTheme="majorHAnsi" w:eastAsiaTheme="majorEastAsia" w:hAnsiTheme="majorHAnsi"/>
      <w:b/>
      <w:bCs/>
      <w:i/>
      <w:iCs/>
      <w:sz w:val="28"/>
      <w:szCs w:val="28"/>
    </w:rPr>
  </w:style>
  <w:style w:type="character" w:customStyle="1" w:styleId="3Char">
    <w:name w:val="标题 3 Char"/>
    <w:basedOn w:val="a0"/>
    <w:link w:val="3"/>
    <w:uiPriority w:val="9"/>
    <w:semiHidden/>
    <w:qFormat/>
    <w:rPr>
      <w:rFonts w:asciiTheme="majorHAnsi" w:eastAsiaTheme="majorEastAsia" w:hAnsiTheme="majorHAnsi"/>
      <w:b/>
      <w:bCs/>
      <w:sz w:val="26"/>
      <w:szCs w:val="26"/>
    </w:rPr>
  </w:style>
  <w:style w:type="character" w:customStyle="1" w:styleId="4Char">
    <w:name w:val="标题 4 Char"/>
    <w:basedOn w:val="a0"/>
    <w:link w:val="4"/>
    <w:uiPriority w:val="9"/>
    <w:semiHidden/>
    <w:qFormat/>
    <w:rPr>
      <w:b/>
      <w:bCs/>
      <w:sz w:val="28"/>
      <w:szCs w:val="28"/>
    </w:rPr>
  </w:style>
  <w:style w:type="character" w:customStyle="1" w:styleId="5Char">
    <w:name w:val="标题 5 Char"/>
    <w:basedOn w:val="a0"/>
    <w:link w:val="5"/>
    <w:uiPriority w:val="9"/>
    <w:semiHidden/>
    <w:qFormat/>
    <w:rPr>
      <w:b/>
      <w:bCs/>
      <w:i/>
      <w:iCs/>
      <w:sz w:val="26"/>
      <w:szCs w:val="26"/>
    </w:rPr>
  </w:style>
  <w:style w:type="character" w:customStyle="1" w:styleId="6Char">
    <w:name w:val="标题 6 Char"/>
    <w:basedOn w:val="a0"/>
    <w:link w:val="6"/>
    <w:uiPriority w:val="9"/>
    <w:semiHidden/>
    <w:qFormat/>
    <w:rPr>
      <w:b/>
      <w:bCs/>
    </w:rPr>
  </w:style>
  <w:style w:type="character" w:customStyle="1" w:styleId="7Char">
    <w:name w:val="标题 7 Char"/>
    <w:basedOn w:val="a0"/>
    <w:link w:val="7"/>
    <w:uiPriority w:val="9"/>
    <w:semiHidden/>
    <w:qFormat/>
    <w:rPr>
      <w:sz w:val="24"/>
      <w:szCs w:val="24"/>
    </w:rPr>
  </w:style>
  <w:style w:type="character" w:customStyle="1" w:styleId="8Char">
    <w:name w:val="标题 8 Char"/>
    <w:basedOn w:val="a0"/>
    <w:link w:val="8"/>
    <w:uiPriority w:val="9"/>
    <w:semiHidden/>
    <w:qFormat/>
    <w:rPr>
      <w:i/>
      <w:iCs/>
      <w:sz w:val="24"/>
      <w:szCs w:val="24"/>
    </w:rPr>
  </w:style>
  <w:style w:type="character" w:customStyle="1" w:styleId="9Char">
    <w:name w:val="标题 9 Char"/>
    <w:basedOn w:val="a0"/>
    <w:link w:val="9"/>
    <w:uiPriority w:val="9"/>
    <w:semiHidden/>
    <w:qFormat/>
    <w:rPr>
      <w:rFonts w:asciiTheme="majorHAnsi" w:eastAsiaTheme="majorEastAsia" w:hAnsiTheme="majorHAnsi"/>
    </w:rPr>
  </w:style>
  <w:style w:type="character" w:customStyle="1" w:styleId="Char3">
    <w:name w:val="标题 Char"/>
    <w:basedOn w:val="a0"/>
    <w:link w:val="a7"/>
    <w:uiPriority w:val="10"/>
    <w:qFormat/>
    <w:rPr>
      <w:rFonts w:asciiTheme="majorHAnsi" w:eastAsiaTheme="majorEastAsia" w:hAnsiTheme="majorHAnsi"/>
      <w:b/>
      <w:bCs/>
      <w:kern w:val="28"/>
      <w:sz w:val="32"/>
      <w:szCs w:val="32"/>
    </w:rPr>
  </w:style>
  <w:style w:type="character" w:customStyle="1" w:styleId="Char2">
    <w:name w:val="副标题 Char"/>
    <w:basedOn w:val="a0"/>
    <w:link w:val="a6"/>
    <w:uiPriority w:val="11"/>
    <w:qFormat/>
    <w:rPr>
      <w:rFonts w:asciiTheme="majorHAnsi" w:eastAsiaTheme="majorEastAsia" w:hAnsiTheme="majorHAnsi"/>
      <w:sz w:val="24"/>
      <w:szCs w:val="24"/>
    </w:rPr>
  </w:style>
  <w:style w:type="paragraph" w:styleId="aa">
    <w:name w:val="No Spacing"/>
    <w:basedOn w:val="a"/>
    <w:uiPriority w:val="1"/>
    <w:qFormat/>
    <w:pPr>
      <w:widowControl/>
      <w:jc w:val="left"/>
    </w:pPr>
    <w:rPr>
      <w:rFonts w:asciiTheme="minorHAnsi" w:eastAsiaTheme="minorEastAsia" w:hAnsiTheme="minorHAnsi"/>
      <w:kern w:val="0"/>
      <w:sz w:val="24"/>
      <w:szCs w:val="32"/>
      <w:lang w:eastAsia="en-US" w:bidi="en-US"/>
    </w:rPr>
  </w:style>
  <w:style w:type="paragraph" w:styleId="ab">
    <w:name w:val="List Paragraph"/>
    <w:basedOn w:val="a"/>
    <w:uiPriority w:val="34"/>
    <w:qFormat/>
    <w:pPr>
      <w:widowControl/>
      <w:ind w:left="720"/>
      <w:contextualSpacing/>
      <w:jc w:val="left"/>
    </w:pPr>
    <w:rPr>
      <w:rFonts w:asciiTheme="minorHAnsi" w:eastAsiaTheme="minorEastAsia" w:hAnsiTheme="minorHAnsi"/>
      <w:kern w:val="0"/>
      <w:sz w:val="24"/>
      <w:lang w:eastAsia="en-US" w:bidi="en-US"/>
    </w:rPr>
  </w:style>
  <w:style w:type="paragraph" w:styleId="ac">
    <w:name w:val="Quote"/>
    <w:basedOn w:val="a"/>
    <w:next w:val="a"/>
    <w:link w:val="Char4"/>
    <w:uiPriority w:val="29"/>
    <w:qFormat/>
    <w:pPr>
      <w:widowControl/>
      <w:jc w:val="left"/>
    </w:pPr>
    <w:rPr>
      <w:rFonts w:asciiTheme="minorHAnsi" w:eastAsiaTheme="minorEastAsia" w:hAnsiTheme="minorHAnsi"/>
      <w:i/>
      <w:kern w:val="0"/>
      <w:sz w:val="24"/>
    </w:rPr>
  </w:style>
  <w:style w:type="character" w:customStyle="1" w:styleId="Char4">
    <w:name w:val="引用 Char"/>
    <w:basedOn w:val="a0"/>
    <w:link w:val="ac"/>
    <w:uiPriority w:val="29"/>
    <w:qFormat/>
    <w:rPr>
      <w:i/>
      <w:sz w:val="24"/>
      <w:szCs w:val="24"/>
    </w:rPr>
  </w:style>
  <w:style w:type="paragraph" w:styleId="ad">
    <w:name w:val="Intense Quote"/>
    <w:basedOn w:val="a"/>
    <w:next w:val="a"/>
    <w:link w:val="Char5"/>
    <w:uiPriority w:val="30"/>
    <w:qFormat/>
    <w:pPr>
      <w:widowControl/>
      <w:ind w:left="720" w:right="720"/>
      <w:jc w:val="left"/>
    </w:pPr>
    <w:rPr>
      <w:rFonts w:asciiTheme="minorHAnsi" w:eastAsiaTheme="minorEastAsia" w:hAnsiTheme="minorHAnsi"/>
      <w:b/>
      <w:i/>
      <w:kern w:val="0"/>
      <w:sz w:val="24"/>
      <w:szCs w:val="22"/>
    </w:rPr>
  </w:style>
  <w:style w:type="character" w:customStyle="1" w:styleId="Char5">
    <w:name w:val="明显引用 Char"/>
    <w:basedOn w:val="a0"/>
    <w:link w:val="ad"/>
    <w:uiPriority w:val="30"/>
    <w:qFormat/>
    <w:rPr>
      <w:b/>
      <w:i/>
      <w:sz w:val="24"/>
    </w:rPr>
  </w:style>
  <w:style w:type="character" w:customStyle="1" w:styleId="10">
    <w:name w:val="不明显强调1"/>
    <w:uiPriority w:val="19"/>
    <w:qFormat/>
    <w:rPr>
      <w:i/>
      <w:color w:val="595959" w:themeColor="text1" w:themeTint="A6"/>
    </w:rPr>
  </w:style>
  <w:style w:type="character" w:customStyle="1" w:styleId="11">
    <w:name w:val="明显强调1"/>
    <w:basedOn w:val="a0"/>
    <w:uiPriority w:val="21"/>
    <w:qFormat/>
    <w:rPr>
      <w:b/>
      <w:i/>
      <w:sz w:val="24"/>
      <w:szCs w:val="24"/>
      <w:u w:val="single"/>
    </w:rPr>
  </w:style>
  <w:style w:type="character" w:customStyle="1" w:styleId="12">
    <w:name w:val="不明显参考1"/>
    <w:basedOn w:val="a0"/>
    <w:uiPriority w:val="31"/>
    <w:qFormat/>
    <w:rPr>
      <w:sz w:val="24"/>
      <w:szCs w:val="24"/>
      <w:u w:val="single"/>
    </w:rPr>
  </w:style>
  <w:style w:type="character" w:customStyle="1" w:styleId="13">
    <w:name w:val="明显参考1"/>
    <w:basedOn w:val="a0"/>
    <w:uiPriority w:val="32"/>
    <w:qFormat/>
    <w:rPr>
      <w:b/>
      <w:sz w:val="24"/>
      <w:u w:val="single"/>
    </w:rPr>
  </w:style>
  <w:style w:type="character" w:customStyle="1" w:styleId="14">
    <w:name w:val="书籍标题1"/>
    <w:basedOn w:val="a0"/>
    <w:uiPriority w:val="33"/>
    <w:qFormat/>
    <w:rPr>
      <w:rFonts w:asciiTheme="majorHAnsi" w:eastAsiaTheme="majorEastAsia" w:hAnsiTheme="majorHAnsi"/>
      <w:b/>
      <w:i/>
      <w:sz w:val="24"/>
      <w:szCs w:val="24"/>
    </w:rPr>
  </w:style>
  <w:style w:type="paragraph" w:customStyle="1" w:styleId="TOC1">
    <w:name w:val="TOC 标题1"/>
    <w:basedOn w:val="1"/>
    <w:next w:val="a"/>
    <w:uiPriority w:val="39"/>
    <w:semiHidden/>
    <w:unhideWhenUsed/>
    <w:qFormat/>
    <w:pPr>
      <w:outlineLvl w:val="9"/>
    </w:pPr>
    <w:rPr>
      <w:lang w:eastAsia="en-US" w:bidi="en-US"/>
    </w:rPr>
  </w:style>
  <w:style w:type="character" w:customStyle="1" w:styleId="Char1">
    <w:name w:val="页眉 Char"/>
    <w:basedOn w:val="a0"/>
    <w:link w:val="a5"/>
    <w:uiPriority w:val="99"/>
    <w:qFormat/>
    <w:rPr>
      <w:rFonts w:ascii="Calibri" w:eastAsia="宋体" w:hAnsi="Calibri"/>
      <w:kern w:val="2"/>
      <w:sz w:val="18"/>
      <w:szCs w:val="18"/>
    </w:rPr>
  </w:style>
  <w:style w:type="character" w:customStyle="1" w:styleId="Char0">
    <w:name w:val="页脚 Char"/>
    <w:basedOn w:val="a0"/>
    <w:link w:val="a4"/>
    <w:uiPriority w:val="99"/>
    <w:rPr>
      <w:rFonts w:ascii="Calibri" w:eastAsia="宋体" w:hAnsi="Calibri"/>
      <w:kern w:val="2"/>
      <w:sz w:val="18"/>
      <w:szCs w:val="18"/>
    </w:rPr>
  </w:style>
  <w:style w:type="character" w:customStyle="1" w:styleId="Char">
    <w:name w:val="批注框文本 Char"/>
    <w:basedOn w:val="a0"/>
    <w:link w:val="a3"/>
    <w:uiPriority w:val="99"/>
    <w:semiHidden/>
    <w:qFormat/>
    <w:rPr>
      <w:rFonts w:ascii="Times New Roman" w:eastAsia="宋体" w:hAnsi="Times New Roman"/>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2196</Words>
  <Characters>12518</Characters>
  <Application>Microsoft Office Word</Application>
  <DocSecurity>0</DocSecurity>
  <Lines>104</Lines>
  <Paragraphs>29</Paragraphs>
  <ScaleCrop>false</ScaleCrop>
  <Company>Microsoft</Company>
  <LinksUpToDate>false</LinksUpToDate>
  <CharactersWithSpaces>14685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赵 恺（预算处）</dc:creator>
  <cp:lastModifiedBy>Windows</cp:lastModifiedBy>
  <cp:revision>2</cp:revision>
  <cp:lastPrinted>2018-12-31T10:56:00Z</cp:lastPrinted>
  <dcterms:created xsi:type="dcterms:W3CDTF">2024-09-18T03:16:00Z</dcterms:created>
  <dcterms:modified xsi:type="dcterms:W3CDTF">2024-09-18T03:16:00Z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C734C92AAAF24344A0E4232D8EB3359B</vt:lpwstr>
  </property>
</Properties>
</file>