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AA" w:rsidRDefault="0088623F">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88623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48AA" w:rsidRDefault="000048AA">
      <w:pPr>
        <w:spacing w:line="540" w:lineRule="exact"/>
        <w:jc w:val="center"/>
        <w:rPr>
          <w:rFonts w:ascii="华文中宋" w:eastAsia="华文中宋" w:hAnsi="华文中宋" w:cs="宋体"/>
          <w:b/>
          <w:kern w:val="0"/>
          <w:sz w:val="52"/>
          <w:szCs w:val="52"/>
        </w:rPr>
      </w:pPr>
    </w:p>
    <w:p w:rsidR="000048AA" w:rsidRDefault="0088623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2023</w:t>
      </w:r>
      <w:r>
        <w:rPr>
          <w:rFonts w:eastAsia="仿宋_GB2312" w:hAnsi="宋体" w:cs="宋体" w:hint="eastAsia"/>
          <w:kern w:val="0"/>
          <w:sz w:val="36"/>
          <w:szCs w:val="36"/>
        </w:rPr>
        <w:t>年度）</w:t>
      </w: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rPr>
          <w:rFonts w:eastAsia="仿宋_GB2312" w:hAnsi="宋体" w:cs="宋体"/>
          <w:kern w:val="0"/>
          <w:sz w:val="30"/>
          <w:szCs w:val="30"/>
        </w:rPr>
      </w:pPr>
    </w:p>
    <w:p w:rsidR="000048AA" w:rsidRDefault="000048AA">
      <w:pPr>
        <w:spacing w:line="700" w:lineRule="exact"/>
        <w:jc w:val="left"/>
        <w:rPr>
          <w:rFonts w:eastAsia="仿宋_GB2312" w:hAnsi="宋体" w:cs="宋体"/>
          <w:kern w:val="0"/>
          <w:sz w:val="36"/>
          <w:szCs w:val="36"/>
        </w:rPr>
      </w:pPr>
    </w:p>
    <w:p w:rsidR="000048AA" w:rsidRDefault="0088623F">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消化</w:t>
      </w:r>
      <w:r>
        <w:rPr>
          <w:rStyle w:val="a8"/>
          <w:rFonts w:ascii="楷体" w:eastAsia="楷体" w:hAnsi="楷体" w:hint="eastAsia"/>
          <w:spacing w:val="-4"/>
          <w:sz w:val="32"/>
          <w:szCs w:val="32"/>
        </w:rPr>
        <w:t>2022</w:t>
      </w:r>
      <w:r>
        <w:rPr>
          <w:rStyle w:val="a8"/>
          <w:rFonts w:ascii="楷体" w:eastAsia="楷体" w:hAnsi="楷体" w:hint="eastAsia"/>
          <w:spacing w:val="-4"/>
          <w:sz w:val="32"/>
          <w:szCs w:val="32"/>
        </w:rPr>
        <w:t>年暂付款项</w:t>
      </w:r>
    </w:p>
    <w:p w:rsidR="000048AA" w:rsidRDefault="0088623F">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乌鲁木齐市水磨沟区振安街片区管理委员会</w:t>
      </w:r>
    </w:p>
    <w:p w:rsidR="000048AA" w:rsidRDefault="0088623F">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乌鲁木齐市水磨沟区振安街片区管理委员会</w:t>
      </w:r>
    </w:p>
    <w:p w:rsidR="000048AA" w:rsidRDefault="0088623F">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高歌</w:t>
      </w:r>
    </w:p>
    <w:p w:rsidR="000048AA" w:rsidRDefault="0088623F">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20</w:t>
      </w:r>
      <w:r>
        <w:rPr>
          <w:rStyle w:val="a8"/>
          <w:rFonts w:ascii="楷体" w:eastAsia="楷体" w:hAnsi="楷体" w:hint="eastAsia"/>
          <w:spacing w:val="-4"/>
          <w:sz w:val="32"/>
          <w:szCs w:val="32"/>
        </w:rPr>
        <w:t>日</w:t>
      </w:r>
    </w:p>
    <w:p w:rsidR="000048AA" w:rsidRDefault="000048AA">
      <w:pPr>
        <w:spacing w:line="700" w:lineRule="exact"/>
        <w:ind w:firstLineChars="236" w:firstLine="708"/>
        <w:jc w:val="left"/>
        <w:rPr>
          <w:rFonts w:eastAsia="仿宋_GB2312" w:hAnsi="宋体" w:cs="宋体"/>
          <w:kern w:val="0"/>
          <w:sz w:val="30"/>
          <w:szCs w:val="30"/>
        </w:rPr>
      </w:pPr>
    </w:p>
    <w:p w:rsidR="000048AA" w:rsidRDefault="000048AA">
      <w:pPr>
        <w:spacing w:line="540" w:lineRule="exact"/>
        <w:rPr>
          <w:rStyle w:val="a8"/>
          <w:rFonts w:ascii="黑体" w:eastAsia="黑体" w:hAnsi="黑体"/>
          <w:b w:val="0"/>
          <w:spacing w:val="-4"/>
          <w:sz w:val="32"/>
          <w:szCs w:val="32"/>
        </w:rPr>
      </w:pPr>
    </w:p>
    <w:p w:rsidR="000048AA" w:rsidRDefault="0088623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48AA" w:rsidRDefault="0088623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0048AA" w:rsidRDefault="0088623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该项目实施背景：根据根据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年水磨沟区第十七届人大三次会议审议批准</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年预算以及《关于下达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年水磨沟区部门预算的通知》（水财发【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号）文件精神和水磨沟区财政局下发关于消化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年新增暂付款项的通知，处理挂账问题，统筹财政资金，激活资金活力。我单位设立消化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项目主要实施内容：</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年暂付款项年初部部门预算</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万元，该项目主要用于</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个子项目社区经费、临聘人员经费、便民警务站运行经费、社区食堂补助经费、工作经费、封闭化岗亭人员经费、便民服务站人员伙食费。</w:t>
      </w:r>
      <w:r>
        <w:rPr>
          <w:rStyle w:val="a8"/>
          <w:rFonts w:ascii="楷体" w:eastAsia="楷体" w:hAnsi="楷体" w:hint="eastAsia"/>
          <w:b w:val="0"/>
          <w:bCs w:val="0"/>
          <w:spacing w:val="-4"/>
          <w:sz w:val="32"/>
          <w:szCs w:val="32"/>
        </w:rPr>
        <w:t>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年暂付款项资金均在以暂付款支付完毕。</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年当年完成情况，实际完成情况为：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月按照区财政局要求完成</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年新增消化暂付款调账工作，包括</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个子项目共支出</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。主要用于发放①临聘人员经费，通过按时发放临聘人员工资及缴纳社保，可以激励临聘人员更好地投入工作，提高其工作效率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②便民服务站人员伙食费，主要用于支付配餐公司为便民服务站工作人员每天早中晚三餐餐费，从而提高他们的工作效率和生活质量；③便民服务站运行经费，通过资金保障，有利于提高服务站工作效率，提升服</w:t>
      </w:r>
      <w:r>
        <w:rPr>
          <w:rStyle w:val="a8"/>
          <w:rFonts w:ascii="楷体" w:eastAsia="楷体" w:hAnsi="楷体" w:hint="eastAsia"/>
          <w:b w:val="0"/>
          <w:bCs w:val="0"/>
          <w:spacing w:val="-4"/>
          <w:sz w:val="32"/>
          <w:szCs w:val="32"/>
        </w:rPr>
        <w:t>务质量；④社区食堂伙食费保障了食堂正常运转，通过建立良好的后勤保障，确保伙食供应，使工作人员能够更好地为辖区居民做</w:t>
      </w:r>
      <w:r>
        <w:rPr>
          <w:rStyle w:val="a8"/>
          <w:rFonts w:ascii="楷体" w:eastAsia="楷体" w:hAnsi="楷体" w:hint="eastAsia"/>
          <w:b w:val="0"/>
          <w:bCs w:val="0"/>
          <w:spacing w:val="-4"/>
          <w:sz w:val="32"/>
          <w:szCs w:val="32"/>
        </w:rPr>
        <w:lastRenderedPageBreak/>
        <w:t>好服务工作；⑤社区经费，通过经费保障社区日常运转，如办公、水、电、暖、车辆运转，维护稳定支出、民生支出等工作的正常开展；⑥封闭化岗亭人员经费，主要用于支付封闭化岗亭值守人员工资，保障工作人员的正常生活需求，提高工作积极性；⑦工作经费，通过工作经费的合理分配和使用，更好地提升了街道办事处的办公效率。根据振安街街道办事处实际情况，我单位严格按照预算执行进度并及时解决单位</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万元，激发工作人员热情，提升工作效率。</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该项目资金投入情况：经水财发【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号文件批准，项目系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年本级资金，共安排预算</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年年初部分预算批复项目，无年中资金调整情况。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该项目资金使用情况严格按照预算执行进度，消化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年暂付款项年初部部门预算</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万元，资金主要用于发放临聘人员经费</w:t>
      </w:r>
      <w:r>
        <w:rPr>
          <w:rStyle w:val="a8"/>
          <w:rFonts w:ascii="楷体" w:eastAsia="楷体" w:hAnsi="楷体" w:hint="eastAsia"/>
          <w:b w:val="0"/>
          <w:bCs w:val="0"/>
          <w:spacing w:val="-4"/>
          <w:sz w:val="32"/>
          <w:szCs w:val="32"/>
        </w:rPr>
        <w:t>6770119.49</w:t>
      </w:r>
      <w:r>
        <w:rPr>
          <w:rStyle w:val="a8"/>
          <w:rFonts w:ascii="楷体" w:eastAsia="楷体" w:hAnsi="楷体" w:hint="eastAsia"/>
          <w:b w:val="0"/>
          <w:bCs w:val="0"/>
          <w:spacing w:val="-4"/>
          <w:sz w:val="32"/>
          <w:szCs w:val="32"/>
        </w:rPr>
        <w:t>元，临聘人员经费（第三次）</w:t>
      </w:r>
      <w:r>
        <w:rPr>
          <w:rStyle w:val="a8"/>
          <w:rFonts w:ascii="楷体" w:eastAsia="楷体" w:hAnsi="楷体" w:hint="eastAsia"/>
          <w:b w:val="0"/>
          <w:bCs w:val="0"/>
          <w:spacing w:val="-4"/>
          <w:sz w:val="32"/>
          <w:szCs w:val="32"/>
        </w:rPr>
        <w:t>6602273.05</w:t>
      </w:r>
      <w:r>
        <w:rPr>
          <w:rStyle w:val="a8"/>
          <w:rFonts w:ascii="楷体" w:eastAsia="楷体" w:hAnsi="楷体" w:hint="eastAsia"/>
          <w:b w:val="0"/>
          <w:bCs w:val="0"/>
          <w:spacing w:val="-4"/>
          <w:sz w:val="32"/>
          <w:szCs w:val="32"/>
        </w:rPr>
        <w:t>元，临时聘用人员经费</w:t>
      </w:r>
      <w:r>
        <w:rPr>
          <w:rStyle w:val="a8"/>
          <w:rFonts w:ascii="楷体" w:eastAsia="楷体" w:hAnsi="楷体" w:hint="eastAsia"/>
          <w:b w:val="0"/>
          <w:bCs w:val="0"/>
          <w:spacing w:val="-4"/>
          <w:sz w:val="32"/>
          <w:szCs w:val="32"/>
        </w:rPr>
        <w:t>8192800</w:t>
      </w:r>
      <w:r>
        <w:rPr>
          <w:rStyle w:val="a8"/>
          <w:rFonts w:ascii="楷体" w:eastAsia="楷体" w:hAnsi="楷体" w:hint="eastAsia"/>
          <w:b w:val="0"/>
          <w:bCs w:val="0"/>
          <w:spacing w:val="-4"/>
          <w:sz w:val="32"/>
          <w:szCs w:val="32"/>
        </w:rPr>
        <w:t>元，便民警务站人员伙食费</w:t>
      </w:r>
      <w:r>
        <w:rPr>
          <w:rStyle w:val="a8"/>
          <w:rFonts w:ascii="楷体" w:eastAsia="楷体" w:hAnsi="楷体" w:hint="eastAsia"/>
          <w:b w:val="0"/>
          <w:bCs w:val="0"/>
          <w:spacing w:val="-4"/>
          <w:sz w:val="32"/>
          <w:szCs w:val="32"/>
        </w:rPr>
        <w:t>1730130</w:t>
      </w:r>
      <w:r>
        <w:rPr>
          <w:rStyle w:val="a8"/>
          <w:rFonts w:ascii="楷体" w:eastAsia="楷体" w:hAnsi="楷体" w:hint="eastAsia"/>
          <w:b w:val="0"/>
          <w:bCs w:val="0"/>
          <w:spacing w:val="-4"/>
          <w:sz w:val="32"/>
          <w:szCs w:val="32"/>
        </w:rPr>
        <w:t>元，便民服务站运</w:t>
      </w:r>
      <w:r>
        <w:rPr>
          <w:rStyle w:val="a8"/>
          <w:rFonts w:ascii="楷体" w:eastAsia="楷体" w:hAnsi="楷体" w:hint="eastAsia"/>
          <w:b w:val="0"/>
          <w:bCs w:val="0"/>
          <w:spacing w:val="-4"/>
          <w:sz w:val="32"/>
          <w:szCs w:val="32"/>
        </w:rPr>
        <w:t>行经费</w:t>
      </w:r>
      <w:r>
        <w:rPr>
          <w:rStyle w:val="a8"/>
          <w:rFonts w:ascii="楷体" w:eastAsia="楷体" w:hAnsi="楷体" w:hint="eastAsia"/>
          <w:b w:val="0"/>
          <w:bCs w:val="0"/>
          <w:spacing w:val="-4"/>
          <w:sz w:val="32"/>
          <w:szCs w:val="32"/>
        </w:rPr>
        <w:t>264358</w:t>
      </w:r>
      <w:r>
        <w:rPr>
          <w:rStyle w:val="a8"/>
          <w:rFonts w:ascii="楷体" w:eastAsia="楷体" w:hAnsi="楷体" w:hint="eastAsia"/>
          <w:b w:val="0"/>
          <w:bCs w:val="0"/>
          <w:spacing w:val="-4"/>
          <w:sz w:val="32"/>
          <w:szCs w:val="32"/>
        </w:rPr>
        <w:t>元，封闭岗亭人员经费</w:t>
      </w:r>
      <w:r>
        <w:rPr>
          <w:rStyle w:val="a8"/>
          <w:rFonts w:ascii="楷体" w:eastAsia="楷体" w:hAnsi="楷体" w:hint="eastAsia"/>
          <w:b w:val="0"/>
          <w:bCs w:val="0"/>
          <w:spacing w:val="-4"/>
          <w:sz w:val="32"/>
          <w:szCs w:val="32"/>
        </w:rPr>
        <w:t>699259.35</w:t>
      </w:r>
      <w:r>
        <w:rPr>
          <w:rStyle w:val="a8"/>
          <w:rFonts w:ascii="楷体" w:eastAsia="楷体" w:hAnsi="楷体" w:hint="eastAsia"/>
          <w:b w:val="0"/>
          <w:bCs w:val="0"/>
          <w:spacing w:val="-4"/>
          <w:sz w:val="32"/>
          <w:szCs w:val="32"/>
        </w:rPr>
        <w:t>元，工作经费</w:t>
      </w:r>
      <w:r>
        <w:rPr>
          <w:rStyle w:val="a8"/>
          <w:rFonts w:ascii="楷体" w:eastAsia="楷体" w:hAnsi="楷体" w:hint="eastAsia"/>
          <w:b w:val="0"/>
          <w:bCs w:val="0"/>
          <w:spacing w:val="-4"/>
          <w:sz w:val="32"/>
          <w:szCs w:val="32"/>
        </w:rPr>
        <w:t>643841</w:t>
      </w:r>
      <w:r>
        <w:rPr>
          <w:rStyle w:val="a8"/>
          <w:rFonts w:ascii="楷体" w:eastAsia="楷体" w:hAnsi="楷体" w:hint="eastAsia"/>
          <w:b w:val="0"/>
          <w:bCs w:val="0"/>
          <w:spacing w:val="-4"/>
          <w:sz w:val="32"/>
          <w:szCs w:val="32"/>
        </w:rPr>
        <w:t>元，社区经费</w:t>
      </w:r>
      <w:r>
        <w:rPr>
          <w:rStyle w:val="a8"/>
          <w:rFonts w:ascii="楷体" w:eastAsia="楷体" w:hAnsi="楷体" w:hint="eastAsia"/>
          <w:b w:val="0"/>
          <w:bCs w:val="0"/>
          <w:spacing w:val="-4"/>
          <w:sz w:val="32"/>
          <w:szCs w:val="32"/>
        </w:rPr>
        <w:t>2973708</w:t>
      </w:r>
      <w:r>
        <w:rPr>
          <w:rStyle w:val="a8"/>
          <w:rFonts w:ascii="楷体" w:eastAsia="楷体" w:hAnsi="楷体" w:hint="eastAsia"/>
          <w:b w:val="0"/>
          <w:bCs w:val="0"/>
          <w:spacing w:val="-4"/>
          <w:sz w:val="32"/>
          <w:szCs w:val="32"/>
        </w:rPr>
        <w:t>元，社区食堂补助经费</w:t>
      </w:r>
      <w:r>
        <w:rPr>
          <w:rStyle w:val="a8"/>
          <w:rFonts w:ascii="楷体" w:eastAsia="楷体" w:hAnsi="楷体" w:hint="eastAsia"/>
          <w:b w:val="0"/>
          <w:bCs w:val="0"/>
          <w:spacing w:val="-4"/>
          <w:sz w:val="32"/>
          <w:szCs w:val="32"/>
        </w:rPr>
        <w:t>495097.71</w:t>
      </w:r>
      <w:r>
        <w:rPr>
          <w:rStyle w:val="a8"/>
          <w:rFonts w:ascii="楷体" w:eastAsia="楷体" w:hAnsi="楷体" w:hint="eastAsia"/>
          <w:b w:val="0"/>
          <w:bCs w:val="0"/>
          <w:spacing w:val="-4"/>
          <w:sz w:val="32"/>
          <w:szCs w:val="32"/>
        </w:rPr>
        <w:t>元。以上内容全部执行完毕，评价期间未对资金进行调增、调减，预算执行率为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rsidR="000048AA" w:rsidRDefault="0088623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48AA" w:rsidRDefault="0088623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本项目依据《中共中央国务院关于全面实施预算绩效管理的意见》（中发〔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w:t>
      </w:r>
      <w:r>
        <w:rPr>
          <w:rStyle w:val="a8"/>
          <w:rFonts w:ascii="楷体" w:eastAsia="楷体" w:hAnsi="楷体" w:hint="eastAsia"/>
          <w:b w:val="0"/>
          <w:bCs w:val="0"/>
          <w:spacing w:val="-4"/>
          <w:sz w:val="32"/>
          <w:szCs w:val="32"/>
        </w:rPr>
        <w:lastRenderedPageBreak/>
        <w:t>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号）等文件</w:t>
      </w:r>
      <w:r>
        <w:rPr>
          <w:rStyle w:val="a8"/>
          <w:rFonts w:ascii="楷体" w:eastAsia="楷体" w:hAnsi="楷体" w:hint="eastAsia"/>
          <w:b w:val="0"/>
          <w:bCs w:val="0"/>
          <w:spacing w:val="-4"/>
          <w:sz w:val="32"/>
          <w:szCs w:val="32"/>
        </w:rPr>
        <w:t>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该项目为当年一次性项目。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该项目总体绩效目标：消化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暂付款项，该项目资金金额</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万元，包含</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个子项目资金为：①及时</w:t>
      </w:r>
      <w:r>
        <w:rPr>
          <w:rStyle w:val="a8"/>
          <w:rFonts w:ascii="楷体" w:eastAsia="楷体" w:hAnsi="楷体" w:hint="eastAsia"/>
          <w:b w:val="0"/>
          <w:bCs w:val="0"/>
          <w:spacing w:val="-4"/>
          <w:sz w:val="32"/>
          <w:szCs w:val="32"/>
        </w:rPr>
        <w:t>准确的发放临聘人员</w:t>
      </w:r>
      <w:r>
        <w:rPr>
          <w:rStyle w:val="a8"/>
          <w:rFonts w:ascii="楷体" w:eastAsia="楷体" w:hAnsi="楷体" w:hint="eastAsia"/>
          <w:b w:val="0"/>
          <w:bCs w:val="0"/>
          <w:spacing w:val="-4"/>
          <w:sz w:val="32"/>
          <w:szCs w:val="32"/>
        </w:rPr>
        <w:t>579</w:t>
      </w:r>
      <w:r>
        <w:rPr>
          <w:rStyle w:val="a8"/>
          <w:rFonts w:ascii="楷体" w:eastAsia="楷体" w:hAnsi="楷体" w:hint="eastAsia"/>
          <w:b w:val="0"/>
          <w:bCs w:val="0"/>
          <w:spacing w:val="-4"/>
          <w:sz w:val="32"/>
          <w:szCs w:val="32"/>
        </w:rPr>
        <w:t>人工资、社保，准发放了临聘人员经费共计</w:t>
      </w:r>
      <w:r>
        <w:rPr>
          <w:rStyle w:val="a8"/>
          <w:rFonts w:ascii="楷体" w:eastAsia="楷体" w:hAnsi="楷体" w:hint="eastAsia"/>
          <w:b w:val="0"/>
          <w:bCs w:val="0"/>
          <w:spacing w:val="-4"/>
          <w:sz w:val="32"/>
          <w:szCs w:val="32"/>
        </w:rPr>
        <w:t>2156.52</w:t>
      </w:r>
      <w:r>
        <w:rPr>
          <w:rStyle w:val="a8"/>
          <w:rFonts w:ascii="楷体" w:eastAsia="楷体" w:hAnsi="楷体" w:hint="eastAsia"/>
          <w:b w:val="0"/>
          <w:bCs w:val="0"/>
          <w:spacing w:val="-4"/>
          <w:sz w:val="32"/>
          <w:szCs w:val="32"/>
        </w:rPr>
        <w:t>万元，有效提高临聘人员工作积极性。②便民服务站人员伙食费</w:t>
      </w:r>
      <w:r>
        <w:rPr>
          <w:rStyle w:val="a8"/>
          <w:rFonts w:ascii="楷体" w:eastAsia="楷体" w:hAnsi="楷体" w:hint="eastAsia"/>
          <w:b w:val="0"/>
          <w:bCs w:val="0"/>
          <w:spacing w:val="-4"/>
          <w:sz w:val="32"/>
          <w:szCs w:val="32"/>
        </w:rPr>
        <w:t>173.01</w:t>
      </w:r>
      <w:r>
        <w:rPr>
          <w:rStyle w:val="a8"/>
          <w:rFonts w:ascii="楷体" w:eastAsia="楷体" w:hAnsi="楷体" w:hint="eastAsia"/>
          <w:b w:val="0"/>
          <w:bCs w:val="0"/>
          <w:spacing w:val="-4"/>
          <w:sz w:val="32"/>
          <w:szCs w:val="32"/>
        </w:rPr>
        <w:t>万元，涉及服务站</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个，服务站统一配餐，提供有效生活保障，通过建立良好的后勤保障，使工作人员能够更好地为辖区居民做好服务工作，提高工作人员满意度。③便民服务站运行经费</w:t>
      </w:r>
      <w:r>
        <w:rPr>
          <w:rStyle w:val="a8"/>
          <w:rFonts w:ascii="楷体" w:eastAsia="楷体" w:hAnsi="楷体" w:hint="eastAsia"/>
          <w:b w:val="0"/>
          <w:bCs w:val="0"/>
          <w:spacing w:val="-4"/>
          <w:sz w:val="32"/>
          <w:szCs w:val="32"/>
        </w:rPr>
        <w:t>26.44</w:t>
      </w:r>
      <w:r>
        <w:rPr>
          <w:rStyle w:val="a8"/>
          <w:rFonts w:ascii="楷体" w:eastAsia="楷体" w:hAnsi="楷体" w:hint="eastAsia"/>
          <w:b w:val="0"/>
          <w:bCs w:val="0"/>
          <w:spacing w:val="-4"/>
          <w:sz w:val="32"/>
          <w:szCs w:val="32"/>
        </w:rPr>
        <w:t>万元，确保服务站正常运转，办公、水电暖、车辆加油及维修等基本运转支出，提高服务站工作效率。④封闭岗亭人员经费</w:t>
      </w:r>
      <w:r>
        <w:rPr>
          <w:rStyle w:val="a8"/>
          <w:rFonts w:ascii="楷体" w:eastAsia="楷体" w:hAnsi="楷体" w:hint="eastAsia"/>
          <w:b w:val="0"/>
          <w:bCs w:val="0"/>
          <w:spacing w:val="-4"/>
          <w:sz w:val="32"/>
          <w:szCs w:val="32"/>
        </w:rPr>
        <w:t>69.93</w:t>
      </w:r>
      <w:r>
        <w:rPr>
          <w:rStyle w:val="a8"/>
          <w:rFonts w:ascii="楷体" w:eastAsia="楷体" w:hAnsi="楷体" w:hint="eastAsia"/>
          <w:b w:val="0"/>
          <w:bCs w:val="0"/>
          <w:spacing w:val="-4"/>
          <w:sz w:val="32"/>
          <w:szCs w:val="32"/>
        </w:rPr>
        <w:t>万，用于发放</w:t>
      </w:r>
      <w:r>
        <w:rPr>
          <w:rStyle w:val="a8"/>
          <w:rFonts w:ascii="楷体" w:eastAsia="楷体" w:hAnsi="楷体" w:hint="eastAsia"/>
          <w:b w:val="0"/>
          <w:bCs w:val="0"/>
          <w:spacing w:val="-4"/>
          <w:sz w:val="32"/>
          <w:szCs w:val="32"/>
        </w:rPr>
        <w:t>268</w:t>
      </w:r>
      <w:r>
        <w:rPr>
          <w:rStyle w:val="a8"/>
          <w:rFonts w:ascii="楷体" w:eastAsia="楷体" w:hAnsi="楷体" w:hint="eastAsia"/>
          <w:b w:val="0"/>
          <w:bCs w:val="0"/>
          <w:spacing w:val="-4"/>
          <w:sz w:val="32"/>
          <w:szCs w:val="32"/>
        </w:rPr>
        <w:t>人工资，标准每人</w:t>
      </w:r>
      <w:r>
        <w:rPr>
          <w:rStyle w:val="a8"/>
          <w:rFonts w:ascii="楷体" w:eastAsia="楷体" w:hAnsi="楷体" w:hint="eastAsia"/>
          <w:b w:val="0"/>
          <w:bCs w:val="0"/>
          <w:spacing w:val="-4"/>
          <w:sz w:val="32"/>
          <w:szCs w:val="32"/>
        </w:rPr>
        <w:t>2600</w:t>
      </w:r>
      <w:r>
        <w:rPr>
          <w:rStyle w:val="a8"/>
          <w:rFonts w:ascii="楷体" w:eastAsia="楷体" w:hAnsi="楷体" w:hint="eastAsia"/>
          <w:b w:val="0"/>
          <w:bCs w:val="0"/>
          <w:spacing w:val="-4"/>
          <w:sz w:val="32"/>
          <w:szCs w:val="32"/>
        </w:rPr>
        <w:t>元，保障工作人员工资及时发放到位</w:t>
      </w:r>
      <w:r>
        <w:rPr>
          <w:rStyle w:val="a8"/>
          <w:rFonts w:ascii="楷体" w:eastAsia="楷体" w:hAnsi="楷体" w:hint="eastAsia"/>
          <w:b w:val="0"/>
          <w:bCs w:val="0"/>
          <w:spacing w:val="-4"/>
          <w:sz w:val="32"/>
          <w:szCs w:val="32"/>
        </w:rPr>
        <w:t>，提高工作积极性。可在紧急情况下知道疏散人员，并及时发出警报，帮助安全管理者更好地管理安全，减少安全事故的发生。⑤工作经费</w:t>
      </w:r>
      <w:r>
        <w:rPr>
          <w:rStyle w:val="a8"/>
          <w:rFonts w:ascii="楷体" w:eastAsia="楷体" w:hAnsi="楷体" w:hint="eastAsia"/>
          <w:b w:val="0"/>
          <w:bCs w:val="0"/>
          <w:spacing w:val="-4"/>
          <w:sz w:val="32"/>
          <w:szCs w:val="32"/>
        </w:rPr>
        <w:t>64.38</w:t>
      </w:r>
      <w:r>
        <w:rPr>
          <w:rStyle w:val="a8"/>
          <w:rFonts w:ascii="楷体" w:eastAsia="楷体" w:hAnsi="楷体" w:hint="eastAsia"/>
          <w:b w:val="0"/>
          <w:bCs w:val="0"/>
          <w:spacing w:val="-4"/>
          <w:sz w:val="32"/>
          <w:szCs w:val="32"/>
        </w:rPr>
        <w:t>万，通过工作经费的合理分配和使用，更好地提升了街道办事处的办公效率。⑥社区经费</w:t>
      </w:r>
      <w:r>
        <w:rPr>
          <w:rStyle w:val="a8"/>
          <w:rFonts w:ascii="楷体" w:eastAsia="楷体" w:hAnsi="楷体" w:hint="eastAsia"/>
          <w:b w:val="0"/>
          <w:bCs w:val="0"/>
          <w:spacing w:val="-4"/>
          <w:sz w:val="32"/>
          <w:szCs w:val="32"/>
        </w:rPr>
        <w:t>297.37</w:t>
      </w:r>
      <w:r>
        <w:rPr>
          <w:rStyle w:val="a8"/>
          <w:rFonts w:ascii="楷体" w:eastAsia="楷体" w:hAnsi="楷体" w:hint="eastAsia"/>
          <w:b w:val="0"/>
          <w:bCs w:val="0"/>
          <w:spacing w:val="-4"/>
          <w:sz w:val="32"/>
          <w:szCs w:val="32"/>
        </w:rPr>
        <w:t>万元，保障</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个社区正常工作运转，如办公、水、电、暖、车辆运转，维护稳定支出、民生支出等工作的正常</w:t>
      </w:r>
      <w:r>
        <w:rPr>
          <w:rStyle w:val="a8"/>
          <w:rFonts w:ascii="楷体" w:eastAsia="楷体" w:hAnsi="楷体" w:hint="eastAsia"/>
          <w:b w:val="0"/>
          <w:bCs w:val="0"/>
          <w:spacing w:val="-4"/>
          <w:sz w:val="32"/>
          <w:szCs w:val="32"/>
        </w:rPr>
        <w:lastRenderedPageBreak/>
        <w:t>开展。⑦社区食堂补助经费</w:t>
      </w:r>
      <w:r>
        <w:rPr>
          <w:rStyle w:val="a8"/>
          <w:rFonts w:ascii="楷体" w:eastAsia="楷体" w:hAnsi="楷体" w:hint="eastAsia"/>
          <w:b w:val="0"/>
          <w:bCs w:val="0"/>
          <w:spacing w:val="-4"/>
          <w:sz w:val="32"/>
          <w:szCs w:val="32"/>
        </w:rPr>
        <w:t>49.51</w:t>
      </w:r>
      <w:r>
        <w:rPr>
          <w:rStyle w:val="a8"/>
          <w:rFonts w:ascii="楷体" w:eastAsia="楷体" w:hAnsi="楷体" w:hint="eastAsia"/>
          <w:b w:val="0"/>
          <w:bCs w:val="0"/>
          <w:spacing w:val="-4"/>
          <w:sz w:val="32"/>
          <w:szCs w:val="32"/>
        </w:rPr>
        <w:t>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涉及</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个社区食堂经费，提供有效生活保障，使工作人员能够更好地为辖区居民做好服务工作，提高工作人员满意度。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该项目阶段性目标为：在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年计划完成涉及社区数</w:t>
      </w:r>
      <w:r>
        <w:rPr>
          <w:rStyle w:val="a8"/>
          <w:rFonts w:ascii="楷体" w:eastAsia="楷体" w:hAnsi="楷体" w:hint="eastAsia"/>
          <w:b w:val="0"/>
          <w:bCs w:val="0"/>
          <w:spacing w:val="-4"/>
          <w:sz w:val="32"/>
          <w:szCs w:val="32"/>
        </w:rPr>
        <w:t>量：</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个；发放临聘人员工资人数：</w:t>
      </w:r>
      <w:r>
        <w:rPr>
          <w:rStyle w:val="a8"/>
          <w:rFonts w:ascii="楷体" w:eastAsia="楷体" w:hAnsi="楷体" w:hint="eastAsia"/>
          <w:b w:val="0"/>
          <w:bCs w:val="0"/>
          <w:spacing w:val="-4"/>
          <w:sz w:val="32"/>
          <w:szCs w:val="32"/>
        </w:rPr>
        <w:t>579</w:t>
      </w:r>
      <w:r>
        <w:rPr>
          <w:rStyle w:val="a8"/>
          <w:rFonts w:ascii="楷体" w:eastAsia="楷体" w:hAnsi="楷体" w:hint="eastAsia"/>
          <w:b w:val="0"/>
          <w:bCs w:val="0"/>
          <w:spacing w:val="-4"/>
          <w:sz w:val="32"/>
          <w:szCs w:val="32"/>
        </w:rPr>
        <w:t>人；涉及便民服务站数量：</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个；工资、社保发放准确率：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；社区工作正常运转率：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；便民服务站工作正常运转率：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；工资社保发放及时率：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；封闭化岗亭人员经费：</w:t>
      </w:r>
      <w:r>
        <w:rPr>
          <w:rStyle w:val="a8"/>
          <w:rFonts w:ascii="楷体" w:eastAsia="楷体" w:hAnsi="楷体" w:hint="eastAsia"/>
          <w:b w:val="0"/>
          <w:bCs w:val="0"/>
          <w:spacing w:val="-4"/>
          <w:sz w:val="32"/>
          <w:szCs w:val="32"/>
        </w:rPr>
        <w:t>69.93</w:t>
      </w:r>
      <w:r>
        <w:rPr>
          <w:rStyle w:val="a8"/>
          <w:rFonts w:ascii="楷体" w:eastAsia="楷体" w:hAnsi="楷体" w:hint="eastAsia"/>
          <w:b w:val="0"/>
          <w:bCs w:val="0"/>
          <w:spacing w:val="-4"/>
          <w:sz w:val="32"/>
          <w:szCs w:val="32"/>
        </w:rPr>
        <w:t>万元；便民服务站人员伙食费：</w:t>
      </w:r>
      <w:r>
        <w:rPr>
          <w:rStyle w:val="a8"/>
          <w:rFonts w:ascii="楷体" w:eastAsia="楷体" w:hAnsi="楷体" w:hint="eastAsia"/>
          <w:b w:val="0"/>
          <w:bCs w:val="0"/>
          <w:spacing w:val="-4"/>
          <w:sz w:val="32"/>
          <w:szCs w:val="32"/>
        </w:rPr>
        <w:t>173.01</w:t>
      </w:r>
      <w:r>
        <w:rPr>
          <w:rStyle w:val="a8"/>
          <w:rFonts w:ascii="楷体" w:eastAsia="楷体" w:hAnsi="楷体" w:hint="eastAsia"/>
          <w:b w:val="0"/>
          <w:bCs w:val="0"/>
          <w:spacing w:val="-4"/>
          <w:sz w:val="32"/>
          <w:szCs w:val="32"/>
        </w:rPr>
        <w:t>万元；便民服务站运行经费：</w:t>
      </w:r>
      <w:r>
        <w:rPr>
          <w:rStyle w:val="a8"/>
          <w:rFonts w:ascii="楷体" w:eastAsia="楷体" w:hAnsi="楷体" w:hint="eastAsia"/>
          <w:b w:val="0"/>
          <w:bCs w:val="0"/>
          <w:spacing w:val="-4"/>
          <w:sz w:val="32"/>
          <w:szCs w:val="32"/>
        </w:rPr>
        <w:t>26.44</w:t>
      </w:r>
      <w:r>
        <w:rPr>
          <w:rStyle w:val="a8"/>
          <w:rFonts w:ascii="楷体" w:eastAsia="楷体" w:hAnsi="楷体" w:hint="eastAsia"/>
          <w:b w:val="0"/>
          <w:bCs w:val="0"/>
          <w:spacing w:val="-4"/>
          <w:sz w:val="32"/>
          <w:szCs w:val="32"/>
        </w:rPr>
        <w:t>万元；工作经费：</w:t>
      </w:r>
      <w:r>
        <w:rPr>
          <w:rStyle w:val="a8"/>
          <w:rFonts w:ascii="楷体" w:eastAsia="楷体" w:hAnsi="楷体" w:hint="eastAsia"/>
          <w:b w:val="0"/>
          <w:bCs w:val="0"/>
          <w:spacing w:val="-4"/>
          <w:sz w:val="32"/>
          <w:szCs w:val="32"/>
        </w:rPr>
        <w:t>64.38</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w:t>
      </w:r>
      <w:r>
        <w:rPr>
          <w:rStyle w:val="a8"/>
          <w:rFonts w:ascii="楷体" w:eastAsia="楷体" w:hAnsi="楷体" w:hint="eastAsia"/>
          <w:b w:val="0"/>
          <w:bCs w:val="0"/>
          <w:spacing w:val="-4"/>
          <w:sz w:val="32"/>
          <w:szCs w:val="32"/>
        </w:rPr>
        <w:t>2156.52</w:t>
      </w:r>
      <w:r>
        <w:rPr>
          <w:rStyle w:val="a8"/>
          <w:rFonts w:ascii="楷体" w:eastAsia="楷体" w:hAnsi="楷体" w:hint="eastAsia"/>
          <w:b w:val="0"/>
          <w:bCs w:val="0"/>
          <w:spacing w:val="-4"/>
          <w:sz w:val="32"/>
          <w:szCs w:val="32"/>
        </w:rPr>
        <w:t>万元；社区经费：</w:t>
      </w:r>
      <w:r>
        <w:rPr>
          <w:rStyle w:val="a8"/>
          <w:rFonts w:ascii="楷体" w:eastAsia="楷体" w:hAnsi="楷体" w:hint="eastAsia"/>
          <w:b w:val="0"/>
          <w:bCs w:val="0"/>
          <w:spacing w:val="-4"/>
          <w:sz w:val="32"/>
          <w:szCs w:val="32"/>
        </w:rPr>
        <w:t>297.37</w:t>
      </w:r>
      <w:r>
        <w:rPr>
          <w:rStyle w:val="a8"/>
          <w:rFonts w:ascii="楷体" w:eastAsia="楷体" w:hAnsi="楷体" w:hint="eastAsia"/>
          <w:b w:val="0"/>
          <w:bCs w:val="0"/>
          <w:spacing w:val="-4"/>
          <w:sz w:val="32"/>
          <w:szCs w:val="32"/>
        </w:rPr>
        <w:t>万元；社区食堂补助经费：</w:t>
      </w:r>
      <w:r>
        <w:rPr>
          <w:rStyle w:val="a8"/>
          <w:rFonts w:ascii="楷体" w:eastAsia="楷体" w:hAnsi="楷体" w:hint="eastAsia"/>
          <w:b w:val="0"/>
          <w:bCs w:val="0"/>
          <w:spacing w:val="-4"/>
          <w:sz w:val="32"/>
          <w:szCs w:val="32"/>
        </w:rPr>
        <w:t>49.51</w:t>
      </w:r>
      <w:r>
        <w:rPr>
          <w:rStyle w:val="a8"/>
          <w:rFonts w:ascii="楷体" w:eastAsia="楷体" w:hAnsi="楷体" w:hint="eastAsia"/>
          <w:b w:val="0"/>
          <w:bCs w:val="0"/>
          <w:spacing w:val="-4"/>
          <w:sz w:val="32"/>
          <w:szCs w:val="32"/>
        </w:rPr>
        <w:t>万元；保障辖区内各项工作正常开展：有效保障；辖区居民满意度：</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rsidR="000048AA" w:rsidRDefault="0088623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w:t>
      </w:r>
      <w:r>
        <w:rPr>
          <w:rStyle w:val="a8"/>
          <w:rFonts w:ascii="黑体" w:eastAsia="黑体" w:hAnsi="黑体" w:hint="eastAsia"/>
          <w:b w:val="0"/>
          <w:spacing w:val="-4"/>
          <w:sz w:val="32"/>
          <w:szCs w:val="32"/>
        </w:rPr>
        <w:t>绩效评价工作开展情况</w:t>
      </w:r>
    </w:p>
    <w:p w:rsidR="000048AA" w:rsidRDefault="0088623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048AA" w:rsidRDefault="0088623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首先，需要描述项目的目标、范围和要求是否能够通过绩效评价指标体系将其完整地体现出来。这意味着，我们需要明确项目的核心目标，主要为及时消化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年暂付款项，评价指标通过上</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个暂付款项目资金使用的实际用途，按照具体指标分类，如发放社区个数，临聘人员工资人数，发放社区工资、社保发放准确率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工资社保发放及时率等完整体现该类项目所需，进行目标设定；通过公用经费类指标，如工作正常运转率、保障辖区内各项工作正常开展、辖区居民满意度等相关指标，反映该类项目目标要求。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其次，分析项目的计划和执行过程，是确保体现项目的进展情况和完成度的重要步骤。我们按照暂付款项目的具体用途和资金实</w:t>
      </w:r>
      <w:r>
        <w:rPr>
          <w:rStyle w:val="a8"/>
          <w:rFonts w:ascii="楷体" w:eastAsia="楷体" w:hAnsi="楷体" w:hint="eastAsia"/>
          <w:b w:val="0"/>
          <w:bCs w:val="0"/>
          <w:spacing w:val="-4"/>
          <w:sz w:val="32"/>
          <w:szCs w:val="32"/>
        </w:rPr>
        <w:lastRenderedPageBreak/>
        <w:t>际使用涉及的相关科目，逐条进行消化，以便对项目的整体情况有一个清晰的了解。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最后，评价数据资料来源于项目档案中项目立项、合同、招投标等项目资料；从会计档案中收集资金支付相关凭证；从辖区居民收集调查问卷等资料，评价数据的来源、采集方式合法合规，确保了数据的准确性和完整性。</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w:t>
      </w:r>
      <w:r>
        <w:rPr>
          <w:rStyle w:val="a8"/>
          <w:rFonts w:ascii="楷体" w:eastAsia="楷体" w:hAnsi="楷体" w:hint="eastAsia"/>
          <w:b w:val="0"/>
          <w:bCs w:val="0"/>
          <w:spacing w:val="-4"/>
          <w:sz w:val="32"/>
          <w:szCs w:val="32"/>
        </w:rPr>
        <w:t>算绩效管理工作，落实预算执行及绩效管理主体责任。具体而言包括以下两点：（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）通过对项目设立的背景、意义、项目内容、项目现状及绩效目标、资金投入、资金管理、组织实施、数量指标、质量指标、时效指标、成本指标和效益指标等进行深入调研和分析，进一步了解消化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年暂付款项项目实施情况，并考察项目实施过程和效果。（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映项目立项科学性、项目管理规范性、项目实施有效性和项目效果，总结项目实施的经验，发现项目实施过程中存在的问题，提出合理化建议，为完善项目管理和相关部门决策提供参考依据，并提高财政资</w:t>
      </w:r>
      <w:r>
        <w:rPr>
          <w:rStyle w:val="a8"/>
          <w:rFonts w:ascii="楷体" w:eastAsia="楷体" w:hAnsi="楷体" w:hint="eastAsia"/>
          <w:b w:val="0"/>
          <w:bCs w:val="0"/>
          <w:spacing w:val="-4"/>
          <w:sz w:val="32"/>
          <w:szCs w:val="32"/>
        </w:rPr>
        <w:t>金使用效益。</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年暂付款项目</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）项目范围：消化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年暂付款项目，项目金额</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万元，其中包括</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个子项目①临聘人员经费，通过按时发放临聘</w:t>
      </w:r>
      <w:r>
        <w:rPr>
          <w:rStyle w:val="a8"/>
          <w:rFonts w:ascii="楷体" w:eastAsia="楷体" w:hAnsi="楷体" w:hint="eastAsia"/>
          <w:b w:val="0"/>
          <w:bCs w:val="0"/>
          <w:spacing w:val="-4"/>
          <w:sz w:val="32"/>
          <w:szCs w:val="32"/>
        </w:rPr>
        <w:lastRenderedPageBreak/>
        <w:t>人员工资及缴纳社保，可以激励临聘人员更好地投入工作，提高其工作效率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②便民服务站人员伙食费，主要用于支付配餐公司为便民服务站工作人员每天早中晚三餐餐费，从而提高他们的工作效率和生活质量；③便民服务站运行经费，通过资金保障，有利于提高</w:t>
      </w:r>
      <w:r>
        <w:rPr>
          <w:rStyle w:val="a8"/>
          <w:rFonts w:ascii="楷体" w:eastAsia="楷体" w:hAnsi="楷体" w:hint="eastAsia"/>
          <w:b w:val="0"/>
          <w:bCs w:val="0"/>
          <w:spacing w:val="-4"/>
          <w:sz w:val="32"/>
          <w:szCs w:val="32"/>
        </w:rPr>
        <w:t>服务站工作效率，提升服务质量；④社区食堂伙食费保障了食堂正常运转，通过建立良好的后勤保障，确保伙食供应，使工作人员能够更好地为辖区居民做好服务工作；⑤社区经费，通过经费保障社区日常运转，如办公、水、电、暖、车辆运转，维护稳定支出、民生支出等工作的正常开展；⑥封闭化岗亭人员经费，主要用于支付封闭化岗亭值守人员工资，保障工作人员的正常生活需求，提高工作积极性；⑦工作经费，通过工作经费的合理分配和使用，更好地提升了街道办事处的办公效率。根据振安街街道办事处实际情况，我单位严格按照预算执行进度并及时解决单位</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激发工作人员热情，提升工作效率。项目主要经验总结：按照年初预算资金项目组织并实施，加强年初预算项目的管理，提高项目资金预算的准确性。严格按照预算执行进度，保障经费充分合理的使用，按进度做计划执行，严禁超支，挪用，挤占相关经费。提高预算执行率，提高资金使用率，确保资金用到实处。项目存在的主要问题：社区工作人员满意度有待提高，服务站服务居民水平有待提高。该项目已执行完毕。绩效目标已顺利完成，总体完成情况较好。全年执行率：</w:t>
      </w:r>
      <w:r>
        <w:rPr>
          <w:rStyle w:val="a8"/>
          <w:rFonts w:ascii="楷体" w:eastAsia="楷体" w:hAnsi="楷体" w:hint="eastAsia"/>
          <w:b w:val="0"/>
          <w:bCs w:val="0"/>
          <w:spacing w:val="-4"/>
          <w:sz w:val="32"/>
          <w:szCs w:val="32"/>
        </w:rPr>
        <w:t>100% ,</w:t>
      </w:r>
      <w:r>
        <w:rPr>
          <w:rStyle w:val="a8"/>
          <w:rFonts w:ascii="楷体" w:eastAsia="楷体" w:hAnsi="楷体" w:hint="eastAsia"/>
          <w:b w:val="0"/>
          <w:bCs w:val="0"/>
          <w:spacing w:val="-4"/>
          <w:sz w:val="32"/>
          <w:szCs w:val="32"/>
        </w:rPr>
        <w:t>总体完成率：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rsidR="000048AA" w:rsidRDefault="0088623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w:t>
      </w:r>
      <w:r>
        <w:rPr>
          <w:rStyle w:val="a8"/>
          <w:rFonts w:ascii="楷体" w:eastAsia="楷体" w:hAnsi="楷体" w:hint="eastAsia"/>
          <w:spacing w:val="-4"/>
          <w:sz w:val="32"/>
          <w:szCs w:val="32"/>
        </w:rPr>
        <w:t>体系、评价方法、评价标准</w:t>
      </w:r>
    </w:p>
    <w:p w:rsidR="000048AA" w:rsidRDefault="0088623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w:t>
      </w:r>
      <w:r>
        <w:rPr>
          <w:rStyle w:val="a8"/>
          <w:rFonts w:ascii="楷体" w:eastAsia="楷体" w:hAnsi="楷体" w:hint="eastAsia"/>
          <w:b w:val="0"/>
          <w:bCs w:val="0"/>
          <w:spacing w:val="-4"/>
          <w:sz w:val="32"/>
          <w:szCs w:val="32"/>
        </w:rPr>
        <w:lastRenderedPageBreak/>
        <w:t>的程序，对项目绩效进行客观、公正的反映。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w:t>
      </w:r>
      <w:r>
        <w:rPr>
          <w:rStyle w:val="a8"/>
          <w:rFonts w:ascii="楷体" w:eastAsia="楷体" w:hAnsi="楷体" w:hint="eastAsia"/>
          <w:b w:val="0"/>
          <w:bCs w:val="0"/>
          <w:spacing w:val="-4"/>
          <w:sz w:val="32"/>
          <w:szCs w:val="32"/>
        </w:rPr>
        <w:t>法依规公开，并自觉接受社会监督。</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绩效评价指标体系作为衡量绩效目标实现程度的考核工具，一般遵循以下原则：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）重要性原则：应当优先使用最具评价对象代表性、最能反映评价要求的核心指标。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）系统性原则：绩效评价指标的设置应当将定量指标与定性指标相结合，能系统反映财政支出所产生的社会效益、经济效益和可持续影响等。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）经济性原则：绩效评价指标设计应当通俗易懂、简便易行，数据的获得应当考虑现实条件和可操作性，符合成本效益原则。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本项目的评价指标体系建立如表</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2-1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①项目立项是否符合国家法律法规、国民经济发展规划和相关政策；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③项目立项是否与部门职责</w:t>
      </w:r>
      <w:r>
        <w:rPr>
          <w:rStyle w:val="a8"/>
          <w:rFonts w:ascii="楷体" w:eastAsia="楷体" w:hAnsi="楷体" w:hint="eastAsia"/>
          <w:b w:val="0"/>
          <w:bCs w:val="0"/>
          <w:spacing w:val="-4"/>
          <w:sz w:val="32"/>
          <w:szCs w:val="32"/>
        </w:rPr>
        <w:t>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③事前是否已经过必要的可行性研究、专家论证、风险评估、绩效评估、集体决策。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项目所设定的绩效目标是否依据充分，是否符合客观实际，用以反映和考核项目绩效目</w:t>
      </w:r>
      <w:r>
        <w:rPr>
          <w:rStyle w:val="a8"/>
          <w:rFonts w:ascii="楷体" w:eastAsia="楷体" w:hAnsi="楷体" w:hint="eastAsia"/>
          <w:b w:val="0"/>
          <w:bCs w:val="0"/>
          <w:spacing w:val="-4"/>
          <w:sz w:val="32"/>
          <w:szCs w:val="32"/>
        </w:rPr>
        <w:t>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（如未设定预算绩效目标，也可考核其他工作任务目标）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①项目是否有绩效目标；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依据绩效目标设定的绩效指标是否清晰、细化、可衡量等，用以反映和考核项目绩效目标的明细化情况。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①是否将项目绩效目标细化分解为具体的绩效指标；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②是否通过清晰、可衡量的指标值予以体现；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③是否与项目目标任务数或计</w:t>
      </w:r>
      <w:r>
        <w:rPr>
          <w:rStyle w:val="a8"/>
          <w:rFonts w:ascii="楷体" w:eastAsia="楷体" w:hAnsi="楷体" w:hint="eastAsia"/>
          <w:b w:val="0"/>
          <w:bCs w:val="0"/>
          <w:spacing w:val="-4"/>
          <w:sz w:val="32"/>
          <w:szCs w:val="32"/>
        </w:rPr>
        <w:t>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项目预算编制是否经过科学论证、有明确标准，资金额度与年度目标是否相适应，用以反映和考核项目预算编制的科学性、合理性情况。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项目预算资金分配是否有测算依据，与补助单位或地方实际是否相适应，用以反映和考核项目预算资金分配的科学性、合理性情况。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①预算资金分配依据是否充</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实际到位资金与预算资金的比率，</w:t>
      </w:r>
      <w:r>
        <w:rPr>
          <w:rStyle w:val="a8"/>
          <w:rFonts w:ascii="楷体" w:eastAsia="楷体" w:hAnsi="楷体" w:hint="eastAsia"/>
          <w:b w:val="0"/>
          <w:bCs w:val="0"/>
          <w:spacing w:val="-4"/>
          <w:sz w:val="32"/>
          <w:szCs w:val="32"/>
        </w:rPr>
        <w:lastRenderedPageBreak/>
        <w:t>用以反映和考核资金落实情况对项目实施的总体保障程度。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预算资金：一定时期（本年度或项目期）内预算安排到具体项目的资金。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项目预算资金是否按照计划执行，用以反映或考核项目预算执行情况。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实际支出资金：一定时</w:t>
      </w:r>
      <w:r>
        <w:rPr>
          <w:rStyle w:val="a8"/>
          <w:rFonts w:ascii="楷体" w:eastAsia="楷体" w:hAnsi="楷体" w:hint="eastAsia"/>
          <w:b w:val="0"/>
          <w:bCs w:val="0"/>
          <w:spacing w:val="-4"/>
          <w:sz w:val="32"/>
          <w:szCs w:val="32"/>
        </w:rPr>
        <w:t>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合规性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项目资金使用是否符合相关的财务管理制度规定，用以反映和考核项目资金的规范运行情况。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项目实施单位的财务和业务管理制度是否健全，用以反映和考核财务和业务管理制度对项目顺利实施的保障情况。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②财务和业务管理制度是否合法、合规、完整。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④项目实施的人员条件、场地设备、信息支撑等是否落实到位。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社区个数</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项目实施的实际产出数与计划产出数的比率，用以反映和考核项目产出数量目标的实现程度。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实际产出数：一定时期（本年度或项目期）内项目实际产出的产品或提供的服务数量。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发放临聘人员数量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便民服务站数量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工资、社保发放准确率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质量达标产出数：一定时期（本年度或项目期）内实际达到既定质量标准的产品或服务数量。既定质</w:t>
      </w:r>
      <w:r>
        <w:rPr>
          <w:rStyle w:val="a8"/>
          <w:rFonts w:ascii="楷体" w:eastAsia="楷体" w:hAnsi="楷体" w:hint="eastAsia"/>
          <w:b w:val="0"/>
          <w:bCs w:val="0"/>
          <w:spacing w:val="-4"/>
          <w:sz w:val="32"/>
          <w:szCs w:val="32"/>
        </w:rPr>
        <w:t>量标准是指项目实施单位设立绩效目标时依据计划标准、行业标准、历史标准或其他标准而设定的绩效指标值。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社区工作正常运转率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便民警务站工作正常运转率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工资、社保发放准确率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便民服务站伙食费标准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完成项目计划工作目标的实际节约成本与计划成本的比率，用以反映和考核项目的成本节约程度。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实际成本：项目实施单位如期、保质、保量完成既定工作目标实际所耗费的支出。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计划成本：项目实施单位为完成工作目标计划安排的支出，一般以项目预算为参考。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封闭化岗亭人员工资标准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提高社区服务群众质量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项目实施所产生的社会效益、经济效益、生态效益、可持续影响等。可根据项目实际情况有选择地设置和细化。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确保服务站正常运转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居民群众满意度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社会公众或服务对象对项目实施效果的满意程度。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w:t>
      </w:r>
      <w:r>
        <w:rPr>
          <w:rStyle w:val="a8"/>
          <w:rFonts w:ascii="楷体" w:eastAsia="楷体" w:hAnsi="楷体" w:hint="eastAsia"/>
          <w:b w:val="0"/>
          <w:bCs w:val="0"/>
          <w:spacing w:val="-4"/>
          <w:sz w:val="32"/>
          <w:szCs w:val="32"/>
        </w:rPr>
        <w:t>公众或服务对象是指因该项目实施而受到影响的部门（单位）、群体或个人。一般采取社会调查的方式。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 xml:space="preserve">3. </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）成本效益分析法。是指将投入与产出、效益进行关联性分析的方法。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）比较法。是指将实施情况与绩效目标、历史情况、不同部门和地区同类支出情况进行比较的方法。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）因素分析法。是指综合分析影响绩效目标实现、实施效果的</w:t>
      </w:r>
      <w:r>
        <w:rPr>
          <w:rStyle w:val="a8"/>
          <w:rFonts w:ascii="楷体" w:eastAsia="楷体" w:hAnsi="楷体" w:hint="eastAsia"/>
          <w:b w:val="0"/>
          <w:bCs w:val="0"/>
          <w:spacing w:val="-4"/>
          <w:sz w:val="32"/>
          <w:szCs w:val="32"/>
        </w:rPr>
        <w:t>内外部因素的方法。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）最低成本法。是指在绩效目标确定的前提下，成本最小者为优的方法。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）标杆管理法。是指以国内外同行业中较高的绩效水平为标杆进行评判的方法。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根据本项目（消化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年暂付款项）的特点，本次评价主要采用比较法和公众评判法，对项目总预算和明细预算的内容、标准、计划是否经济合理进行深入分析，以考察实际产出和效益是否达到预期。</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绩效评价标准主要包括计划标准、行业标准、历史标准</w:t>
      </w:r>
      <w:r>
        <w:rPr>
          <w:rStyle w:val="a8"/>
          <w:rFonts w:ascii="楷体" w:eastAsia="楷体" w:hAnsi="楷体" w:hint="eastAsia"/>
          <w:b w:val="0"/>
          <w:bCs w:val="0"/>
          <w:spacing w:val="-4"/>
          <w:sz w:val="32"/>
          <w:szCs w:val="32"/>
        </w:rPr>
        <w:t>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）计划标准。指以预先制定的目标、计划、预算、定额等作</w:t>
      </w:r>
      <w:r>
        <w:rPr>
          <w:rStyle w:val="a8"/>
          <w:rFonts w:ascii="楷体" w:eastAsia="楷体" w:hAnsi="楷体" w:hint="eastAsia"/>
          <w:b w:val="0"/>
          <w:bCs w:val="0"/>
          <w:spacing w:val="-4"/>
          <w:sz w:val="32"/>
          <w:szCs w:val="32"/>
        </w:rPr>
        <w:lastRenderedPageBreak/>
        <w:t>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在上述评价标准的基础上，本次评价依据以下文件为重要指导和准绳：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？《关于印发《乌鲁木齐市社区工作经费管理使用办法（暂行）的通知》（乌党组办字〔</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？《关于乌鲁木齐市社区工作经费管理使用办法（暂行）的补充通知》（乌党组办字〔</w:t>
      </w:r>
      <w:r>
        <w:rPr>
          <w:rStyle w:val="a8"/>
          <w:rFonts w:ascii="楷体" w:eastAsia="楷体" w:hAnsi="楷体" w:hint="eastAsia"/>
          <w:b w:val="0"/>
          <w:bCs w:val="0"/>
          <w:spacing w:val="-4"/>
          <w:sz w:val="32"/>
          <w:szCs w:val="32"/>
        </w:rPr>
        <w:t>2015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？《关于补贴社区工作人员工作用餐的通知》（区党组字〔</w:t>
      </w:r>
      <w:r>
        <w:rPr>
          <w:rStyle w:val="a8"/>
          <w:rFonts w:ascii="楷体" w:eastAsia="楷体" w:hAnsi="楷体" w:hint="eastAsia"/>
          <w:b w:val="0"/>
          <w:bCs w:val="0"/>
          <w:spacing w:val="-4"/>
          <w:sz w:val="32"/>
          <w:szCs w:val="32"/>
        </w:rPr>
        <w:t>2013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47</w:t>
      </w:r>
      <w:r>
        <w:rPr>
          <w:rStyle w:val="a8"/>
          <w:rFonts w:ascii="楷体" w:eastAsia="楷体" w:hAnsi="楷体" w:hint="eastAsia"/>
          <w:b w:val="0"/>
          <w:bCs w:val="0"/>
          <w:spacing w:val="-4"/>
          <w:sz w:val="32"/>
          <w:szCs w:val="32"/>
        </w:rPr>
        <w:t>号）</w:t>
      </w:r>
    </w:p>
    <w:p w:rsidR="000048AA" w:rsidRDefault="0088623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48AA" w:rsidRDefault="0088623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评价小组根据项目绩效目标，查阅有关佐证资料，结合现场抽样调查</w:t>
      </w:r>
      <w:r>
        <w:rPr>
          <w:rStyle w:val="a8"/>
          <w:rFonts w:ascii="楷体" w:eastAsia="楷体" w:hAnsi="楷体" w:hint="eastAsia"/>
          <w:b w:val="0"/>
          <w:bCs w:val="0"/>
          <w:spacing w:val="-4"/>
          <w:sz w:val="32"/>
          <w:szCs w:val="32"/>
        </w:rPr>
        <w:t>及延伸评价等方式开展此次评价，重点关注和评价项目预算和绩效目标的匹配情况、项目资金的管理和使用情况、项目实施和监督情况（包括但不限于项目立项、制度执行、质量达标、</w:t>
      </w:r>
      <w:r>
        <w:rPr>
          <w:rStyle w:val="a8"/>
          <w:rFonts w:ascii="楷体" w:eastAsia="楷体" w:hAnsi="楷体" w:hint="eastAsia"/>
          <w:b w:val="0"/>
          <w:bCs w:val="0"/>
          <w:spacing w:val="-4"/>
          <w:sz w:val="32"/>
          <w:szCs w:val="32"/>
        </w:rPr>
        <w:lastRenderedPageBreak/>
        <w:t>完成时效等）以及项目产生的实际效益等。具体而言，通过前期准备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、材料审核分析、现场核查评价、综合分析评价及报告撰写，评价项目实施情况，展现资金使用效益。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三、综合评价情况及评价结论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年暂付款项进行客观评价，最终评分</w:t>
      </w:r>
      <w:r>
        <w:rPr>
          <w:rStyle w:val="a8"/>
          <w:rFonts w:ascii="楷体" w:eastAsia="楷体" w:hAnsi="楷体" w:hint="eastAsia"/>
          <w:b w:val="0"/>
          <w:bCs w:val="0"/>
          <w:spacing w:val="-4"/>
          <w:sz w:val="32"/>
          <w:szCs w:val="32"/>
        </w:rPr>
        <w:t>结果为：总分为</w:t>
      </w:r>
      <w:r>
        <w:rPr>
          <w:rStyle w:val="a8"/>
          <w:rFonts w:ascii="楷体" w:eastAsia="楷体" w:hAnsi="楷体" w:hint="eastAsia"/>
          <w:b w:val="0"/>
          <w:bCs w:val="0"/>
          <w:spacing w:val="-4"/>
          <w:sz w:val="32"/>
          <w:szCs w:val="32"/>
        </w:rPr>
        <w:t>99</w:t>
      </w:r>
      <w:r>
        <w:rPr>
          <w:rStyle w:val="a8"/>
          <w:rFonts w:ascii="楷体" w:eastAsia="楷体" w:hAnsi="楷体" w:hint="eastAsia"/>
          <w:b w:val="0"/>
          <w:bCs w:val="0"/>
          <w:spacing w:val="-4"/>
          <w:sz w:val="32"/>
          <w:szCs w:val="32"/>
        </w:rPr>
        <w:t>分，绩效评级为“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优</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项目各部分权重和绩效分值如表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所示：（二）主要绩效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该项目资金区财政及时拨付，单位在此次评价期间内，有序完成设定目标的部分工作任务，涉及社区数量：</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个；发放临聘人员工资人数：</w:t>
      </w:r>
      <w:r>
        <w:rPr>
          <w:rStyle w:val="a8"/>
          <w:rFonts w:ascii="楷体" w:eastAsia="楷体" w:hAnsi="楷体" w:hint="eastAsia"/>
          <w:b w:val="0"/>
          <w:bCs w:val="0"/>
          <w:spacing w:val="-4"/>
          <w:sz w:val="32"/>
          <w:szCs w:val="32"/>
        </w:rPr>
        <w:t>579</w:t>
      </w:r>
      <w:r>
        <w:rPr>
          <w:rStyle w:val="a8"/>
          <w:rFonts w:ascii="楷体" w:eastAsia="楷体" w:hAnsi="楷体" w:hint="eastAsia"/>
          <w:b w:val="0"/>
          <w:bCs w:val="0"/>
          <w:spacing w:val="-4"/>
          <w:sz w:val="32"/>
          <w:szCs w:val="32"/>
        </w:rPr>
        <w:t>人；涉及便民服务站数量：</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工资、社保发放准确率：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；社区工作正常运转率：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；便民服务站工作正常运转率：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；工资社保发放及时率：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；封闭岗亭人员经费</w:t>
      </w:r>
      <w:r>
        <w:rPr>
          <w:rStyle w:val="a8"/>
          <w:rFonts w:ascii="楷体" w:eastAsia="楷体" w:hAnsi="楷体" w:hint="eastAsia"/>
          <w:b w:val="0"/>
          <w:bCs w:val="0"/>
          <w:spacing w:val="-4"/>
          <w:sz w:val="32"/>
          <w:szCs w:val="32"/>
        </w:rPr>
        <w:t>69.93</w:t>
      </w:r>
      <w:r>
        <w:rPr>
          <w:rStyle w:val="a8"/>
          <w:rFonts w:ascii="楷体" w:eastAsia="楷体" w:hAnsi="楷体" w:hint="eastAsia"/>
          <w:b w:val="0"/>
          <w:bCs w:val="0"/>
          <w:spacing w:val="-4"/>
          <w:sz w:val="32"/>
          <w:szCs w:val="32"/>
        </w:rPr>
        <w:t>万，；便民服务站人员伙食费</w:t>
      </w:r>
      <w:r>
        <w:rPr>
          <w:rStyle w:val="a8"/>
          <w:rFonts w:ascii="楷体" w:eastAsia="楷体" w:hAnsi="楷体" w:hint="eastAsia"/>
          <w:b w:val="0"/>
          <w:bCs w:val="0"/>
          <w:spacing w:val="-4"/>
          <w:sz w:val="32"/>
          <w:szCs w:val="32"/>
        </w:rPr>
        <w:t>173.01</w:t>
      </w:r>
      <w:r>
        <w:rPr>
          <w:rStyle w:val="a8"/>
          <w:rFonts w:ascii="楷体" w:eastAsia="楷体" w:hAnsi="楷体" w:hint="eastAsia"/>
          <w:b w:val="0"/>
          <w:bCs w:val="0"/>
          <w:spacing w:val="-4"/>
          <w:sz w:val="32"/>
          <w:szCs w:val="32"/>
        </w:rPr>
        <w:t>万元，；便民服务站运行经费</w:t>
      </w:r>
      <w:r>
        <w:rPr>
          <w:rStyle w:val="a8"/>
          <w:rFonts w:ascii="楷体" w:eastAsia="楷体" w:hAnsi="楷体" w:hint="eastAsia"/>
          <w:b w:val="0"/>
          <w:bCs w:val="0"/>
          <w:spacing w:val="-4"/>
          <w:sz w:val="32"/>
          <w:szCs w:val="32"/>
        </w:rPr>
        <w:t>26.44</w:t>
      </w:r>
      <w:r>
        <w:rPr>
          <w:rStyle w:val="a8"/>
          <w:rFonts w:ascii="楷体" w:eastAsia="楷体" w:hAnsi="楷体" w:hint="eastAsia"/>
          <w:b w:val="0"/>
          <w:bCs w:val="0"/>
          <w:spacing w:val="-4"/>
          <w:sz w:val="32"/>
          <w:szCs w:val="32"/>
        </w:rPr>
        <w:t>万元，；工作经费</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4.38</w:t>
      </w:r>
      <w:r>
        <w:rPr>
          <w:rStyle w:val="a8"/>
          <w:rFonts w:ascii="楷体" w:eastAsia="楷体" w:hAnsi="楷体" w:hint="eastAsia"/>
          <w:b w:val="0"/>
          <w:bCs w:val="0"/>
          <w:spacing w:val="-4"/>
          <w:sz w:val="32"/>
          <w:szCs w:val="32"/>
        </w:rPr>
        <w:t>万，；临聘人员经费：</w:t>
      </w:r>
      <w:r>
        <w:rPr>
          <w:rStyle w:val="a8"/>
          <w:rFonts w:ascii="楷体" w:eastAsia="楷体" w:hAnsi="楷体" w:hint="eastAsia"/>
          <w:b w:val="0"/>
          <w:bCs w:val="0"/>
          <w:spacing w:val="-4"/>
          <w:sz w:val="32"/>
          <w:szCs w:val="32"/>
        </w:rPr>
        <w:t>2156.52</w:t>
      </w:r>
      <w:r>
        <w:rPr>
          <w:rStyle w:val="a8"/>
          <w:rFonts w:ascii="楷体" w:eastAsia="楷体" w:hAnsi="楷体" w:hint="eastAsia"/>
          <w:b w:val="0"/>
          <w:bCs w:val="0"/>
          <w:spacing w:val="-4"/>
          <w:sz w:val="32"/>
          <w:szCs w:val="32"/>
        </w:rPr>
        <w:t>万元；社区经费</w:t>
      </w:r>
      <w:r>
        <w:rPr>
          <w:rStyle w:val="a8"/>
          <w:rFonts w:ascii="楷体" w:eastAsia="楷体" w:hAnsi="楷体" w:hint="eastAsia"/>
          <w:b w:val="0"/>
          <w:bCs w:val="0"/>
          <w:spacing w:val="-4"/>
          <w:sz w:val="32"/>
          <w:szCs w:val="32"/>
        </w:rPr>
        <w:t>297.37</w:t>
      </w:r>
      <w:r>
        <w:rPr>
          <w:rStyle w:val="a8"/>
          <w:rFonts w:ascii="楷体" w:eastAsia="楷体" w:hAnsi="楷体" w:hint="eastAsia"/>
          <w:b w:val="0"/>
          <w:bCs w:val="0"/>
          <w:spacing w:val="-4"/>
          <w:sz w:val="32"/>
          <w:szCs w:val="32"/>
        </w:rPr>
        <w:t>万元；社区食堂补助经费</w:t>
      </w:r>
      <w:r>
        <w:rPr>
          <w:rStyle w:val="a8"/>
          <w:rFonts w:ascii="楷体" w:eastAsia="楷体" w:hAnsi="楷体" w:hint="eastAsia"/>
          <w:b w:val="0"/>
          <w:bCs w:val="0"/>
          <w:spacing w:val="-4"/>
          <w:sz w:val="32"/>
          <w:szCs w:val="32"/>
        </w:rPr>
        <w:t>49.51</w:t>
      </w:r>
      <w:r>
        <w:rPr>
          <w:rStyle w:val="a8"/>
          <w:rFonts w:ascii="楷体" w:eastAsia="楷体" w:hAnsi="楷体" w:hint="eastAsia"/>
          <w:b w:val="0"/>
          <w:bCs w:val="0"/>
          <w:spacing w:val="-4"/>
          <w:sz w:val="32"/>
          <w:szCs w:val="32"/>
        </w:rPr>
        <w:t>万；保障辖区内各项工作正常开展：有效保障；辖区居民满意度：</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按照年初预算资金项目组织并实施，加强年初预算项目的管理，提高项目资金预算的准确性。振安街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rsidR="000048AA" w:rsidRDefault="0088623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三、综合评价情况及评价结论</w:t>
      </w:r>
    </w:p>
    <w:p w:rsidR="000048AA" w:rsidRDefault="0088623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年暂付款项进行客观评价，最终评分结果为：总分为</w:t>
      </w:r>
      <w:r>
        <w:rPr>
          <w:rStyle w:val="a8"/>
          <w:rFonts w:ascii="楷体" w:eastAsia="楷体" w:hAnsi="楷体" w:hint="eastAsia"/>
          <w:b w:val="0"/>
          <w:bCs w:val="0"/>
          <w:spacing w:val="-4"/>
          <w:sz w:val="32"/>
          <w:szCs w:val="32"/>
        </w:rPr>
        <w:t>99</w:t>
      </w:r>
      <w:r>
        <w:rPr>
          <w:rStyle w:val="a8"/>
          <w:rFonts w:ascii="楷体" w:eastAsia="楷体" w:hAnsi="楷体" w:hint="eastAsia"/>
          <w:b w:val="0"/>
          <w:bCs w:val="0"/>
          <w:spacing w:val="-4"/>
          <w:sz w:val="32"/>
          <w:szCs w:val="32"/>
        </w:rPr>
        <w:t>分，绩效评级为“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优</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项目各部分权重和绩效分值如表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3-1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w:t>
      </w:r>
      <w:r>
        <w:rPr>
          <w:rStyle w:val="a8"/>
          <w:rFonts w:ascii="楷体" w:eastAsia="楷体" w:hAnsi="楷体" w:hint="eastAsia"/>
          <w:b w:val="0"/>
          <w:bCs w:val="0"/>
          <w:spacing w:val="-4"/>
          <w:sz w:val="32"/>
          <w:szCs w:val="32"/>
        </w:rPr>
        <w:t>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社区个数</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发放临聘人员数量</w:t>
      </w:r>
      <w:r>
        <w:rPr>
          <w:rStyle w:val="a8"/>
          <w:rFonts w:ascii="楷体" w:eastAsia="楷体" w:hAnsi="楷体" w:hint="eastAsia"/>
          <w:b w:val="0"/>
          <w:bCs w:val="0"/>
          <w:spacing w:val="-4"/>
          <w:sz w:val="32"/>
          <w:szCs w:val="32"/>
        </w:rPr>
        <w:t xml:space="preserve"> 3 3</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便民警务站数量</w:t>
      </w:r>
      <w:r>
        <w:rPr>
          <w:rStyle w:val="a8"/>
          <w:rFonts w:ascii="楷体" w:eastAsia="楷体" w:hAnsi="楷体" w:hint="eastAsia"/>
          <w:b w:val="0"/>
          <w:bCs w:val="0"/>
          <w:spacing w:val="-4"/>
          <w:sz w:val="32"/>
          <w:szCs w:val="32"/>
        </w:rPr>
        <w:t xml:space="preserve"> 4 4</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工资、社保发放准确率</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社区工作正常运转率</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便民警务站工作正常运转率</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工资社保发放及时</w:t>
      </w:r>
      <w:r>
        <w:rPr>
          <w:rStyle w:val="a8"/>
          <w:rFonts w:ascii="楷体" w:eastAsia="楷体" w:hAnsi="楷体" w:hint="eastAsia"/>
          <w:b w:val="0"/>
          <w:bCs w:val="0"/>
          <w:spacing w:val="-4"/>
          <w:sz w:val="32"/>
          <w:szCs w:val="32"/>
        </w:rPr>
        <w:t>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便民服务站伙食费标准</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封闭化岗亭人员工资标准</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提高社区服务群众质量</w:t>
      </w:r>
      <w:r>
        <w:rPr>
          <w:rStyle w:val="a8"/>
          <w:rFonts w:ascii="楷体" w:eastAsia="楷体" w:hAnsi="楷体" w:hint="eastAsia"/>
          <w:b w:val="0"/>
          <w:bCs w:val="0"/>
          <w:spacing w:val="-4"/>
          <w:sz w:val="32"/>
          <w:szCs w:val="32"/>
        </w:rPr>
        <w:t xml:space="preserve"> 5 4.5 90%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确保服务站正常运转</w:t>
      </w:r>
      <w:r>
        <w:rPr>
          <w:rStyle w:val="a8"/>
          <w:rFonts w:ascii="楷体" w:eastAsia="楷体" w:hAnsi="楷体" w:hint="eastAsia"/>
          <w:b w:val="0"/>
          <w:bCs w:val="0"/>
          <w:spacing w:val="-4"/>
          <w:sz w:val="32"/>
          <w:szCs w:val="32"/>
        </w:rPr>
        <w:t xml:space="preserve"> 5 4.5 90%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居民群众满意度</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该项目资金区财政及时拨付，单位在此次评价期间内，有序完成设定目标的部分工作任务，涉及社区数量：</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个；发放临聘人员工资人数：</w:t>
      </w:r>
      <w:r>
        <w:rPr>
          <w:rStyle w:val="a8"/>
          <w:rFonts w:ascii="楷体" w:eastAsia="楷体" w:hAnsi="楷体" w:hint="eastAsia"/>
          <w:b w:val="0"/>
          <w:bCs w:val="0"/>
          <w:spacing w:val="-4"/>
          <w:sz w:val="32"/>
          <w:szCs w:val="32"/>
        </w:rPr>
        <w:t>579</w:t>
      </w:r>
      <w:r>
        <w:rPr>
          <w:rStyle w:val="a8"/>
          <w:rFonts w:ascii="楷体" w:eastAsia="楷体" w:hAnsi="楷体" w:hint="eastAsia"/>
          <w:b w:val="0"/>
          <w:bCs w:val="0"/>
          <w:spacing w:val="-4"/>
          <w:sz w:val="32"/>
          <w:szCs w:val="32"/>
        </w:rPr>
        <w:t>人；涉及便民服务站数量：</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工资、社保发放准确率：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；社区工</w:t>
      </w:r>
      <w:r>
        <w:rPr>
          <w:rStyle w:val="a8"/>
          <w:rFonts w:ascii="楷体" w:eastAsia="楷体" w:hAnsi="楷体" w:hint="eastAsia"/>
          <w:b w:val="0"/>
          <w:bCs w:val="0"/>
          <w:spacing w:val="-4"/>
          <w:sz w:val="32"/>
          <w:szCs w:val="32"/>
        </w:rPr>
        <w:t>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；便民服务站工作正常运转率：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；工资社保发放及时率：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；封闭岗亭人员经费</w:t>
      </w:r>
      <w:r>
        <w:rPr>
          <w:rStyle w:val="a8"/>
          <w:rFonts w:ascii="楷体" w:eastAsia="楷体" w:hAnsi="楷体" w:hint="eastAsia"/>
          <w:b w:val="0"/>
          <w:bCs w:val="0"/>
          <w:spacing w:val="-4"/>
          <w:sz w:val="32"/>
          <w:szCs w:val="32"/>
        </w:rPr>
        <w:t>69.93</w:t>
      </w:r>
      <w:r>
        <w:rPr>
          <w:rStyle w:val="a8"/>
          <w:rFonts w:ascii="楷体" w:eastAsia="楷体" w:hAnsi="楷体" w:hint="eastAsia"/>
          <w:b w:val="0"/>
          <w:bCs w:val="0"/>
          <w:spacing w:val="-4"/>
          <w:sz w:val="32"/>
          <w:szCs w:val="32"/>
        </w:rPr>
        <w:t>万，；便民服务站人员伙食费</w:t>
      </w:r>
      <w:r>
        <w:rPr>
          <w:rStyle w:val="a8"/>
          <w:rFonts w:ascii="楷体" w:eastAsia="楷体" w:hAnsi="楷体" w:hint="eastAsia"/>
          <w:b w:val="0"/>
          <w:bCs w:val="0"/>
          <w:spacing w:val="-4"/>
          <w:sz w:val="32"/>
          <w:szCs w:val="32"/>
        </w:rPr>
        <w:t>173.01</w:t>
      </w:r>
      <w:r>
        <w:rPr>
          <w:rStyle w:val="a8"/>
          <w:rFonts w:ascii="楷体" w:eastAsia="楷体" w:hAnsi="楷体" w:hint="eastAsia"/>
          <w:b w:val="0"/>
          <w:bCs w:val="0"/>
          <w:spacing w:val="-4"/>
          <w:sz w:val="32"/>
          <w:szCs w:val="32"/>
        </w:rPr>
        <w:t>万元，；便民服务站运行经费</w:t>
      </w:r>
      <w:r>
        <w:rPr>
          <w:rStyle w:val="a8"/>
          <w:rFonts w:ascii="楷体" w:eastAsia="楷体" w:hAnsi="楷体" w:hint="eastAsia"/>
          <w:b w:val="0"/>
          <w:bCs w:val="0"/>
          <w:spacing w:val="-4"/>
          <w:sz w:val="32"/>
          <w:szCs w:val="32"/>
        </w:rPr>
        <w:t>26.44</w:t>
      </w:r>
      <w:r>
        <w:rPr>
          <w:rStyle w:val="a8"/>
          <w:rFonts w:ascii="楷体" w:eastAsia="楷体" w:hAnsi="楷体" w:hint="eastAsia"/>
          <w:b w:val="0"/>
          <w:bCs w:val="0"/>
          <w:spacing w:val="-4"/>
          <w:sz w:val="32"/>
          <w:szCs w:val="32"/>
        </w:rPr>
        <w:t>万元，；工作经费</w:t>
      </w:r>
      <w:r>
        <w:rPr>
          <w:rStyle w:val="a8"/>
          <w:rFonts w:ascii="楷体" w:eastAsia="楷体" w:hAnsi="楷体" w:hint="eastAsia"/>
          <w:b w:val="0"/>
          <w:bCs w:val="0"/>
          <w:spacing w:val="-4"/>
          <w:sz w:val="32"/>
          <w:szCs w:val="32"/>
        </w:rPr>
        <w:t>64.38</w:t>
      </w:r>
      <w:r>
        <w:rPr>
          <w:rStyle w:val="a8"/>
          <w:rFonts w:ascii="楷体" w:eastAsia="楷体" w:hAnsi="楷体" w:hint="eastAsia"/>
          <w:b w:val="0"/>
          <w:bCs w:val="0"/>
          <w:spacing w:val="-4"/>
          <w:sz w:val="32"/>
          <w:szCs w:val="32"/>
        </w:rPr>
        <w:t>万，；临聘人员经费：</w:t>
      </w:r>
      <w:r>
        <w:rPr>
          <w:rStyle w:val="a8"/>
          <w:rFonts w:ascii="楷体" w:eastAsia="楷体" w:hAnsi="楷体" w:hint="eastAsia"/>
          <w:b w:val="0"/>
          <w:bCs w:val="0"/>
          <w:spacing w:val="-4"/>
          <w:sz w:val="32"/>
          <w:szCs w:val="32"/>
        </w:rPr>
        <w:t>2156.52</w:t>
      </w:r>
      <w:r>
        <w:rPr>
          <w:rStyle w:val="a8"/>
          <w:rFonts w:ascii="楷体" w:eastAsia="楷体" w:hAnsi="楷体" w:hint="eastAsia"/>
          <w:b w:val="0"/>
          <w:bCs w:val="0"/>
          <w:spacing w:val="-4"/>
          <w:sz w:val="32"/>
          <w:szCs w:val="32"/>
        </w:rPr>
        <w:t>万元；社区经费</w:t>
      </w:r>
      <w:r>
        <w:rPr>
          <w:rStyle w:val="a8"/>
          <w:rFonts w:ascii="楷体" w:eastAsia="楷体" w:hAnsi="楷体" w:hint="eastAsia"/>
          <w:b w:val="0"/>
          <w:bCs w:val="0"/>
          <w:spacing w:val="-4"/>
          <w:sz w:val="32"/>
          <w:szCs w:val="32"/>
        </w:rPr>
        <w:t>297.37</w:t>
      </w:r>
      <w:r>
        <w:rPr>
          <w:rStyle w:val="a8"/>
          <w:rFonts w:ascii="楷体" w:eastAsia="楷体" w:hAnsi="楷体" w:hint="eastAsia"/>
          <w:b w:val="0"/>
          <w:bCs w:val="0"/>
          <w:spacing w:val="-4"/>
          <w:sz w:val="32"/>
          <w:szCs w:val="32"/>
        </w:rPr>
        <w:t>万元；社区食堂补助经费</w:t>
      </w:r>
      <w:r>
        <w:rPr>
          <w:rStyle w:val="a8"/>
          <w:rFonts w:ascii="楷体" w:eastAsia="楷体" w:hAnsi="楷体" w:hint="eastAsia"/>
          <w:b w:val="0"/>
          <w:bCs w:val="0"/>
          <w:spacing w:val="-4"/>
          <w:sz w:val="32"/>
          <w:szCs w:val="32"/>
        </w:rPr>
        <w:t>49.51</w:t>
      </w:r>
      <w:r>
        <w:rPr>
          <w:rStyle w:val="a8"/>
          <w:rFonts w:ascii="楷体" w:eastAsia="楷体" w:hAnsi="楷体" w:hint="eastAsia"/>
          <w:b w:val="0"/>
          <w:bCs w:val="0"/>
          <w:spacing w:val="-4"/>
          <w:sz w:val="32"/>
          <w:szCs w:val="32"/>
        </w:rPr>
        <w:t>万；保障辖区内各项工作正常开展：有效保障；辖区居民满意度：</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。按照年初预算资金项目组织并实施，加强年初预算项目的管理，提高项目资金预算的准确性。振安街片区管委会按照《行政事业单位内部控制规范》《会计</w:t>
      </w:r>
      <w:r>
        <w:rPr>
          <w:rStyle w:val="a8"/>
          <w:rFonts w:ascii="楷体" w:eastAsia="楷体" w:hAnsi="楷体" w:hint="eastAsia"/>
          <w:b w:val="0"/>
          <w:bCs w:val="0"/>
          <w:spacing w:val="-4"/>
          <w:sz w:val="32"/>
          <w:szCs w:val="32"/>
        </w:rPr>
        <w:t>工作基础规范》的要求，并结合自身实际情况建立健全各部门，各环节、各岗位内部控制制度，并确保制度能够长期有效的坚持执行。项目支出要附有专项预算报告，保证了项目资金使用的合规、有效。</w:t>
      </w:r>
    </w:p>
    <w:p w:rsidR="000048AA" w:rsidRDefault="0088623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0048AA" w:rsidRDefault="0088623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w:t>
      </w:r>
      <w:r>
        <w:rPr>
          <w:rStyle w:val="a8"/>
          <w:rFonts w:ascii="楷体" w:eastAsia="楷体" w:hAnsi="楷体" w:hint="eastAsia"/>
          <w:spacing w:val="-4"/>
          <w:sz w:val="32"/>
          <w:szCs w:val="32"/>
        </w:rPr>
        <w:t>项目决策情况</w:t>
      </w:r>
    </w:p>
    <w:p w:rsidR="000048AA" w:rsidRDefault="0088623F">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项目决算指标由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立项依据充分性：项目立项符合国家法律法规、政策要求。根据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年水磨沟区第十七届人大三次会议审议批准</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年预算以及《关于下达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年水磨沟区部门预算的通知》（水财发【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号）文件精神，该项目是年初预算批复，区级资金。同时，项目与部门职责范围相符，属于部门履职所需。此外，本项目属于公共财政支持范围，符合中央、地方事权支出责任划分原则。因此，立项依据充分，得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项目按照规定的程序申请设立，根据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年水磨沟区第十七届人大三次会议审议批准</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年预算以及《关于下达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年水磨沟区部门预算的通知》（水财发【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45</w:t>
      </w:r>
      <w:r>
        <w:rPr>
          <w:rStyle w:val="a8"/>
          <w:rFonts w:ascii="楷体" w:eastAsia="楷体" w:hAnsi="楷体" w:hint="eastAsia"/>
          <w:b w:val="0"/>
          <w:bCs w:val="0"/>
          <w:spacing w:val="-4"/>
          <w:sz w:val="32"/>
          <w:szCs w:val="32"/>
        </w:rPr>
        <w:t>号）文件设立，审批文件、材料符合相关要求，故立项程序规范，得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绩效目标明确性：其中，目标已细化为具体的绩效指标工资发放人数，资金发放准确率，资金发放及时率，提高工作人员工作积</w:t>
      </w:r>
      <w:r>
        <w:rPr>
          <w:rStyle w:val="a8"/>
          <w:rFonts w:ascii="楷体" w:eastAsia="楷体" w:hAnsi="楷体" w:hint="eastAsia"/>
          <w:b w:val="0"/>
          <w:bCs w:val="0"/>
          <w:spacing w:val="-4"/>
          <w:sz w:val="32"/>
          <w:szCs w:val="32"/>
        </w:rPr>
        <w:lastRenderedPageBreak/>
        <w:t>极性等指标，可通过数量指标、质量指标</w:t>
      </w:r>
      <w:r>
        <w:rPr>
          <w:rStyle w:val="a8"/>
          <w:rFonts w:ascii="楷体" w:eastAsia="楷体" w:hAnsi="楷体" w:hint="eastAsia"/>
          <w:b w:val="0"/>
          <w:bCs w:val="0"/>
          <w:spacing w:val="-4"/>
          <w:sz w:val="32"/>
          <w:szCs w:val="32"/>
        </w:rPr>
        <w:t>、时效指标和成本指标予以量化，并具有确切的评价标准，且指标设定均与目标相关。各项指标均能在现实条件下收集到相关数据进行佐证，可通过支付凭证，发放补助附件，佐证发放标准及人数，通过工作人员及居民群众发放调查问卷，计算满意度指标，并与当年项目年度计划相对应，故绩效目标明确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预算编制科学性：项目资金预算科学，项目预算编制经过科学论证，预算内容与项目内容匹配，预算额度测算依据充分，按照标准编制，预算确定的项目投资额或资金量与工作任务相匹配；预算资金分</w:t>
      </w:r>
      <w:r>
        <w:rPr>
          <w:rStyle w:val="a8"/>
          <w:rFonts w:ascii="楷体" w:eastAsia="楷体" w:hAnsi="楷体" w:hint="eastAsia"/>
          <w:b w:val="0"/>
          <w:bCs w:val="0"/>
          <w:spacing w:val="-4"/>
          <w:sz w:val="32"/>
          <w:szCs w:val="32"/>
        </w:rPr>
        <w:t>配依据充分，资金分配额度合理。故预算编制科学性指标得分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按照预算下发批复分配资金，消化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年暂付款项年初部部门预算</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万元，资金主要用于发放临聘人员经费</w:t>
      </w:r>
      <w:r>
        <w:rPr>
          <w:rStyle w:val="a8"/>
          <w:rFonts w:ascii="楷体" w:eastAsia="楷体" w:hAnsi="楷体" w:hint="eastAsia"/>
          <w:b w:val="0"/>
          <w:bCs w:val="0"/>
          <w:spacing w:val="-4"/>
          <w:sz w:val="32"/>
          <w:szCs w:val="32"/>
        </w:rPr>
        <w:t>6770119.49</w:t>
      </w:r>
      <w:r>
        <w:rPr>
          <w:rStyle w:val="a8"/>
          <w:rFonts w:ascii="楷体" w:eastAsia="楷体" w:hAnsi="楷体" w:hint="eastAsia"/>
          <w:b w:val="0"/>
          <w:bCs w:val="0"/>
          <w:spacing w:val="-4"/>
          <w:sz w:val="32"/>
          <w:szCs w:val="32"/>
        </w:rPr>
        <w:t>元，临聘人员经费（第三次）</w:t>
      </w:r>
      <w:r>
        <w:rPr>
          <w:rStyle w:val="a8"/>
          <w:rFonts w:ascii="楷体" w:eastAsia="楷体" w:hAnsi="楷体" w:hint="eastAsia"/>
          <w:b w:val="0"/>
          <w:bCs w:val="0"/>
          <w:spacing w:val="-4"/>
          <w:sz w:val="32"/>
          <w:szCs w:val="32"/>
        </w:rPr>
        <w:t>6602273.05</w:t>
      </w:r>
      <w:r>
        <w:rPr>
          <w:rStyle w:val="a8"/>
          <w:rFonts w:ascii="楷体" w:eastAsia="楷体" w:hAnsi="楷体" w:hint="eastAsia"/>
          <w:b w:val="0"/>
          <w:bCs w:val="0"/>
          <w:spacing w:val="-4"/>
          <w:sz w:val="32"/>
          <w:szCs w:val="32"/>
        </w:rPr>
        <w:t>元，临时聘用人员经费</w:t>
      </w:r>
      <w:r>
        <w:rPr>
          <w:rStyle w:val="a8"/>
          <w:rFonts w:ascii="楷体" w:eastAsia="楷体" w:hAnsi="楷体" w:hint="eastAsia"/>
          <w:b w:val="0"/>
          <w:bCs w:val="0"/>
          <w:spacing w:val="-4"/>
          <w:sz w:val="32"/>
          <w:szCs w:val="32"/>
        </w:rPr>
        <w:t>8192800</w:t>
      </w:r>
      <w:r>
        <w:rPr>
          <w:rStyle w:val="a8"/>
          <w:rFonts w:ascii="楷体" w:eastAsia="楷体" w:hAnsi="楷体" w:hint="eastAsia"/>
          <w:b w:val="0"/>
          <w:bCs w:val="0"/>
          <w:spacing w:val="-4"/>
          <w:sz w:val="32"/>
          <w:szCs w:val="32"/>
        </w:rPr>
        <w:t>元，便民警务站人员伙食费</w:t>
      </w:r>
      <w:r>
        <w:rPr>
          <w:rStyle w:val="a8"/>
          <w:rFonts w:ascii="楷体" w:eastAsia="楷体" w:hAnsi="楷体" w:hint="eastAsia"/>
          <w:b w:val="0"/>
          <w:bCs w:val="0"/>
          <w:spacing w:val="-4"/>
          <w:sz w:val="32"/>
          <w:szCs w:val="32"/>
        </w:rPr>
        <w:t>1730130</w:t>
      </w:r>
      <w:r>
        <w:rPr>
          <w:rStyle w:val="a8"/>
          <w:rFonts w:ascii="楷体" w:eastAsia="楷体" w:hAnsi="楷体" w:hint="eastAsia"/>
          <w:b w:val="0"/>
          <w:bCs w:val="0"/>
          <w:spacing w:val="-4"/>
          <w:sz w:val="32"/>
          <w:szCs w:val="32"/>
        </w:rPr>
        <w:t>元，便民服务站运行经费</w:t>
      </w:r>
      <w:r>
        <w:rPr>
          <w:rStyle w:val="a8"/>
          <w:rFonts w:ascii="楷体" w:eastAsia="楷体" w:hAnsi="楷体" w:hint="eastAsia"/>
          <w:b w:val="0"/>
          <w:bCs w:val="0"/>
          <w:spacing w:val="-4"/>
          <w:sz w:val="32"/>
          <w:szCs w:val="32"/>
        </w:rPr>
        <w:t>264358</w:t>
      </w:r>
      <w:r>
        <w:rPr>
          <w:rStyle w:val="a8"/>
          <w:rFonts w:ascii="楷体" w:eastAsia="楷体" w:hAnsi="楷体" w:hint="eastAsia"/>
          <w:b w:val="0"/>
          <w:bCs w:val="0"/>
          <w:spacing w:val="-4"/>
          <w:sz w:val="32"/>
          <w:szCs w:val="32"/>
        </w:rPr>
        <w:t>元，封闭岗亭人员经费</w:t>
      </w:r>
      <w:r>
        <w:rPr>
          <w:rStyle w:val="a8"/>
          <w:rFonts w:ascii="楷体" w:eastAsia="楷体" w:hAnsi="楷体" w:hint="eastAsia"/>
          <w:b w:val="0"/>
          <w:bCs w:val="0"/>
          <w:spacing w:val="-4"/>
          <w:sz w:val="32"/>
          <w:szCs w:val="32"/>
        </w:rPr>
        <w:t>699259.35</w:t>
      </w:r>
      <w:r>
        <w:rPr>
          <w:rStyle w:val="a8"/>
          <w:rFonts w:ascii="楷体" w:eastAsia="楷体" w:hAnsi="楷体" w:hint="eastAsia"/>
          <w:b w:val="0"/>
          <w:bCs w:val="0"/>
          <w:spacing w:val="-4"/>
          <w:sz w:val="32"/>
          <w:szCs w:val="32"/>
        </w:rPr>
        <w:t>元，工作经费</w:t>
      </w:r>
      <w:r>
        <w:rPr>
          <w:rStyle w:val="a8"/>
          <w:rFonts w:ascii="楷体" w:eastAsia="楷体" w:hAnsi="楷体" w:hint="eastAsia"/>
          <w:b w:val="0"/>
          <w:bCs w:val="0"/>
          <w:spacing w:val="-4"/>
          <w:sz w:val="32"/>
          <w:szCs w:val="32"/>
        </w:rPr>
        <w:t>643841</w:t>
      </w:r>
      <w:r>
        <w:rPr>
          <w:rStyle w:val="a8"/>
          <w:rFonts w:ascii="楷体" w:eastAsia="楷体" w:hAnsi="楷体" w:hint="eastAsia"/>
          <w:b w:val="0"/>
          <w:bCs w:val="0"/>
          <w:spacing w:val="-4"/>
          <w:sz w:val="32"/>
          <w:szCs w:val="32"/>
        </w:rPr>
        <w:t>元，社区经费</w:t>
      </w:r>
      <w:r>
        <w:rPr>
          <w:rStyle w:val="a8"/>
          <w:rFonts w:ascii="楷体" w:eastAsia="楷体" w:hAnsi="楷体" w:hint="eastAsia"/>
          <w:b w:val="0"/>
          <w:bCs w:val="0"/>
          <w:spacing w:val="-4"/>
          <w:sz w:val="32"/>
          <w:szCs w:val="32"/>
        </w:rPr>
        <w:t>2973708</w:t>
      </w:r>
      <w:r>
        <w:rPr>
          <w:rStyle w:val="a8"/>
          <w:rFonts w:ascii="楷体" w:eastAsia="楷体" w:hAnsi="楷体" w:hint="eastAsia"/>
          <w:b w:val="0"/>
          <w:bCs w:val="0"/>
          <w:spacing w:val="-4"/>
          <w:sz w:val="32"/>
          <w:szCs w:val="32"/>
        </w:rPr>
        <w:t>元，社区食堂补助经费</w:t>
      </w:r>
      <w:r>
        <w:rPr>
          <w:rStyle w:val="a8"/>
          <w:rFonts w:ascii="楷体" w:eastAsia="楷体" w:hAnsi="楷体" w:hint="eastAsia"/>
          <w:b w:val="0"/>
          <w:bCs w:val="0"/>
          <w:spacing w:val="-4"/>
          <w:sz w:val="32"/>
          <w:szCs w:val="32"/>
        </w:rPr>
        <w:t>495097.71</w:t>
      </w:r>
      <w:r>
        <w:rPr>
          <w:rStyle w:val="a8"/>
          <w:rFonts w:ascii="楷体" w:eastAsia="楷体" w:hAnsi="楷体" w:hint="eastAsia"/>
          <w:b w:val="0"/>
          <w:bCs w:val="0"/>
          <w:spacing w:val="-4"/>
          <w:sz w:val="32"/>
          <w:szCs w:val="32"/>
        </w:rPr>
        <w:t>元。符合我单位实际情况，</w:t>
      </w:r>
      <w:r>
        <w:rPr>
          <w:rStyle w:val="a8"/>
          <w:rFonts w:ascii="楷体" w:eastAsia="楷体" w:hAnsi="楷体" w:hint="eastAsia"/>
          <w:b w:val="0"/>
          <w:bCs w:val="0"/>
          <w:spacing w:val="-4"/>
          <w:sz w:val="32"/>
          <w:szCs w:val="32"/>
        </w:rPr>
        <w:t>故资金分配合理性指标得分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0048AA" w:rsidRDefault="0088623F">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048AA" w:rsidRDefault="0088623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lastRenderedPageBreak/>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年暂付款项年初部部门预算</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万元，其中财政拨款</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万元，资金到位</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。故资金到位率指标得分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分。故资金到位率指标得分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年暂付款项年初部部门预算</w:t>
      </w:r>
      <w:r>
        <w:rPr>
          <w:rStyle w:val="a8"/>
          <w:rFonts w:ascii="楷体" w:eastAsia="楷体" w:hAnsi="楷体" w:hint="eastAsia"/>
          <w:b w:val="0"/>
          <w:bCs w:val="0"/>
          <w:spacing w:val="-4"/>
          <w:sz w:val="32"/>
          <w:szCs w:val="32"/>
        </w:rPr>
        <w:t>2837.16</w:t>
      </w:r>
      <w:r>
        <w:rPr>
          <w:rStyle w:val="a8"/>
          <w:rFonts w:ascii="楷体" w:eastAsia="楷体" w:hAnsi="楷体" w:hint="eastAsia"/>
          <w:b w:val="0"/>
          <w:bCs w:val="0"/>
          <w:spacing w:val="-4"/>
          <w:sz w:val="32"/>
          <w:szCs w:val="32"/>
        </w:rPr>
        <w:t>万元，资金主要用于发放临聘人员</w:t>
      </w:r>
      <w:r>
        <w:rPr>
          <w:rStyle w:val="a8"/>
          <w:rFonts w:ascii="楷体" w:eastAsia="楷体" w:hAnsi="楷体" w:hint="eastAsia"/>
          <w:b w:val="0"/>
          <w:bCs w:val="0"/>
          <w:spacing w:val="-4"/>
          <w:sz w:val="32"/>
          <w:szCs w:val="32"/>
        </w:rPr>
        <w:t>经费</w:t>
      </w:r>
      <w:r>
        <w:rPr>
          <w:rStyle w:val="a8"/>
          <w:rFonts w:ascii="楷体" w:eastAsia="楷体" w:hAnsi="楷体" w:hint="eastAsia"/>
          <w:b w:val="0"/>
          <w:bCs w:val="0"/>
          <w:spacing w:val="-4"/>
          <w:sz w:val="32"/>
          <w:szCs w:val="32"/>
        </w:rPr>
        <w:t>6770119.49</w:t>
      </w:r>
      <w:r>
        <w:rPr>
          <w:rStyle w:val="a8"/>
          <w:rFonts w:ascii="楷体" w:eastAsia="楷体" w:hAnsi="楷体" w:hint="eastAsia"/>
          <w:b w:val="0"/>
          <w:bCs w:val="0"/>
          <w:spacing w:val="-4"/>
          <w:sz w:val="32"/>
          <w:szCs w:val="32"/>
        </w:rPr>
        <w:t>元，临聘人员经费（第三次）</w:t>
      </w:r>
      <w:r>
        <w:rPr>
          <w:rStyle w:val="a8"/>
          <w:rFonts w:ascii="楷体" w:eastAsia="楷体" w:hAnsi="楷体" w:hint="eastAsia"/>
          <w:b w:val="0"/>
          <w:bCs w:val="0"/>
          <w:spacing w:val="-4"/>
          <w:sz w:val="32"/>
          <w:szCs w:val="32"/>
        </w:rPr>
        <w:t>6602273.05</w:t>
      </w:r>
      <w:r>
        <w:rPr>
          <w:rStyle w:val="a8"/>
          <w:rFonts w:ascii="楷体" w:eastAsia="楷体" w:hAnsi="楷体" w:hint="eastAsia"/>
          <w:b w:val="0"/>
          <w:bCs w:val="0"/>
          <w:spacing w:val="-4"/>
          <w:sz w:val="32"/>
          <w:szCs w:val="32"/>
        </w:rPr>
        <w:t>元，临时聘用人员经费</w:t>
      </w:r>
      <w:r>
        <w:rPr>
          <w:rStyle w:val="a8"/>
          <w:rFonts w:ascii="楷体" w:eastAsia="楷体" w:hAnsi="楷体" w:hint="eastAsia"/>
          <w:b w:val="0"/>
          <w:bCs w:val="0"/>
          <w:spacing w:val="-4"/>
          <w:sz w:val="32"/>
          <w:szCs w:val="32"/>
        </w:rPr>
        <w:t>8192800</w:t>
      </w:r>
      <w:r>
        <w:rPr>
          <w:rStyle w:val="a8"/>
          <w:rFonts w:ascii="楷体" w:eastAsia="楷体" w:hAnsi="楷体" w:hint="eastAsia"/>
          <w:b w:val="0"/>
          <w:bCs w:val="0"/>
          <w:spacing w:val="-4"/>
          <w:sz w:val="32"/>
          <w:szCs w:val="32"/>
        </w:rPr>
        <w:t>元，便民警务站人员伙食费</w:t>
      </w:r>
      <w:r>
        <w:rPr>
          <w:rStyle w:val="a8"/>
          <w:rFonts w:ascii="楷体" w:eastAsia="楷体" w:hAnsi="楷体" w:hint="eastAsia"/>
          <w:b w:val="0"/>
          <w:bCs w:val="0"/>
          <w:spacing w:val="-4"/>
          <w:sz w:val="32"/>
          <w:szCs w:val="32"/>
        </w:rPr>
        <w:t>1730130</w:t>
      </w:r>
      <w:r>
        <w:rPr>
          <w:rStyle w:val="a8"/>
          <w:rFonts w:ascii="楷体" w:eastAsia="楷体" w:hAnsi="楷体" w:hint="eastAsia"/>
          <w:b w:val="0"/>
          <w:bCs w:val="0"/>
          <w:spacing w:val="-4"/>
          <w:sz w:val="32"/>
          <w:szCs w:val="32"/>
        </w:rPr>
        <w:t>元，便民服务站运行经费</w:t>
      </w:r>
      <w:r>
        <w:rPr>
          <w:rStyle w:val="a8"/>
          <w:rFonts w:ascii="楷体" w:eastAsia="楷体" w:hAnsi="楷体" w:hint="eastAsia"/>
          <w:b w:val="0"/>
          <w:bCs w:val="0"/>
          <w:spacing w:val="-4"/>
          <w:sz w:val="32"/>
          <w:szCs w:val="32"/>
        </w:rPr>
        <w:t>264358</w:t>
      </w:r>
      <w:r>
        <w:rPr>
          <w:rStyle w:val="a8"/>
          <w:rFonts w:ascii="楷体" w:eastAsia="楷体" w:hAnsi="楷体" w:hint="eastAsia"/>
          <w:b w:val="0"/>
          <w:bCs w:val="0"/>
          <w:spacing w:val="-4"/>
          <w:sz w:val="32"/>
          <w:szCs w:val="32"/>
        </w:rPr>
        <w:t>元，封闭岗亭人员经费</w:t>
      </w:r>
      <w:r>
        <w:rPr>
          <w:rStyle w:val="a8"/>
          <w:rFonts w:ascii="楷体" w:eastAsia="楷体" w:hAnsi="楷体" w:hint="eastAsia"/>
          <w:b w:val="0"/>
          <w:bCs w:val="0"/>
          <w:spacing w:val="-4"/>
          <w:sz w:val="32"/>
          <w:szCs w:val="32"/>
        </w:rPr>
        <w:t>699259.35</w:t>
      </w:r>
      <w:r>
        <w:rPr>
          <w:rStyle w:val="a8"/>
          <w:rFonts w:ascii="楷体" w:eastAsia="楷体" w:hAnsi="楷体" w:hint="eastAsia"/>
          <w:b w:val="0"/>
          <w:bCs w:val="0"/>
          <w:spacing w:val="-4"/>
          <w:sz w:val="32"/>
          <w:szCs w:val="32"/>
        </w:rPr>
        <w:t>元，工作经费</w:t>
      </w:r>
      <w:r>
        <w:rPr>
          <w:rStyle w:val="a8"/>
          <w:rFonts w:ascii="楷体" w:eastAsia="楷体" w:hAnsi="楷体" w:hint="eastAsia"/>
          <w:b w:val="0"/>
          <w:bCs w:val="0"/>
          <w:spacing w:val="-4"/>
          <w:sz w:val="32"/>
          <w:szCs w:val="32"/>
        </w:rPr>
        <w:t>643841</w:t>
      </w:r>
      <w:r>
        <w:rPr>
          <w:rStyle w:val="a8"/>
          <w:rFonts w:ascii="楷体" w:eastAsia="楷体" w:hAnsi="楷体" w:hint="eastAsia"/>
          <w:b w:val="0"/>
          <w:bCs w:val="0"/>
          <w:spacing w:val="-4"/>
          <w:sz w:val="32"/>
          <w:szCs w:val="32"/>
        </w:rPr>
        <w:t>元，社区经费</w:t>
      </w:r>
      <w:r>
        <w:rPr>
          <w:rStyle w:val="a8"/>
          <w:rFonts w:ascii="楷体" w:eastAsia="楷体" w:hAnsi="楷体" w:hint="eastAsia"/>
          <w:b w:val="0"/>
          <w:bCs w:val="0"/>
          <w:spacing w:val="-4"/>
          <w:sz w:val="32"/>
          <w:szCs w:val="32"/>
        </w:rPr>
        <w:t>2973708</w:t>
      </w:r>
      <w:r>
        <w:rPr>
          <w:rStyle w:val="a8"/>
          <w:rFonts w:ascii="楷体" w:eastAsia="楷体" w:hAnsi="楷体" w:hint="eastAsia"/>
          <w:b w:val="0"/>
          <w:bCs w:val="0"/>
          <w:spacing w:val="-4"/>
          <w:sz w:val="32"/>
          <w:szCs w:val="32"/>
        </w:rPr>
        <w:t>元，社区食堂补助经费</w:t>
      </w:r>
      <w:r>
        <w:rPr>
          <w:rStyle w:val="a8"/>
          <w:rFonts w:ascii="楷体" w:eastAsia="楷体" w:hAnsi="楷体" w:hint="eastAsia"/>
          <w:b w:val="0"/>
          <w:bCs w:val="0"/>
          <w:spacing w:val="-4"/>
          <w:sz w:val="32"/>
          <w:szCs w:val="32"/>
        </w:rPr>
        <w:t>495097.71</w:t>
      </w:r>
      <w:r>
        <w:rPr>
          <w:rStyle w:val="a8"/>
          <w:rFonts w:ascii="楷体" w:eastAsia="楷体" w:hAnsi="楷体" w:hint="eastAsia"/>
          <w:b w:val="0"/>
          <w:bCs w:val="0"/>
          <w:spacing w:val="-4"/>
          <w:sz w:val="32"/>
          <w:szCs w:val="32"/>
        </w:rPr>
        <w:t>元。以上内容全部执行完毕，预算执行率为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。故预算执行率得分为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分。故预算执行率得分为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资金使用合规性：本项目资金的使用符合国家财经法规和财务管理制度管理制度以及有关市委组织部、市财政局关于《乌鲁木齐</w:t>
      </w:r>
      <w:r>
        <w:rPr>
          <w:rStyle w:val="a8"/>
          <w:rFonts w:ascii="楷体" w:eastAsia="楷体" w:hAnsi="楷体" w:hint="eastAsia"/>
          <w:b w:val="0"/>
          <w:bCs w:val="0"/>
          <w:spacing w:val="-4"/>
          <w:sz w:val="32"/>
          <w:szCs w:val="32"/>
        </w:rPr>
        <w:t>市社区工作经费管理使用办法（暂行）》（乌党组办字【</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号）、《乌鲁木齐市社区工作经费管理使用办法（暂行）》的补充通知（乌党组办字【</w:t>
      </w:r>
      <w:r>
        <w:rPr>
          <w:rStyle w:val="a8"/>
          <w:rFonts w:ascii="楷体" w:eastAsia="楷体" w:hAnsi="楷体" w:hint="eastAsia"/>
          <w:b w:val="0"/>
          <w:bCs w:val="0"/>
          <w:spacing w:val="-4"/>
          <w:sz w:val="32"/>
          <w:szCs w:val="32"/>
        </w:rPr>
        <w:t>2015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号）以及《振安街街道内部控制管理制度汇编》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振安街街道经费管理使用办法》有关专项资金管理办法的规定。同时，资金的拨付有完整的街道财务上会审批程序，需要报账的相关手续，符合项目预算批复或合同规定的用途，不存在截留、挤占、挪用、虚列支出等情况。故资金使用合规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 xml:space="preserve">2. </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管理制度健全性：振安街街道办事处</w:t>
      </w:r>
      <w:r>
        <w:rPr>
          <w:rStyle w:val="a8"/>
          <w:rFonts w:ascii="楷体" w:eastAsia="楷体" w:hAnsi="楷体" w:hint="eastAsia"/>
          <w:b w:val="0"/>
          <w:bCs w:val="0"/>
          <w:spacing w:val="-4"/>
          <w:sz w:val="32"/>
          <w:szCs w:val="32"/>
        </w:rPr>
        <w:t>的财务管理制度包括内部控制管理制度、经费管理制度及办法，其中内部控制管理制度包含预算管理制度、决算管理制度、支出管理办法、采购管理、预算绩效管理（含预算绩效评价管理）、监督检查等多项管理制度。整体来说，振安街街道办事处的财务管理制度涵盖了预算管理、资金审批、监督管理等多个方面，规范了项目资金申请、审批、复核、支付整个资金环节，保证资金使用的合规性。且制度合法、合规、完整，为项目顺利实施提供重要保障。故管理制度健全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制度执行有效性：根据评价小组核查情况，乌鲁木齐市水磨沟区振安街街道办事处严格遵守</w:t>
      </w:r>
      <w:r>
        <w:rPr>
          <w:rStyle w:val="a8"/>
          <w:rFonts w:ascii="楷体" w:eastAsia="楷体" w:hAnsi="楷体" w:hint="eastAsia"/>
          <w:b w:val="0"/>
          <w:bCs w:val="0"/>
          <w:spacing w:val="-4"/>
          <w:sz w:val="32"/>
          <w:szCs w:val="32"/>
        </w:rPr>
        <w:t>相关法律法规和相关管理规定，项目调整及支出调整手续完备，整体管理合理有序，项目完成后，及时将会计凭证、合同、调查问卷等相关资料分类归档，制度执行有效。故制度执行有效性指标得分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p>
    <w:p w:rsidR="000048AA" w:rsidRDefault="0088623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48AA" w:rsidRDefault="0088623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数量指标“社区个数”的目标值</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个。故社区个数指标得分为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数量指标“临聘人员数量”的目标值</w:t>
      </w:r>
      <w:r>
        <w:rPr>
          <w:rStyle w:val="a8"/>
          <w:rFonts w:ascii="楷体" w:eastAsia="楷体" w:hAnsi="楷体" w:hint="eastAsia"/>
          <w:b w:val="0"/>
          <w:bCs w:val="0"/>
          <w:spacing w:val="-4"/>
          <w:sz w:val="32"/>
          <w:szCs w:val="32"/>
        </w:rPr>
        <w:t>=579</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年度我单位实际临聘人员</w:t>
      </w:r>
      <w:r>
        <w:rPr>
          <w:rStyle w:val="a8"/>
          <w:rFonts w:ascii="楷体" w:eastAsia="楷体" w:hAnsi="楷体" w:hint="eastAsia"/>
          <w:b w:val="0"/>
          <w:bCs w:val="0"/>
          <w:spacing w:val="-4"/>
          <w:sz w:val="32"/>
          <w:szCs w:val="32"/>
        </w:rPr>
        <w:t>579</w:t>
      </w:r>
      <w:r>
        <w:rPr>
          <w:rStyle w:val="a8"/>
          <w:rFonts w:ascii="楷体" w:eastAsia="楷体" w:hAnsi="楷体" w:hint="eastAsia"/>
          <w:b w:val="0"/>
          <w:bCs w:val="0"/>
          <w:spacing w:val="-4"/>
          <w:sz w:val="32"/>
          <w:szCs w:val="32"/>
        </w:rPr>
        <w:t>人。故该</w:t>
      </w:r>
      <w:r>
        <w:rPr>
          <w:rStyle w:val="a8"/>
          <w:rFonts w:ascii="楷体" w:eastAsia="楷体" w:hAnsi="楷体" w:hint="eastAsia"/>
          <w:b w:val="0"/>
          <w:bCs w:val="0"/>
          <w:spacing w:val="-4"/>
          <w:sz w:val="32"/>
          <w:szCs w:val="32"/>
        </w:rPr>
        <w:t>指标得分为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数量指标“便民服务站数量”的目标值</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w:t>
      </w:r>
      <w:r>
        <w:rPr>
          <w:rStyle w:val="a8"/>
          <w:rFonts w:ascii="楷体" w:eastAsia="楷体" w:hAnsi="楷体" w:hint="eastAsia"/>
          <w:b w:val="0"/>
          <w:bCs w:val="0"/>
          <w:spacing w:val="-4"/>
          <w:sz w:val="32"/>
          <w:szCs w:val="32"/>
        </w:rPr>
        <w:lastRenderedPageBreak/>
        <w:t>便民服务站数量为</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个，故该指标得分为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经费发放准确率：质量指标“工资、社保发放准确率”的目标值为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，我单位按照财务制度和财政部门规定的支付手续，根据合同约定，及时向主管单位和财政局申请相关款项，并于</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日将资金支付给临聘人员，，得分为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质量指标“社区工作正常运转率”的目标值为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，我单位在项目完工后，根据合同约定，及时向主管单位和财政局申请相</w:t>
      </w:r>
      <w:r>
        <w:rPr>
          <w:rStyle w:val="a8"/>
          <w:rFonts w:ascii="楷体" w:eastAsia="楷体" w:hAnsi="楷体" w:hint="eastAsia"/>
          <w:b w:val="0"/>
          <w:bCs w:val="0"/>
          <w:spacing w:val="-4"/>
          <w:sz w:val="32"/>
          <w:szCs w:val="32"/>
        </w:rPr>
        <w:t>关款项，并于</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日将资金支付给各供货商，得分为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质量指标“便民服务站工作正常运转率”的目标值为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，我单位在项目完工后，根据合同约定，及时向主管单位和财政局申请相关款项，并于</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日将资金支付给各供货商。得分为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完成及时性：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时效指标“工资社保发放及时率”的目标值为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，该项目为支付街道、社区临聘人员工资、社保等，由社保所工作人员按照报账流程进行报账，街道审核后完成支付，所有工资社保均在规定时限内进行发放。得</w:t>
      </w:r>
      <w:r>
        <w:rPr>
          <w:rStyle w:val="a8"/>
          <w:rFonts w:ascii="楷体" w:eastAsia="楷体" w:hAnsi="楷体" w:hint="eastAsia"/>
          <w:b w:val="0"/>
          <w:bCs w:val="0"/>
          <w:spacing w:val="-4"/>
          <w:sz w:val="32"/>
          <w:szCs w:val="32"/>
        </w:rPr>
        <w:t>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项目预算控制率：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便民服务站伙食费标准：本项目实际支出</w:t>
      </w:r>
      <w:r>
        <w:rPr>
          <w:rStyle w:val="a8"/>
          <w:rFonts w:ascii="楷体" w:eastAsia="楷体" w:hAnsi="楷体" w:hint="eastAsia"/>
          <w:b w:val="0"/>
          <w:bCs w:val="0"/>
          <w:spacing w:val="-4"/>
          <w:sz w:val="32"/>
          <w:szCs w:val="32"/>
        </w:rPr>
        <w:t>173.01</w:t>
      </w:r>
      <w:r>
        <w:rPr>
          <w:rStyle w:val="a8"/>
          <w:rFonts w:ascii="楷体" w:eastAsia="楷体" w:hAnsi="楷体" w:hint="eastAsia"/>
          <w:b w:val="0"/>
          <w:bCs w:val="0"/>
          <w:spacing w:val="-4"/>
          <w:sz w:val="32"/>
          <w:szCs w:val="32"/>
        </w:rPr>
        <w:t>万元，涉及服务站</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个，每人标准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天，按出勤天数核算，无超支情况，项目资金全部完成，得分为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封闭化岗亭人员工资标准：封闭化岗亭人员经费</w:t>
      </w:r>
      <w:r>
        <w:rPr>
          <w:rStyle w:val="a8"/>
          <w:rFonts w:ascii="楷体" w:eastAsia="楷体" w:hAnsi="楷体" w:hint="eastAsia"/>
          <w:b w:val="0"/>
          <w:bCs w:val="0"/>
          <w:spacing w:val="-4"/>
          <w:sz w:val="32"/>
          <w:szCs w:val="32"/>
        </w:rPr>
        <w:t>69.93</w:t>
      </w:r>
      <w:r>
        <w:rPr>
          <w:rStyle w:val="a8"/>
          <w:rFonts w:ascii="楷体" w:eastAsia="楷体" w:hAnsi="楷体" w:hint="eastAsia"/>
          <w:b w:val="0"/>
          <w:bCs w:val="0"/>
          <w:spacing w:val="-4"/>
          <w:sz w:val="32"/>
          <w:szCs w:val="32"/>
        </w:rPr>
        <w:t>万元，用于发放</w:t>
      </w:r>
      <w:r>
        <w:rPr>
          <w:rStyle w:val="a8"/>
          <w:rFonts w:ascii="楷体" w:eastAsia="楷体" w:hAnsi="楷体" w:hint="eastAsia"/>
          <w:b w:val="0"/>
          <w:bCs w:val="0"/>
          <w:spacing w:val="-4"/>
          <w:sz w:val="32"/>
          <w:szCs w:val="32"/>
        </w:rPr>
        <w:t>268</w:t>
      </w:r>
      <w:r>
        <w:rPr>
          <w:rStyle w:val="a8"/>
          <w:rFonts w:ascii="楷体" w:eastAsia="楷体" w:hAnsi="楷体" w:hint="eastAsia"/>
          <w:b w:val="0"/>
          <w:bCs w:val="0"/>
          <w:spacing w:val="-4"/>
          <w:sz w:val="32"/>
          <w:szCs w:val="32"/>
        </w:rPr>
        <w:t>人工资，标准每人</w:t>
      </w:r>
      <w:r>
        <w:rPr>
          <w:rStyle w:val="a8"/>
          <w:rFonts w:ascii="楷体" w:eastAsia="楷体" w:hAnsi="楷体" w:hint="eastAsia"/>
          <w:b w:val="0"/>
          <w:bCs w:val="0"/>
          <w:spacing w:val="-4"/>
          <w:sz w:val="32"/>
          <w:szCs w:val="32"/>
        </w:rPr>
        <w:t>2600</w:t>
      </w:r>
      <w:r>
        <w:rPr>
          <w:rStyle w:val="a8"/>
          <w:rFonts w:ascii="楷体" w:eastAsia="楷体" w:hAnsi="楷体" w:hint="eastAsia"/>
          <w:b w:val="0"/>
          <w:bCs w:val="0"/>
          <w:spacing w:val="-4"/>
          <w:sz w:val="32"/>
          <w:szCs w:val="32"/>
        </w:rPr>
        <w:t>元。，无超支情况，项目资金全部完成，得分为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综上，该部分指标满分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88623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9C229E" w:rsidRDefault="0088623F"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）实施效益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社会效益指标：①评价指标“提高社区服务群众质量”，指标值：有效提高，实际完成值：达成年度指标。本项目的实施有效提高保障</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个社区正常工作运转，如办公、水、电、暖、车辆运转，维护稳定支出、民生支出等工作的正常开展保障</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个社区食堂正常运转，为社区各项工作提供有效后勤保障，通过建立良好的后勤保障，使工作人员能够更好地为辖区居民做好服务工作。因此该指标得分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②评价指标“确保服务站正</w:t>
      </w:r>
      <w:r>
        <w:rPr>
          <w:rStyle w:val="a8"/>
          <w:rFonts w:ascii="楷体" w:eastAsia="楷体" w:hAnsi="楷体" w:hint="eastAsia"/>
          <w:b w:val="0"/>
          <w:bCs w:val="0"/>
          <w:spacing w:val="-4"/>
          <w:sz w:val="32"/>
          <w:szCs w:val="32"/>
        </w:rPr>
        <w:t>常运转”，指标值：有效确保，实际完成值：达成年度指标。本项目的实施确保服务站正常运转，办公、水电暖、车辆加油及维修等基本运转支出，提高服务站工作效率。因此该指标得分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综上，该指标满分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88623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群众满意度：群众满意度：评价指标“辖区居民满意度”，指标值：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。通过设置问卷调查的方式进行考评评价，共计调查样本总量为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份。其中，统计“辖区居民满意度”的平均值为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。故满意度指标得分为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0048AA">
      <w:pPr>
        <w:spacing w:line="540" w:lineRule="exact"/>
        <w:ind w:firstLine="567"/>
        <w:rPr>
          <w:rStyle w:val="a8"/>
          <w:rFonts w:ascii="楷体" w:eastAsia="楷体" w:hAnsi="楷体"/>
          <w:spacing w:val="-4"/>
          <w:sz w:val="32"/>
          <w:szCs w:val="32"/>
        </w:rPr>
      </w:pP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rsidR="000048AA" w:rsidRDefault="0088623F">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重视项目支出绩效评价管理工作，随着财政投资项目支出规模逐年增加，财政投资项目效益评估备受关注，加强财政投资项目资金使用的监督管理，提高财政资金使用规范性、安全性和有效性尤为重要。乌鲁木齐市水磨沟区振安街街道办事处积极响应乌鲁木齐市水磨沟区财政局的号召，重视项目支出绩效评价工作。按照相关规定认真填写项目绩效目标，灵活设置包括项目产出数量、质量、时效、成本，以及社会效益、生态效益、可持续影响、服务对象满意度为主体的绩效目标，以准确反映项目的产出和效益，有效地提高了绩效评价工作质量。</w:t>
      </w:r>
      <w:r>
        <w:rPr>
          <w:rStyle w:val="a8"/>
          <w:rFonts w:ascii="楷体" w:eastAsia="楷体" w:hAnsi="楷体" w:hint="eastAsia"/>
          <w:b w:val="0"/>
          <w:bCs w:val="0"/>
          <w:spacing w:val="-4"/>
          <w:sz w:val="32"/>
          <w:szCs w:val="32"/>
        </w:rPr>
        <w:t xml:space="preserve"> 2</w:t>
      </w:r>
      <w:r>
        <w:rPr>
          <w:rStyle w:val="a8"/>
          <w:rFonts w:ascii="楷体" w:eastAsia="楷体" w:hAnsi="楷体" w:hint="eastAsia"/>
          <w:b w:val="0"/>
          <w:bCs w:val="0"/>
          <w:spacing w:val="-4"/>
          <w:sz w:val="32"/>
          <w:szCs w:val="32"/>
        </w:rPr>
        <w:t>、领导高度重视专项资金的使用，严格资金的审批，提高资金的使用效率；管理规范，能按照项目资金管理办法来严格执行，强化监督检查，有效规范和加强专项资金的管理；专款专用，严格按照资金管理办法，做到专项核算，专项专用，没有截留，挤占挪用现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部门职能不明确，个别工作分工不清晰，且人员培训和绩效考核制度不够完善，考核方案部分内容和人员名单更新滞后。</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已制定由详细的内部控制制度，且本项目已有相关的项目采购</w:t>
      </w:r>
      <w:r>
        <w:rPr>
          <w:rStyle w:val="a8"/>
          <w:rFonts w:ascii="楷体" w:eastAsia="楷体" w:hAnsi="楷体" w:hint="eastAsia"/>
          <w:b w:val="0"/>
          <w:bCs w:val="0"/>
          <w:spacing w:val="-4"/>
          <w:sz w:val="32"/>
          <w:szCs w:val="32"/>
        </w:rPr>
        <w:lastRenderedPageBreak/>
        <w:t>管理、项目时间管理、项目风险管理等制度。整个项目执行过程中严格按照制度要求进行</w:t>
      </w:r>
      <w:r>
        <w:rPr>
          <w:rStyle w:val="a8"/>
          <w:rFonts w:ascii="楷体" w:eastAsia="楷体" w:hAnsi="楷体" w:hint="eastAsia"/>
          <w:b w:val="0"/>
          <w:bCs w:val="0"/>
          <w:spacing w:val="-4"/>
          <w:sz w:val="32"/>
          <w:szCs w:val="32"/>
        </w:rPr>
        <w:t>，但缺少必要的与本项目相结合的质量管理制度。上述制度的缺乏不利于相关业务质量管理、验收及评价等工作的有效开展，业务管理制度不够完善，仍需加强。</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0048AA" w:rsidRDefault="0088623F">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一）进一步建立项目的质量管理制度乌鲁木齐市水磨沟区振安街街道办事处应建立健全业务质量管理制度。同时，由于不同项目之间的质量管理要求具有差异性，建议在总体业务质量管理制度的基础上，进一步结合每个项目的不同特点，建立与该项目相关且具体的质量管理要求，从而对每个项目都达到更可行的监督和管理，增强全员的质量意识，营造人人关注质量的良好氛围，促进财政项目的高质</w:t>
      </w:r>
      <w:r>
        <w:rPr>
          <w:rStyle w:val="a8"/>
          <w:rFonts w:ascii="楷体" w:eastAsia="楷体" w:hAnsi="楷体" w:hint="eastAsia"/>
          <w:b w:val="0"/>
          <w:bCs w:val="0"/>
          <w:spacing w:val="-4"/>
          <w:sz w:val="32"/>
          <w:szCs w:val="32"/>
        </w:rPr>
        <w:t>量完成。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全面落实经费管理制度，加强对资金使用的监管，要严格遵循街道办事处的经费管理制度，尤其是支付金额达到上会要求的，要严格遵循先报街道财经会研究同意，再根据列支事由拟定经费使用审批单，最后由经办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人、科室长、分管领导、街道财务分管领导、主管领导、财经领导小组组长填写意见签字后，最终给予支付的经费支付审批流程。通过加大对资金使用的监管力度，全面加强各类经费的管理。</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0048AA" w:rsidRDefault="0088623F">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（一）项目支出政策和路径设计科学，符合实际需要；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（二）项目安排准确，未发现背离项目立项初衷的情况；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（三）项</w:t>
      </w:r>
      <w:r>
        <w:rPr>
          <w:rStyle w:val="a8"/>
          <w:rFonts w:ascii="楷体" w:eastAsia="楷体" w:hAnsi="楷体" w:hint="eastAsia"/>
          <w:b w:val="0"/>
          <w:bCs w:val="0"/>
          <w:spacing w:val="-4"/>
          <w:sz w:val="32"/>
          <w:szCs w:val="32"/>
        </w:rPr>
        <w:t>目的申报、审核机制完善；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（四）未发现虚假行为和骗取财政资金的问题。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sectPr w:rsidR="000048AA" w:rsidSect="006C2EE5">
      <w:headerReference w:type="even" r:id="rId7"/>
      <w:headerReference w:type="default" r:id="rId8"/>
      <w:footerReference w:type="even" r:id="rId9"/>
      <w:footerReference w:type="default" r:id="rId10"/>
      <w:headerReference w:type="first" r:id="rId11"/>
      <w:footerReference w:type="first" r:id="rId12"/>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23F" w:rsidRDefault="0088623F">
      <w:r>
        <w:separator/>
      </w:r>
    </w:p>
  </w:endnote>
  <w:endnote w:type="continuationSeparator" w:id="1">
    <w:p w:rsidR="0088623F" w:rsidRDefault="008862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F0" w:rsidRDefault="00A762F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48AA" w:rsidRDefault="006C2EE5">
        <w:pPr>
          <w:pStyle w:val="a4"/>
          <w:jc w:val="center"/>
        </w:pPr>
        <w:r>
          <w:fldChar w:fldCharType="begin"/>
        </w:r>
        <w:r w:rsidR="0088623F">
          <w:instrText>PAGE   \* MERGEFORMAT</w:instrText>
        </w:r>
        <w:r>
          <w:fldChar w:fldCharType="separate"/>
        </w:r>
        <w:r w:rsidR="00A762F0" w:rsidRPr="00A762F0">
          <w:rPr>
            <w:noProof/>
            <w:lang w:val="zh-CN"/>
          </w:rPr>
          <w:t>27</w:t>
        </w:r>
        <w:r>
          <w:fldChar w:fldCharType="end"/>
        </w:r>
      </w:p>
    </w:sdtContent>
  </w:sdt>
  <w:p w:rsidR="000048AA" w:rsidRDefault="000048A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F0" w:rsidRDefault="00A762F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23F" w:rsidRDefault="0088623F">
      <w:r>
        <w:separator/>
      </w:r>
    </w:p>
  </w:footnote>
  <w:footnote w:type="continuationSeparator" w:id="1">
    <w:p w:rsidR="0088623F" w:rsidRDefault="008862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F0" w:rsidRDefault="00A762F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F0" w:rsidRDefault="00A762F0" w:rsidP="00A762F0">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F0" w:rsidRDefault="00A762F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C2EE5"/>
    <w:rsid w:val="007E3CE9"/>
    <w:rsid w:val="0083370B"/>
    <w:rsid w:val="00855E3A"/>
    <w:rsid w:val="0088623F"/>
    <w:rsid w:val="0091457F"/>
    <w:rsid w:val="00922CB9"/>
    <w:rsid w:val="009C229E"/>
    <w:rsid w:val="009E5CD9"/>
    <w:rsid w:val="00A26421"/>
    <w:rsid w:val="00A34588"/>
    <w:rsid w:val="00A4293B"/>
    <w:rsid w:val="00A67D50"/>
    <w:rsid w:val="00A762F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EE5"/>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6C2EE5"/>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6C2EE5"/>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6C2EE5"/>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6C2EE5"/>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6C2EE5"/>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6C2EE5"/>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6C2EE5"/>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6C2EE5"/>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6C2EE5"/>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C2EE5"/>
    <w:rPr>
      <w:sz w:val="18"/>
      <w:szCs w:val="18"/>
    </w:rPr>
  </w:style>
  <w:style w:type="paragraph" w:styleId="a4">
    <w:name w:val="footer"/>
    <w:basedOn w:val="a"/>
    <w:link w:val="Char0"/>
    <w:uiPriority w:val="99"/>
    <w:unhideWhenUsed/>
    <w:qFormat/>
    <w:rsid w:val="006C2EE5"/>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6C2EE5"/>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6C2EE5"/>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6C2EE5"/>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6C2EE5"/>
    <w:rPr>
      <w:b/>
      <w:bCs/>
    </w:rPr>
  </w:style>
  <w:style w:type="character" w:styleId="a9">
    <w:name w:val="Emphasis"/>
    <w:basedOn w:val="a0"/>
    <w:uiPriority w:val="20"/>
    <w:qFormat/>
    <w:rsid w:val="006C2EE5"/>
    <w:rPr>
      <w:rFonts w:asciiTheme="minorHAnsi" w:hAnsiTheme="minorHAnsi"/>
      <w:b/>
      <w:i/>
      <w:iCs/>
    </w:rPr>
  </w:style>
  <w:style w:type="character" w:customStyle="1" w:styleId="1Char">
    <w:name w:val="标题 1 Char"/>
    <w:basedOn w:val="a0"/>
    <w:link w:val="1"/>
    <w:uiPriority w:val="9"/>
    <w:qFormat/>
    <w:rsid w:val="006C2EE5"/>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6C2EE5"/>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6C2EE5"/>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6C2EE5"/>
    <w:rPr>
      <w:b/>
      <w:bCs/>
      <w:sz w:val="28"/>
      <w:szCs w:val="28"/>
    </w:rPr>
  </w:style>
  <w:style w:type="character" w:customStyle="1" w:styleId="5Char">
    <w:name w:val="标题 5 Char"/>
    <w:basedOn w:val="a0"/>
    <w:link w:val="5"/>
    <w:uiPriority w:val="9"/>
    <w:semiHidden/>
    <w:qFormat/>
    <w:rsid w:val="006C2EE5"/>
    <w:rPr>
      <w:b/>
      <w:bCs/>
      <w:i/>
      <w:iCs/>
      <w:sz w:val="26"/>
      <w:szCs w:val="26"/>
    </w:rPr>
  </w:style>
  <w:style w:type="character" w:customStyle="1" w:styleId="6Char">
    <w:name w:val="标题 6 Char"/>
    <w:basedOn w:val="a0"/>
    <w:link w:val="6"/>
    <w:uiPriority w:val="9"/>
    <w:semiHidden/>
    <w:qFormat/>
    <w:rsid w:val="006C2EE5"/>
    <w:rPr>
      <w:b/>
      <w:bCs/>
    </w:rPr>
  </w:style>
  <w:style w:type="character" w:customStyle="1" w:styleId="7Char">
    <w:name w:val="标题 7 Char"/>
    <w:basedOn w:val="a0"/>
    <w:link w:val="7"/>
    <w:uiPriority w:val="9"/>
    <w:semiHidden/>
    <w:qFormat/>
    <w:rsid w:val="006C2EE5"/>
    <w:rPr>
      <w:sz w:val="24"/>
      <w:szCs w:val="24"/>
    </w:rPr>
  </w:style>
  <w:style w:type="character" w:customStyle="1" w:styleId="8Char">
    <w:name w:val="标题 8 Char"/>
    <w:basedOn w:val="a0"/>
    <w:link w:val="8"/>
    <w:uiPriority w:val="9"/>
    <w:semiHidden/>
    <w:qFormat/>
    <w:rsid w:val="006C2EE5"/>
    <w:rPr>
      <w:i/>
      <w:iCs/>
      <w:sz w:val="24"/>
      <w:szCs w:val="24"/>
    </w:rPr>
  </w:style>
  <w:style w:type="character" w:customStyle="1" w:styleId="9Char">
    <w:name w:val="标题 9 Char"/>
    <w:basedOn w:val="a0"/>
    <w:link w:val="9"/>
    <w:uiPriority w:val="9"/>
    <w:semiHidden/>
    <w:qFormat/>
    <w:rsid w:val="006C2EE5"/>
    <w:rPr>
      <w:rFonts w:asciiTheme="majorHAnsi" w:eastAsiaTheme="majorEastAsia" w:hAnsiTheme="majorHAnsi"/>
    </w:rPr>
  </w:style>
  <w:style w:type="character" w:customStyle="1" w:styleId="Char3">
    <w:name w:val="标题 Char"/>
    <w:basedOn w:val="a0"/>
    <w:link w:val="a7"/>
    <w:uiPriority w:val="10"/>
    <w:qFormat/>
    <w:rsid w:val="006C2EE5"/>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6C2EE5"/>
    <w:rPr>
      <w:rFonts w:asciiTheme="majorHAnsi" w:eastAsiaTheme="majorEastAsia" w:hAnsiTheme="majorHAnsi"/>
      <w:sz w:val="24"/>
      <w:szCs w:val="24"/>
    </w:rPr>
  </w:style>
  <w:style w:type="paragraph" w:styleId="aa">
    <w:name w:val="No Spacing"/>
    <w:basedOn w:val="a"/>
    <w:uiPriority w:val="1"/>
    <w:qFormat/>
    <w:rsid w:val="006C2EE5"/>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6C2EE5"/>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6C2EE5"/>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6C2EE5"/>
    <w:rPr>
      <w:i/>
      <w:sz w:val="24"/>
      <w:szCs w:val="24"/>
    </w:rPr>
  </w:style>
  <w:style w:type="paragraph" w:styleId="ad">
    <w:name w:val="Intense Quote"/>
    <w:basedOn w:val="a"/>
    <w:next w:val="a"/>
    <w:link w:val="Char5"/>
    <w:uiPriority w:val="30"/>
    <w:qFormat/>
    <w:rsid w:val="006C2EE5"/>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6C2EE5"/>
    <w:rPr>
      <w:b/>
      <w:i/>
      <w:sz w:val="24"/>
    </w:rPr>
  </w:style>
  <w:style w:type="character" w:customStyle="1" w:styleId="10">
    <w:name w:val="不明显强调1"/>
    <w:uiPriority w:val="19"/>
    <w:qFormat/>
    <w:rsid w:val="006C2EE5"/>
    <w:rPr>
      <w:i/>
      <w:color w:val="595959" w:themeColor="text1" w:themeTint="A6"/>
    </w:rPr>
  </w:style>
  <w:style w:type="character" w:customStyle="1" w:styleId="11">
    <w:name w:val="明显强调1"/>
    <w:basedOn w:val="a0"/>
    <w:uiPriority w:val="21"/>
    <w:qFormat/>
    <w:rsid w:val="006C2EE5"/>
    <w:rPr>
      <w:b/>
      <w:i/>
      <w:sz w:val="24"/>
      <w:szCs w:val="24"/>
      <w:u w:val="single"/>
    </w:rPr>
  </w:style>
  <w:style w:type="character" w:customStyle="1" w:styleId="12">
    <w:name w:val="不明显参考1"/>
    <w:basedOn w:val="a0"/>
    <w:uiPriority w:val="31"/>
    <w:qFormat/>
    <w:rsid w:val="006C2EE5"/>
    <w:rPr>
      <w:sz w:val="24"/>
      <w:szCs w:val="24"/>
      <w:u w:val="single"/>
    </w:rPr>
  </w:style>
  <w:style w:type="character" w:customStyle="1" w:styleId="13">
    <w:name w:val="明显参考1"/>
    <w:basedOn w:val="a0"/>
    <w:uiPriority w:val="32"/>
    <w:qFormat/>
    <w:rsid w:val="006C2EE5"/>
    <w:rPr>
      <w:b/>
      <w:sz w:val="24"/>
      <w:u w:val="single"/>
    </w:rPr>
  </w:style>
  <w:style w:type="character" w:customStyle="1" w:styleId="14">
    <w:name w:val="书籍标题1"/>
    <w:basedOn w:val="a0"/>
    <w:uiPriority w:val="33"/>
    <w:qFormat/>
    <w:rsid w:val="006C2EE5"/>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6C2EE5"/>
    <w:pPr>
      <w:outlineLvl w:val="9"/>
    </w:pPr>
    <w:rPr>
      <w:lang w:eastAsia="en-US" w:bidi="en-US"/>
    </w:rPr>
  </w:style>
  <w:style w:type="character" w:customStyle="1" w:styleId="Char1">
    <w:name w:val="页眉 Char"/>
    <w:basedOn w:val="a0"/>
    <w:link w:val="a5"/>
    <w:uiPriority w:val="99"/>
    <w:qFormat/>
    <w:rsid w:val="006C2EE5"/>
    <w:rPr>
      <w:rFonts w:ascii="Calibri" w:eastAsia="宋体" w:hAnsi="Calibri"/>
      <w:kern w:val="2"/>
      <w:sz w:val="18"/>
      <w:szCs w:val="18"/>
    </w:rPr>
  </w:style>
  <w:style w:type="character" w:customStyle="1" w:styleId="Char0">
    <w:name w:val="页脚 Char"/>
    <w:basedOn w:val="a0"/>
    <w:link w:val="a4"/>
    <w:uiPriority w:val="99"/>
    <w:rsid w:val="006C2EE5"/>
    <w:rPr>
      <w:rFonts w:ascii="Calibri" w:eastAsia="宋体" w:hAnsi="Calibri"/>
      <w:kern w:val="2"/>
      <w:sz w:val="18"/>
      <w:szCs w:val="18"/>
    </w:rPr>
  </w:style>
  <w:style w:type="character" w:customStyle="1" w:styleId="Char">
    <w:name w:val="批注框文本 Char"/>
    <w:basedOn w:val="a0"/>
    <w:link w:val="a3"/>
    <w:uiPriority w:val="99"/>
    <w:semiHidden/>
    <w:qFormat/>
    <w:rsid w:val="006C2EE5"/>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2192</Words>
  <Characters>12498</Characters>
  <Application>Microsoft Office Word</Application>
  <DocSecurity>0</DocSecurity>
  <Lines>104</Lines>
  <Paragraphs>29</Paragraphs>
  <ScaleCrop>false</ScaleCrop>
  <Company>微软中国</Company>
  <LinksUpToDate>false</LinksUpToDate>
  <CharactersWithSpaces>14661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cp:revision>
  <cp:lastPrinted>2018-12-31T10:56:00Z</cp:lastPrinted>
  <dcterms:created xsi:type="dcterms:W3CDTF">2024-09-14T11:32:00Z</dcterms:created>
  <dcterms:modified xsi:type="dcterms:W3CDTF">2024-09-14T11:32:00Z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