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EB33E">
      <w:pPr>
        <w:spacing w:line="480" w:lineRule="auto"/>
        <w:ind w:firstLine="0" w:firstLineChars="0"/>
        <w:rPr>
          <w:rFonts w:ascii="Times New Roman" w:hAnsi="Times New Roman" w:eastAsia="黑体" w:cs="Times New Roman"/>
          <w:b/>
          <w:kern w:val="0"/>
          <w:sz w:val="50"/>
          <w:szCs w:val="50"/>
          <w:lang w:bidi="en-US"/>
        </w:rPr>
      </w:pPr>
    </w:p>
    <w:p w14:paraId="667F5D6A">
      <w:pPr>
        <w:spacing w:line="480" w:lineRule="auto"/>
        <w:ind w:firstLine="0" w:firstLineChars="0"/>
        <w:rPr>
          <w:rFonts w:ascii="Times New Roman" w:hAnsi="Times New Roman" w:eastAsia="黑体" w:cs="Times New Roman"/>
          <w:b/>
          <w:kern w:val="0"/>
          <w:sz w:val="50"/>
          <w:szCs w:val="50"/>
          <w:lang w:bidi="en-US"/>
        </w:rPr>
      </w:pPr>
    </w:p>
    <w:p w14:paraId="3F2F8A25">
      <w:pPr>
        <w:spacing w:line="480" w:lineRule="auto"/>
        <w:ind w:firstLine="0" w:firstLineChars="0"/>
        <w:rPr>
          <w:rFonts w:ascii="Times New Roman" w:hAnsi="Times New Roman" w:eastAsia="黑体" w:cs="Times New Roman"/>
          <w:b/>
          <w:kern w:val="0"/>
          <w:sz w:val="50"/>
          <w:szCs w:val="50"/>
          <w:lang w:bidi="en-US"/>
        </w:rPr>
      </w:pPr>
    </w:p>
    <w:p w14:paraId="1DD370BB">
      <w:pPr>
        <w:spacing w:line="480" w:lineRule="auto"/>
        <w:ind w:firstLine="0" w:firstLineChars="0"/>
        <w:rPr>
          <w:rFonts w:ascii="Times New Roman" w:hAnsi="Times New Roman" w:eastAsia="黑体" w:cs="Times New Roman"/>
          <w:b/>
          <w:kern w:val="0"/>
          <w:sz w:val="50"/>
          <w:szCs w:val="50"/>
          <w:lang w:bidi="en-US"/>
        </w:rPr>
      </w:pPr>
    </w:p>
    <w:p w14:paraId="53986DC1">
      <w:pPr>
        <w:spacing w:line="480" w:lineRule="auto"/>
        <w:ind w:firstLine="0" w:firstLineChars="0"/>
        <w:jc w:val="center"/>
        <w:rPr>
          <w:rFonts w:ascii="Times New Roman" w:hAnsi="Times New Roman" w:eastAsia="黑体" w:cs="Times New Roman"/>
          <w:b/>
          <w:kern w:val="0"/>
          <w:sz w:val="50"/>
          <w:szCs w:val="50"/>
          <w:lang w:bidi="en-US"/>
        </w:rPr>
      </w:pPr>
    </w:p>
    <w:p w14:paraId="19B76B51">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14:paraId="2C9CD2FA">
      <w:pPr>
        <w:spacing w:line="480" w:lineRule="auto"/>
        <w:ind w:firstLine="0" w:firstLineChars="0"/>
        <w:jc w:val="center"/>
        <w:rPr>
          <w:rFonts w:ascii="Times New Roman" w:hAnsi="Times New Roman" w:eastAsia="黑体" w:cs="Times New Roman"/>
          <w:b/>
          <w:kern w:val="0"/>
          <w:sz w:val="50"/>
          <w:szCs w:val="50"/>
          <w:lang w:bidi="en-US"/>
        </w:rPr>
      </w:pPr>
    </w:p>
    <w:p w14:paraId="17567E6A">
      <w:pPr>
        <w:spacing w:line="480" w:lineRule="auto"/>
        <w:ind w:firstLine="0" w:firstLineChars="0"/>
        <w:jc w:val="center"/>
        <w:rPr>
          <w:rFonts w:ascii="Times New Roman" w:hAnsi="Times New Roman" w:eastAsia="黑体" w:cs="Times New Roman"/>
          <w:b/>
          <w:kern w:val="0"/>
          <w:sz w:val="50"/>
          <w:szCs w:val="50"/>
          <w:lang w:bidi="en-US"/>
        </w:rPr>
      </w:pPr>
    </w:p>
    <w:p w14:paraId="6C3C67D2">
      <w:pPr>
        <w:spacing w:line="480" w:lineRule="auto"/>
        <w:ind w:firstLine="0" w:firstLineChars="0"/>
        <w:jc w:val="center"/>
        <w:rPr>
          <w:rFonts w:ascii="Times New Roman" w:hAnsi="Times New Roman" w:eastAsia="黑体" w:cs="Times New Roman"/>
          <w:b/>
          <w:kern w:val="0"/>
          <w:sz w:val="50"/>
          <w:szCs w:val="50"/>
          <w:lang w:bidi="en-US"/>
        </w:rPr>
      </w:pPr>
    </w:p>
    <w:p w14:paraId="6467CFC9">
      <w:pPr>
        <w:spacing w:line="480" w:lineRule="auto"/>
        <w:ind w:firstLine="0" w:firstLineChars="0"/>
        <w:jc w:val="center"/>
        <w:rPr>
          <w:rFonts w:ascii="Times New Roman" w:hAnsi="Times New Roman" w:eastAsia="黑体" w:cs="Times New Roman"/>
          <w:b/>
          <w:kern w:val="0"/>
          <w:sz w:val="50"/>
          <w:szCs w:val="50"/>
          <w:lang w:bidi="en-US"/>
        </w:rPr>
      </w:pPr>
    </w:p>
    <w:p w14:paraId="7D9B2C74">
      <w:pPr>
        <w:spacing w:line="480" w:lineRule="auto"/>
        <w:ind w:firstLine="0" w:firstLineChars="0"/>
        <w:jc w:val="center"/>
        <w:rPr>
          <w:rFonts w:ascii="Times New Roman" w:hAnsi="Times New Roman" w:eastAsia="黑体" w:cs="Times New Roman"/>
          <w:b/>
          <w:kern w:val="0"/>
          <w:sz w:val="50"/>
          <w:szCs w:val="50"/>
          <w:lang w:bidi="en-US"/>
        </w:rPr>
      </w:pPr>
    </w:p>
    <w:p w14:paraId="4505678F">
      <w:pPr>
        <w:spacing w:line="480" w:lineRule="auto"/>
        <w:ind w:firstLine="0" w:firstLineChars="0"/>
        <w:jc w:val="center"/>
        <w:rPr>
          <w:rFonts w:ascii="Times New Roman" w:hAnsi="Times New Roman" w:eastAsia="黑体" w:cs="Times New Roman"/>
          <w:b/>
          <w:kern w:val="0"/>
          <w:sz w:val="50"/>
          <w:szCs w:val="50"/>
          <w:lang w:bidi="en-US"/>
        </w:rPr>
      </w:pPr>
    </w:p>
    <w:p w14:paraId="7B62B7E1">
      <w:pPr>
        <w:spacing w:line="480" w:lineRule="auto"/>
        <w:ind w:firstLine="0" w:firstLineChars="0"/>
        <w:jc w:val="center"/>
        <w:rPr>
          <w:rFonts w:ascii="Times New Roman" w:hAnsi="Times New Roman" w:eastAsia="黑体" w:cs="Times New Roman"/>
          <w:b/>
          <w:kern w:val="0"/>
          <w:sz w:val="50"/>
          <w:szCs w:val="50"/>
          <w:lang w:bidi="en-US"/>
        </w:rPr>
      </w:pPr>
    </w:p>
    <w:p w14:paraId="15353843">
      <w:pPr>
        <w:spacing w:line="480" w:lineRule="auto"/>
        <w:ind w:firstLine="0" w:firstLineChars="0"/>
        <w:jc w:val="left"/>
        <w:rPr>
          <w:rFonts w:ascii="Times New Roman" w:hAnsi="Times New Roman" w:eastAsia="黑体" w:cs="Times New Roman"/>
          <w:kern w:val="0"/>
          <w:sz w:val="32"/>
          <w:szCs w:val="32"/>
          <w:lang w:bidi="en-US"/>
        </w:rPr>
      </w:pPr>
    </w:p>
    <w:p w14:paraId="35BC3031">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项目名称：</w:t>
      </w:r>
      <w:r>
        <w:rPr>
          <w:rFonts w:hint="eastAsia" w:ascii="Times New Roman" w:hAnsi="Times New Roman" w:eastAsia="黑体" w:cs="Times New Roman"/>
          <w:kern w:val="0"/>
          <w:sz w:val="32"/>
          <w:szCs w:val="32"/>
          <w:lang w:bidi="en-US"/>
        </w:rPr>
        <w:t>消化2022年暂付款项</w:t>
      </w:r>
    </w:p>
    <w:p w14:paraId="0F919714">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项目单位：</w:t>
      </w:r>
      <w:r>
        <w:rPr>
          <w:rFonts w:hint="eastAsia" w:ascii="Times New Roman" w:hAnsi="Times New Roman" w:eastAsia="黑体" w:cs="Times New Roman"/>
          <w:kern w:val="0"/>
          <w:sz w:val="32"/>
          <w:szCs w:val="32"/>
          <w:lang w:bidi="en-US"/>
        </w:rPr>
        <w:t>水磨沟区工商业联合会</w:t>
      </w:r>
    </w:p>
    <w:p w14:paraId="5F5D947C">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Times New Roman" w:hAnsi="Times New Roman" w:eastAsia="黑体" w:cs="Times New Roman"/>
          <w:kern w:val="0"/>
          <w:sz w:val="32"/>
          <w:szCs w:val="32"/>
          <w:lang w:bidi="en-US"/>
        </w:rPr>
        <w:t>水磨沟区工商业联合会</w:t>
      </w:r>
    </w:p>
    <w:p w14:paraId="2416380F">
      <w:pPr>
        <w:spacing w:line="480" w:lineRule="auto"/>
        <w:ind w:firstLine="1411" w:firstLineChars="441"/>
        <w:jc w:val="left"/>
        <w:rPr>
          <w:rFonts w:ascii="Times New Roman" w:hAnsi="Times New Roman" w:cs="Times New Roman"/>
          <w:kern w:val="0"/>
          <w:sz w:val="32"/>
          <w:szCs w:val="32"/>
          <w:lang w:bidi="en-US"/>
        </w:rPr>
      </w:pPr>
    </w:p>
    <w:p w14:paraId="03715738">
      <w:pPr>
        <w:spacing w:line="480" w:lineRule="auto"/>
        <w:ind w:firstLine="1411" w:firstLineChars="441"/>
        <w:jc w:val="left"/>
        <w:rPr>
          <w:rFonts w:ascii="Times New Roman" w:hAnsi="Times New Roman" w:cs="Times New Roman"/>
          <w:kern w:val="0"/>
          <w:sz w:val="32"/>
          <w:szCs w:val="32"/>
          <w:lang w:bidi="en-US"/>
        </w:rPr>
      </w:pPr>
    </w:p>
    <w:p w14:paraId="2E2BA290">
      <w:pPr>
        <w:spacing w:line="480" w:lineRule="auto"/>
        <w:ind w:firstLine="0" w:firstLineChars="0"/>
        <w:rPr>
          <w:rFonts w:ascii="Times New Roman" w:hAnsi="Times New Roman" w:eastAsia="黑体" w:cs="Times New Roman"/>
          <w:b/>
          <w:kern w:val="0"/>
          <w:sz w:val="32"/>
          <w:szCs w:val="32"/>
          <w:lang w:bidi="en-US"/>
        </w:rPr>
      </w:pPr>
    </w:p>
    <w:p w14:paraId="5B083006">
      <w:pPr>
        <w:spacing w:line="480" w:lineRule="auto"/>
        <w:ind w:firstLine="0" w:firstLineChars="0"/>
        <w:rPr>
          <w:rFonts w:ascii="Times New Roman" w:hAnsi="Times New Roman" w:eastAsia="黑体" w:cs="Times New Roman"/>
          <w:b/>
          <w:kern w:val="0"/>
          <w:sz w:val="32"/>
          <w:szCs w:val="32"/>
          <w:lang w:bidi="en-US"/>
        </w:rPr>
      </w:pPr>
    </w:p>
    <w:p w14:paraId="64273B7B">
      <w:pPr>
        <w:spacing w:line="480" w:lineRule="auto"/>
        <w:ind w:firstLine="0" w:firstLineChars="0"/>
        <w:jc w:val="center"/>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2023年04月</w:t>
      </w:r>
    </w:p>
    <w:sdt>
      <w:sdtPr>
        <w:rPr>
          <w:rFonts w:ascii="Times New Roman" w:hAnsi="Times New Roman" w:cs="Times New Roman"/>
          <w:lang w:val="zh-CN"/>
        </w:rPr>
        <w:id w:val="-1822651860"/>
        <w:docPartObj>
          <w:docPartGallery w:val="Table of Contents"/>
          <w:docPartUnique/>
        </w:docPartObj>
      </w:sdtPr>
      <w:sdtEndPr>
        <w:rPr>
          <w:rFonts w:ascii="Times New Roman" w:hAnsi="Times New Roman" w:cs="Times New Roman"/>
          <w:b/>
          <w:bCs/>
          <w:lang w:val="zh-CN"/>
        </w:rPr>
      </w:sdtEndPr>
      <w:sdtContent>
        <w:p w14:paraId="7B7139FE">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14:paraId="41CAC733">
          <w:pPr>
            <w:pStyle w:val="11"/>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"1-3" \h \z \u </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B48C82C">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233EEE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D606F6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79F9731">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0781089">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91F3A8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E15101A">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917A517">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B252F8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C9E5060">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07E3B09">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5AB78A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E41455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ascii="仿宋_GB2312" w:hAnsi="仿宋_GB2312" w:cs="仿宋_GB2312"/>
              <w:sz w:val="32"/>
              <w:szCs w:val="32"/>
            </w:rPr>
            <w:t>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90ECED1">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ascii="仿宋_GB2312" w:hAnsi="仿宋_GB2312" w:cs="仿宋_GB2312"/>
              <w:sz w:val="32"/>
              <w:szCs w:val="32"/>
            </w:rPr>
            <w:t>13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8211429">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ascii="仿宋_GB2312" w:hAnsi="仿宋_GB2312" w:cs="仿宋_GB2312"/>
              <w:sz w:val="32"/>
              <w:szCs w:val="32"/>
            </w:rPr>
            <w:t>13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80F3E2B">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BD09FDB">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D918328">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2614CE7">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9D01CAD">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FE8DBE8">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34942E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C994A4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FC43B67">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_Toc24290 </w:instrText>
          </w:r>
          <w:r>
            <w:rPr>
              <w:rFonts w:hint="eastAsia" w:ascii="仿宋_GB2312" w:hAnsi="仿宋_GB2312" w:cs="仿宋_GB2312"/>
              <w:sz w:val="32"/>
              <w:szCs w:val="32"/>
            </w:rPr>
            <w:fldChar w:fldCharType="separate"/>
          </w:r>
          <w:r>
            <w:rPr>
              <w:rFonts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627973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_Toc13530 </w:instrText>
          </w:r>
          <w:r>
            <w:rPr>
              <w:rFonts w:hint="eastAsia" w:ascii="仿宋_GB2312" w:hAnsi="仿宋_GB2312" w:cs="仿宋_GB2312"/>
              <w:sz w:val="32"/>
              <w:szCs w:val="32"/>
            </w:rPr>
            <w:fldChar w:fldCharType="separate"/>
          </w:r>
          <w:r>
            <w:rPr>
              <w:rFonts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7E0E6A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_Toc18346 </w:instrText>
          </w:r>
          <w:r>
            <w:rPr>
              <w:rFonts w:hint="eastAsia" w:ascii="仿宋_GB2312" w:hAnsi="仿宋_GB2312" w:cs="仿宋_GB2312"/>
              <w:sz w:val="32"/>
              <w:szCs w:val="32"/>
            </w:rPr>
            <w:fldChar w:fldCharType="separate"/>
          </w:r>
          <w:r>
            <w:rPr>
              <w:rFonts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9FE88F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_Toc3203 </w:instrText>
          </w:r>
          <w:r>
            <w:rPr>
              <w:rFonts w:hint="eastAsia" w:ascii="仿宋_GB2312" w:hAnsi="仿宋_GB2312" w:cs="仿宋_GB2312"/>
              <w:sz w:val="32"/>
              <w:szCs w:val="32"/>
            </w:rPr>
            <w:fldChar w:fldCharType="separate"/>
          </w:r>
          <w:r>
            <w:rPr>
              <w:rFonts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4DA1B5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_Toc21456 </w:instrText>
          </w:r>
          <w:r>
            <w:rPr>
              <w:rFonts w:hint="eastAsia" w:ascii="仿宋_GB2312" w:hAnsi="仿宋_GB2312" w:cs="仿宋_GB2312"/>
              <w:sz w:val="32"/>
              <w:szCs w:val="32"/>
            </w:rPr>
            <w:fldChar w:fldCharType="separate"/>
          </w:r>
          <w:r>
            <w:rPr>
              <w:rFonts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E57B2B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_Toc21326 </w:instrText>
          </w:r>
          <w:r>
            <w:rPr>
              <w:rFonts w:hint="eastAsia" w:ascii="仿宋_GB2312" w:hAnsi="仿宋_GB2312" w:cs="仿宋_GB2312"/>
              <w:sz w:val="32"/>
              <w:szCs w:val="32"/>
            </w:rPr>
            <w:fldChar w:fldCharType="separate"/>
          </w:r>
          <w:r>
            <w:rPr>
              <w:rFonts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57110A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_Toc20437 </w:instrText>
          </w:r>
          <w:r>
            <w:rPr>
              <w:rFonts w:hint="eastAsia" w:ascii="仿宋_GB2312" w:hAnsi="仿宋_GB2312" w:cs="仿宋_GB2312"/>
              <w:sz w:val="32"/>
              <w:szCs w:val="32"/>
            </w:rPr>
            <w:fldChar w:fldCharType="separate"/>
          </w:r>
          <w:r>
            <w:rPr>
              <w:rFonts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D9859E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_Toc14252 </w:instrText>
          </w:r>
          <w:r>
            <w:rPr>
              <w:rFonts w:hint="eastAsia" w:ascii="仿宋_GB2312" w:hAnsi="仿宋_GB2312" w:cs="仿宋_GB2312"/>
              <w:sz w:val="32"/>
              <w:szCs w:val="32"/>
            </w:rPr>
            <w:fldChar w:fldCharType="separate"/>
          </w:r>
          <w:r>
            <w:rPr>
              <w:rFonts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8BD5266">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_Toc15505 </w:instrText>
          </w:r>
          <w:r>
            <w:rPr>
              <w:rFonts w:hint="eastAsia" w:ascii="仿宋_GB2312" w:hAnsi="仿宋_GB2312" w:cs="仿宋_GB2312"/>
              <w:sz w:val="32"/>
              <w:szCs w:val="32"/>
            </w:rPr>
            <w:fldChar w:fldCharType="separate"/>
          </w:r>
          <w:r>
            <w:rPr>
              <w:rFonts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20EF35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_Toc15002 </w:instrText>
          </w:r>
          <w:r>
            <w:rPr>
              <w:rFonts w:hint="eastAsia" w:ascii="仿宋_GB2312" w:hAnsi="仿宋_GB2312" w:cs="仿宋_GB2312"/>
              <w:sz w:val="32"/>
              <w:szCs w:val="32"/>
            </w:rPr>
            <w:fldChar w:fldCharType="separate"/>
          </w:r>
          <w:r>
            <w:rPr>
              <w:rFonts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29A13B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_Toc5253 </w:instrText>
          </w:r>
          <w:r>
            <w:rPr>
              <w:rFonts w:hint="eastAsia" w:ascii="仿宋_GB2312" w:hAnsi="仿宋_GB2312" w:cs="仿宋_GB2312"/>
              <w:sz w:val="32"/>
              <w:szCs w:val="32"/>
            </w:rPr>
            <w:fldChar w:fldCharType="separate"/>
          </w:r>
          <w:r>
            <w:rPr>
              <w:rFonts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BF4304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"_Toc23586" </w:instrText>
          </w:r>
          <w:r>
            <w:fldChar w:fldCharType="separate"/>
          </w:r>
          <w:r>
            <w:rPr>
              <w:rFonts w:hint="eastAsia" w:ascii="仿宋_GB2312" w:hAnsi="仿宋_GB2312" w:cs="仿宋_GB2312"/>
              <w:sz w:val="32"/>
              <w:szCs w:val="32"/>
            </w:rPr>
            <w:t>2. 满意度指标完成情况分析</w:t>
          </w:r>
          <w:r>
            <w:rPr>
              <w:rFonts w:hint="eastAsia" w:ascii="仿宋_GB2312" w:hAnsi="仿宋_GB2312" w:cs="仿宋_GB2312"/>
              <w:sz w:val="32"/>
              <w:szCs w:val="32"/>
            </w:rPr>
            <w:tab/>
          </w:r>
          <w:r>
            <w:rPr>
              <w:rFonts w:hint="eastAsia" w:ascii="仿宋_GB2312" w:hAnsi="仿宋_GB2312" w:cs="仿宋_GB2312"/>
              <w:sz w:val="32"/>
              <w:szCs w:val="32"/>
            </w:rPr>
            <w:fldChar w:fldCharType="end"/>
          </w:r>
          <w:r>
            <w:rPr>
              <w:rFonts w:hint="eastAsia" w:ascii="仿宋_GB2312" w:hAnsi="仿宋_GB2312" w:cs="仿宋_GB2312"/>
              <w:sz w:val="32"/>
              <w:szCs w:val="32"/>
            </w:rPr>
            <w:t>20</w:t>
          </w:r>
        </w:p>
        <w:p w14:paraId="61ECB582">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_Toc20703 </w:instrText>
          </w:r>
          <w:r>
            <w:rPr>
              <w:rFonts w:hint="eastAsia" w:ascii="仿宋_GB2312" w:hAnsi="仿宋_GB2312" w:cs="仿宋_GB2312"/>
              <w:sz w:val="32"/>
              <w:szCs w:val="32"/>
            </w:rPr>
            <w:fldChar w:fldCharType="separate"/>
          </w:r>
          <w:r>
            <w:rPr>
              <w:rFonts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0FC328A">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_Toc27872 </w:instrText>
          </w:r>
          <w:r>
            <w:rPr>
              <w:rFonts w:hint="eastAsia" w:ascii="仿宋_GB2312" w:hAnsi="仿宋_GB2312" w:cs="仿宋_GB2312"/>
              <w:sz w:val="32"/>
              <w:szCs w:val="32"/>
            </w:rPr>
            <w:fldChar w:fldCharType="separate"/>
          </w:r>
          <w:r>
            <w:rPr>
              <w:rFonts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62BAAB3">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_Toc21348 </w:instrText>
          </w:r>
          <w:r>
            <w:rPr>
              <w:rFonts w:hint="eastAsia" w:ascii="仿宋_GB2312" w:hAnsi="仿宋_GB2312" w:cs="仿宋_GB2312"/>
              <w:sz w:val="32"/>
              <w:szCs w:val="32"/>
            </w:rPr>
            <w:fldChar w:fldCharType="separate"/>
          </w:r>
          <w:r>
            <w:rPr>
              <w:rFonts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4409BAD">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_Toc13493 </w:instrText>
          </w:r>
          <w:r>
            <w:rPr>
              <w:rFonts w:hint="eastAsia" w:ascii="仿宋_GB2312" w:hAnsi="仿宋_GB2312" w:cs="仿宋_GB2312"/>
              <w:sz w:val="32"/>
              <w:szCs w:val="32"/>
            </w:rPr>
            <w:fldChar w:fldCharType="separate"/>
          </w:r>
          <w:r>
            <w:rPr>
              <w:rFonts w:ascii="仿宋_GB2312" w:hAnsi="仿宋_GB2312" w:cs="仿宋_GB2312"/>
              <w:sz w:val="32"/>
              <w:szCs w:val="32"/>
            </w:rPr>
            <w:t>22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DA0FF0F">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D883181">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14:paraId="653A98C6">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71C4AE94">
      <w:pPr>
        <w:pStyle w:val="2"/>
        <w:spacing w:before="0" w:after="0" w:line="560" w:lineRule="exact"/>
        <w:ind w:firstLine="640"/>
        <w:jc w:val="left"/>
        <w:rPr>
          <w:rFonts w:ascii="Times New Roman" w:hAnsi="Times New Roman" w:eastAsia="黑体" w:cs="Times New Roman"/>
          <w:b w:val="0"/>
          <w:bCs w:val="0"/>
          <w:kern w:val="2"/>
          <w:sz w:val="32"/>
          <w:szCs w:val="32"/>
        </w:rPr>
      </w:pPr>
      <w:bookmarkStart w:id="0" w:name="_Toc8841"/>
      <w:bookmarkStart w:id="1" w:name="_Toc67911601"/>
      <w:r>
        <w:rPr>
          <w:rFonts w:ascii="Times New Roman" w:hAnsi="Times New Roman" w:eastAsia="黑体" w:cs="Times New Roman"/>
          <w:b w:val="0"/>
          <w:bCs w:val="0"/>
          <w:kern w:val="2"/>
          <w:sz w:val="32"/>
          <w:szCs w:val="32"/>
        </w:rPr>
        <w:t>一、基本情况</w:t>
      </w:r>
      <w:bookmarkEnd w:id="0"/>
      <w:bookmarkEnd w:id="1"/>
    </w:p>
    <w:p w14:paraId="216A6A30">
      <w:pPr>
        <w:pStyle w:val="3"/>
        <w:spacing w:before="0" w:after="0" w:line="560" w:lineRule="exact"/>
        <w:ind w:firstLine="643"/>
        <w:rPr>
          <w:rFonts w:ascii="Times New Roman" w:hAnsi="Times New Roman" w:eastAsia="楷体" w:cs="Times New Roman"/>
          <w:bCs w:val="0"/>
        </w:rPr>
      </w:pPr>
      <w:bookmarkStart w:id="2" w:name="_Toc67911602"/>
      <w:bookmarkStart w:id="3" w:name="_Toc22935"/>
      <w:r>
        <w:rPr>
          <w:rFonts w:ascii="Times New Roman" w:hAnsi="Times New Roman" w:eastAsia="楷体" w:cs="Times New Roman"/>
          <w:bCs w:val="0"/>
        </w:rPr>
        <w:t>（一）项目概况</w:t>
      </w:r>
      <w:bookmarkEnd w:id="2"/>
      <w:bookmarkEnd w:id="3"/>
    </w:p>
    <w:p w14:paraId="4D0D3742">
      <w:pPr>
        <w:pStyle w:val="4"/>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14:paraId="0F0DC40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该项目实施背景：</w:t>
      </w:r>
    </w:p>
    <w:p w14:paraId="68CF1E18">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2023年按区财政局《关于消化2022年新增暂付性款项的通知》要求，我单位消化暂付款项，单位项目支出总额为11.94万元，我单位仅有《消化2022年暂付款项》</w:t>
      </w:r>
      <w:r>
        <w:rPr>
          <w:rFonts w:ascii="Times New Roman" w:hAnsi="Times New Roman" w:cs="Times New Roman"/>
          <w:spacing w:val="8"/>
          <w:sz w:val="32"/>
          <w:szCs w:val="32"/>
        </w:rPr>
        <w:t>项目</w:t>
      </w:r>
      <w:r>
        <w:rPr>
          <w:rFonts w:hint="eastAsia" w:ascii="Times New Roman" w:hAnsi="Times New Roman" w:cs="Times New Roman"/>
          <w:spacing w:val="8"/>
          <w:sz w:val="32"/>
          <w:szCs w:val="32"/>
        </w:rPr>
        <w:t>符合要求，该项目总支出为11.94万元，占比约为100%，项目均于2022年完成，同时因为单位人员紧张，为提高工作效率，保障单位工作正常运转，因此需要招收临聘人员，由此开展了本项目，具体情况汇总如下：1.“临聘人员经费”项目资金11.94万元用于支付本单位、临时聘用人员、雇员工资。区人事部门核定我单位临聘人员指标为2人、雇员2人。其具体绩效目标：1.临聘人员按要求完成单位工作；2.我单位根据实际考勤支付临聘人员工资。</w:t>
      </w:r>
    </w:p>
    <w:p w14:paraId="5DB1333F">
      <w:pPr>
        <w:spacing w:line="360" w:lineRule="auto"/>
        <w:ind w:firstLine="672"/>
        <w:rPr>
          <w:rFonts w:ascii="Times New Roman" w:hAnsi="Times New Roman" w:cs="Times New Roman"/>
          <w:spacing w:val="8"/>
          <w:sz w:val="32"/>
          <w:szCs w:val="32"/>
        </w:rPr>
      </w:pPr>
      <w:r>
        <w:rPr>
          <w:rFonts w:ascii="Times New Roman" w:hAnsi="Times New Roman" w:cs="Times New Roman"/>
          <w:spacing w:val="8"/>
          <w:sz w:val="32"/>
          <w:szCs w:val="32"/>
        </w:rPr>
        <w:t>项目</w:t>
      </w:r>
      <w:r>
        <w:rPr>
          <w:rFonts w:hint="eastAsia" w:ascii="Times New Roman" w:hAnsi="Times New Roman" w:cs="Times New Roman"/>
          <w:spacing w:val="8"/>
          <w:sz w:val="32"/>
          <w:szCs w:val="32"/>
        </w:rPr>
        <w:t>2</w:t>
      </w:r>
      <w:r>
        <w:rPr>
          <w:rFonts w:ascii="Times New Roman" w:hAnsi="Times New Roman" w:cs="Times New Roman"/>
          <w:spacing w:val="8"/>
          <w:sz w:val="32"/>
          <w:szCs w:val="32"/>
        </w:rPr>
        <w:t>023年的主要实施内容：</w:t>
      </w:r>
      <w:r>
        <w:rPr>
          <w:rFonts w:hint="eastAsia" w:ascii="宋体" w:hAnsi="宋体" w:eastAsia="宋体" w:cs="宋体"/>
          <w:spacing w:val="8"/>
          <w:sz w:val="32"/>
          <w:szCs w:val="32"/>
        </w:rPr>
        <w:t>①</w:t>
      </w:r>
      <w:r>
        <w:rPr>
          <w:rFonts w:hint="eastAsia" w:ascii="Times New Roman" w:hAnsi="Times New Roman" w:cs="Times New Roman"/>
          <w:spacing w:val="8"/>
          <w:sz w:val="32"/>
          <w:szCs w:val="32"/>
        </w:rPr>
        <w:t>因工商联编制数3人，为提高工商联各项工作效率，更好的开展工作，为企业提供高质量服务需要招聘雇员及临聘</w:t>
      </w:r>
      <w:r>
        <w:rPr>
          <w:rFonts w:hint="eastAsia" w:ascii="宋体" w:hAnsi="宋体" w:eastAsia="宋体" w:cs="宋体"/>
          <w:spacing w:val="8"/>
          <w:sz w:val="32"/>
          <w:szCs w:val="32"/>
        </w:rPr>
        <w:t>②</w:t>
      </w:r>
      <w:r>
        <w:rPr>
          <w:rFonts w:hint="eastAsia" w:ascii="Times New Roman" w:hAnsi="Times New Roman" w:cs="Times New Roman"/>
          <w:spacing w:val="8"/>
          <w:sz w:val="32"/>
          <w:szCs w:val="32"/>
        </w:rPr>
        <w:t>根据工商联实际情况招聘雇员2人、临聘2人，根据每人每月按时发放工资，提高工商联工作开展情况</w:t>
      </w:r>
      <w:r>
        <w:rPr>
          <w:rFonts w:ascii="Times New Roman" w:hAnsi="Times New Roman" w:cs="Times New Roman"/>
          <w:spacing w:val="8"/>
          <w:sz w:val="32"/>
          <w:szCs w:val="32"/>
        </w:rPr>
        <w:t xml:space="preserve">; </w:t>
      </w:r>
    </w:p>
    <w:p w14:paraId="69939467">
      <w:pPr>
        <w:spacing w:line="360" w:lineRule="auto"/>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2</w:t>
      </w:r>
      <w:r>
        <w:rPr>
          <w:rFonts w:ascii="Times New Roman" w:hAnsi="Times New Roman" w:cs="Times New Roman"/>
          <w:spacing w:val="8"/>
          <w:sz w:val="32"/>
          <w:szCs w:val="32"/>
        </w:rPr>
        <w:t>023年当年完成情况。 2。实际完成情况为：</w:t>
      </w:r>
      <w:r>
        <w:rPr>
          <w:rFonts w:hint="eastAsia" w:ascii="Times New Roman" w:hAnsi="Times New Roman" w:cs="Times New Roman"/>
          <w:spacing w:val="8"/>
          <w:sz w:val="32"/>
          <w:szCs w:val="32"/>
        </w:rPr>
        <w:t>①根据招聘雇员2人、临聘2人每人每月按时发放工资、提高了工商联各项工作效率，保障工商联日常工作运转</w:t>
      </w:r>
      <w:r>
        <w:rPr>
          <w:rFonts w:ascii="Times New Roman" w:hAnsi="Times New Roman" w:cs="Times New Roman"/>
          <w:spacing w:val="8"/>
          <w:sz w:val="32"/>
          <w:szCs w:val="32"/>
        </w:rPr>
        <w:t>;</w:t>
      </w:r>
      <w:r>
        <w:rPr>
          <w:rFonts w:hint="eastAsia" w:ascii="宋体" w:hAnsi="宋体" w:eastAsia="宋体" w:cs="宋体"/>
          <w:spacing w:val="8"/>
          <w:sz w:val="32"/>
          <w:szCs w:val="32"/>
        </w:rPr>
        <w:t>②</w:t>
      </w:r>
      <w:r>
        <w:rPr>
          <w:rFonts w:hint="eastAsia" w:ascii="Times New Roman" w:hAnsi="Times New Roman" w:cs="Times New Roman"/>
          <w:spacing w:val="8"/>
          <w:sz w:val="32"/>
          <w:szCs w:val="32"/>
        </w:rPr>
        <w:t>根据招聘的4人保障发放次数达到12次、临聘每人每月人均工资发放标准0.39万元、雇员每人每月人均工资发放标准0.82万元、确保单位此项工作顺利开展。</w:t>
      </w:r>
    </w:p>
    <w:p w14:paraId="6CC279AC">
      <w:pPr>
        <w:pStyle w:val="4"/>
        <w:spacing w:before="0" w:after="0" w:line="560" w:lineRule="exact"/>
        <w:ind w:firstLine="643"/>
        <w:rPr>
          <w:rFonts w:ascii="Times New Roman" w:hAnsi="Times New Roman" w:cs="Times New Roman"/>
        </w:rPr>
      </w:pPr>
      <w:bookmarkStart w:id="5" w:name="_Toc32047"/>
      <w:r>
        <w:rPr>
          <w:rFonts w:ascii="Times New Roman" w:hAnsi="Times New Roman" w:cs="Times New Roman"/>
        </w:rPr>
        <w:t>2. 资金投入和使用情况</w:t>
      </w:r>
      <w:bookmarkEnd w:id="5"/>
    </w:p>
    <w:p w14:paraId="7BC2BE7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该项目资金投入情况：</w:t>
      </w:r>
      <w:r>
        <w:rPr>
          <w:rFonts w:hint="eastAsia" w:ascii="Times New Roman" w:hAnsi="Times New Roman" w:cs="Times New Roman"/>
          <w:spacing w:val="8"/>
          <w:sz w:val="32"/>
          <w:szCs w:val="32"/>
        </w:rPr>
        <w:t>经水财发[2023]45号《关于下达2023年水磨沟区部门预算的通知》文件批准</w:t>
      </w:r>
      <w:r>
        <w:rPr>
          <w:rFonts w:ascii="Times New Roman" w:hAnsi="Times New Roman" w:cs="Times New Roman"/>
          <w:spacing w:val="8"/>
          <w:sz w:val="32"/>
          <w:szCs w:val="32"/>
        </w:rPr>
        <w:t>，项目系2023年本级资金，共安排预算</w:t>
      </w:r>
      <w:r>
        <w:rPr>
          <w:rFonts w:hint="eastAsia" w:ascii="Times New Roman" w:hAnsi="Times New Roman" w:cs="Times New Roman"/>
          <w:spacing w:val="8"/>
          <w:sz w:val="32"/>
          <w:szCs w:val="32"/>
        </w:rPr>
        <w:t>11.94</w:t>
      </w:r>
      <w:r>
        <w:rPr>
          <w:rFonts w:ascii="Times New Roman" w:hAnsi="Times New Roman" w:cs="Times New Roman"/>
          <w:spacing w:val="8"/>
          <w:sz w:val="32"/>
          <w:szCs w:val="32"/>
        </w:rPr>
        <w:t>万元，于2023年年初部分预算批复项目，年中</w:t>
      </w:r>
      <w:r>
        <w:rPr>
          <w:rFonts w:hint="eastAsia" w:ascii="Times New Roman" w:hAnsi="Times New Roman" w:cs="Times New Roman"/>
          <w:spacing w:val="8"/>
          <w:sz w:val="32"/>
          <w:szCs w:val="32"/>
        </w:rPr>
        <w:t>无</w:t>
      </w:r>
      <w:r>
        <w:rPr>
          <w:rFonts w:ascii="Times New Roman" w:hAnsi="Times New Roman" w:cs="Times New Roman"/>
          <w:spacing w:val="8"/>
          <w:sz w:val="32"/>
          <w:szCs w:val="32"/>
        </w:rPr>
        <w:t>资金调整情况。</w:t>
      </w:r>
    </w:p>
    <w:p w14:paraId="4FB6DD7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该项目资金使用情况：总预算</w:t>
      </w:r>
      <w:r>
        <w:rPr>
          <w:rFonts w:hint="eastAsia" w:ascii="Times New Roman" w:hAnsi="Times New Roman" w:cs="Times New Roman"/>
          <w:spacing w:val="8"/>
          <w:sz w:val="32"/>
          <w:szCs w:val="32"/>
        </w:rPr>
        <w:t>11.94万元</w:t>
      </w:r>
      <w:r>
        <w:rPr>
          <w:rFonts w:ascii="Times New Roman" w:hAnsi="Times New Roman" w:cs="Times New Roman"/>
          <w:spacing w:val="8"/>
          <w:sz w:val="32"/>
          <w:szCs w:val="32"/>
        </w:rPr>
        <w:t>、</w:t>
      </w:r>
      <w:r>
        <w:rPr>
          <w:rFonts w:hint="eastAsia" w:ascii="Times New Roman" w:hAnsi="Times New Roman" w:cs="Times New Roman"/>
          <w:spacing w:val="8"/>
          <w:sz w:val="32"/>
          <w:szCs w:val="32"/>
        </w:rPr>
        <w:t>实际支付11.94万元，资金执行率100%。分别用于以下项目：按月，按考勤发放临聘、雇员工资及补助。</w:t>
      </w:r>
    </w:p>
    <w:p w14:paraId="355BC3CD">
      <w:pPr>
        <w:pStyle w:val="3"/>
        <w:spacing w:before="0" w:after="0" w:line="560" w:lineRule="exact"/>
        <w:ind w:firstLine="643"/>
        <w:rPr>
          <w:rFonts w:ascii="Times New Roman" w:hAnsi="Times New Roman" w:eastAsia="楷体" w:cs="Times New Roman"/>
          <w:bCs w:val="0"/>
        </w:rPr>
      </w:pPr>
      <w:bookmarkStart w:id="6" w:name="_Toc22403"/>
      <w:bookmarkStart w:id="7" w:name="_Toc67911603"/>
      <w:r>
        <w:rPr>
          <w:rFonts w:ascii="Times New Roman" w:hAnsi="Times New Roman" w:eastAsia="楷体" w:cs="Times New Roman"/>
          <w:bCs w:val="0"/>
        </w:rPr>
        <w:t>（二）项目绩效目标</w:t>
      </w:r>
      <w:bookmarkEnd w:id="6"/>
      <w:bookmarkEnd w:id="7"/>
    </w:p>
    <w:p w14:paraId="10B349B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rPr>
        <w:t>〔2018〕56号</w:t>
      </w:r>
      <w:bookmarkEnd w:id="8"/>
      <w:r>
        <w:rPr>
          <w:rFonts w:ascii="Times New Roman" w:hAnsi="Times New Roman" w:cs="Times New Roman"/>
          <w:spacing w:val="8"/>
          <w:sz w:val="32"/>
          <w:szCs w:val="32"/>
        </w:rPr>
        <w:t>）、</w:t>
      </w:r>
      <w:r>
        <w:rPr>
          <w:rFonts w:hint="eastAsia" w:ascii="Times New Roman" w:hAnsi="Times New Roman" w:cs="Times New Roman"/>
          <w:spacing w:val="8"/>
          <w:sz w:val="32"/>
          <w:szCs w:val="32"/>
        </w:rPr>
        <w:t>《关于印发&lt;自治区项目支出绩效目标设置指引&gt;的通知》（新财预〔2022〕42号）</w:t>
      </w:r>
      <w:r>
        <w:rPr>
          <w:rFonts w:ascii="Times New Roman" w:hAnsi="Times New Roman" w:cs="Times New Roman"/>
          <w:spacing w:val="8"/>
          <w:sz w:val="32"/>
          <w:szCs w:val="32"/>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491FFB4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该项目为当年一次性项目</w:t>
      </w:r>
      <w:r>
        <w:rPr>
          <w:rFonts w:hint="eastAsia" w:ascii="Times New Roman" w:hAnsi="Times New Roman" w:cs="Times New Roman"/>
          <w:spacing w:val="8"/>
          <w:sz w:val="32"/>
          <w:szCs w:val="32"/>
        </w:rPr>
        <w:t>。</w:t>
      </w:r>
    </w:p>
    <w:p w14:paraId="6AF787B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该项目总体绩效目标：</w:t>
      </w:r>
      <w:r>
        <w:rPr>
          <w:rFonts w:hint="eastAsia" w:ascii="Times New Roman" w:hAnsi="Times New Roman" w:cs="Times New Roman"/>
          <w:spacing w:val="8"/>
          <w:sz w:val="32"/>
          <w:szCs w:val="32"/>
        </w:rPr>
        <w:t>加强对2名临聘及2名雇员的管理，按月，按考勤，发放临聘人员工资及补助。对项目资金按项目单独核算实行“专款专用专管”。有效促进临聘人员工作积极性，保障单位工作顺利开展。</w:t>
      </w:r>
    </w:p>
    <w:p w14:paraId="351D744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该项目阶段性目标为：在2023年计划</w:t>
      </w:r>
      <w:r>
        <w:rPr>
          <w:rFonts w:hint="eastAsia" w:ascii="Times New Roman" w:hAnsi="Times New Roman" w:cs="Times New Roman"/>
          <w:spacing w:val="8"/>
          <w:sz w:val="32"/>
          <w:szCs w:val="32"/>
        </w:rPr>
        <w:t>工资发放次数12次、临聘每人每月人均工资发放标准0.39万元、雇员每人每月人均工资发放标准0.82万元、确保单位此项工作顺利开展。</w:t>
      </w:r>
    </w:p>
    <w:p w14:paraId="4602C60C">
      <w:pPr>
        <w:pStyle w:val="2"/>
        <w:spacing w:before="0" w:after="0" w:line="560" w:lineRule="exact"/>
        <w:ind w:firstLine="640"/>
        <w:jc w:val="left"/>
        <w:rPr>
          <w:rFonts w:ascii="Times New Roman" w:hAnsi="Times New Roman" w:eastAsia="黑体" w:cs="Times New Roman"/>
          <w:b w:val="0"/>
          <w:bCs w:val="0"/>
          <w:kern w:val="2"/>
          <w:sz w:val="32"/>
          <w:szCs w:val="32"/>
        </w:rPr>
      </w:pPr>
      <w:bookmarkStart w:id="9" w:name="_Toc10640"/>
      <w:bookmarkStart w:id="10" w:name="_Toc67911604"/>
      <w:r>
        <w:rPr>
          <w:rFonts w:ascii="Times New Roman" w:hAnsi="Times New Roman" w:eastAsia="黑体" w:cs="Times New Roman"/>
          <w:b w:val="0"/>
          <w:bCs w:val="0"/>
          <w:kern w:val="2"/>
          <w:sz w:val="32"/>
          <w:szCs w:val="32"/>
        </w:rPr>
        <w:t>二、绩效评价工作开展情况</w:t>
      </w:r>
      <w:bookmarkEnd w:id="9"/>
      <w:bookmarkEnd w:id="10"/>
    </w:p>
    <w:p w14:paraId="737496AB">
      <w:pPr>
        <w:pStyle w:val="3"/>
        <w:spacing w:before="0" w:after="0" w:line="560" w:lineRule="exact"/>
        <w:ind w:firstLine="643"/>
        <w:rPr>
          <w:rFonts w:ascii="Times New Roman" w:hAnsi="Times New Roman" w:eastAsia="楷体" w:cs="Times New Roman"/>
          <w:bCs w:val="0"/>
        </w:rPr>
      </w:pPr>
      <w:bookmarkStart w:id="11" w:name="_Toc67911605"/>
      <w:bookmarkStart w:id="12" w:name="_Toc379"/>
      <w:r>
        <w:rPr>
          <w:rFonts w:ascii="Times New Roman" w:hAnsi="Times New Roman" w:eastAsia="楷体" w:cs="Times New Roman"/>
          <w:bCs w:val="0"/>
        </w:rPr>
        <w:t>（一）绩效评价目的、对象和范围</w:t>
      </w:r>
      <w:bookmarkEnd w:id="11"/>
      <w:bookmarkEnd w:id="12"/>
    </w:p>
    <w:p w14:paraId="55E73662">
      <w:pPr>
        <w:pStyle w:val="4"/>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14:paraId="221E2F29">
      <w:pPr>
        <w:spacing w:line="560" w:lineRule="exact"/>
        <w:ind w:firstLine="672"/>
        <w:rPr>
          <w:rFonts w:ascii="Times New Roman" w:hAnsi="Times New Roman" w:cs="Times New Roman"/>
          <w:spacing w:val="8"/>
          <w:sz w:val="32"/>
          <w:szCs w:val="32"/>
        </w:rPr>
      </w:pPr>
      <w:bookmarkStart w:id="14" w:name="_Toc120"/>
      <w:r>
        <w:rPr>
          <w:rFonts w:hint="eastAsia" w:ascii="Times New Roman" w:hAnsi="Times New Roman" w:cs="Times New Roman"/>
          <w:spacing w:val="8"/>
          <w:sz w:val="32"/>
          <w:szCs w:val="32"/>
        </w:rPr>
        <w:t>本项目数量指标可分解为雇员及临聘人员工资发放人数量、发放工资次数。</w:t>
      </w:r>
    </w:p>
    <w:p w14:paraId="7B03FE66">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质量指标为资金使用准确率等指标进行量化。</w:t>
      </w:r>
    </w:p>
    <w:p w14:paraId="63438C55">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时效指标可通过按月发放工资及时率确保绩效目标与实际相符，合理设置目标</w:t>
      </w:r>
      <w:r>
        <w:rPr>
          <w:rFonts w:ascii="Times New Roman" w:hAnsi="Times New Roman" w:cs="Times New Roman"/>
          <w:spacing w:val="8"/>
          <w:sz w:val="32"/>
          <w:szCs w:val="32"/>
        </w:rPr>
        <w:t>。</w:t>
      </w:r>
    </w:p>
    <w:p w14:paraId="316B8DB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其次，</w:t>
      </w:r>
      <w:r>
        <w:rPr>
          <w:rFonts w:hint="eastAsia" w:ascii="Times New Roman" w:hAnsi="Times New Roman" w:cs="Times New Roman"/>
          <w:spacing w:val="8"/>
          <w:sz w:val="32"/>
          <w:szCs w:val="32"/>
        </w:rPr>
        <w:t>通过</w:t>
      </w:r>
      <w:r>
        <w:rPr>
          <w:rFonts w:ascii="Times New Roman" w:hAnsi="Times New Roman" w:cs="Times New Roman"/>
          <w:spacing w:val="8"/>
          <w:sz w:val="32"/>
          <w:szCs w:val="32"/>
        </w:rPr>
        <w:t>分析项目的计划和执行过程，</w:t>
      </w:r>
      <w:r>
        <w:rPr>
          <w:rFonts w:hint="eastAsia" w:ascii="Times New Roman" w:hAnsi="Times New Roman" w:cs="Times New Roman"/>
          <w:spacing w:val="8"/>
          <w:sz w:val="32"/>
          <w:szCs w:val="32"/>
        </w:rPr>
        <w:t>全年按期完成雇员及临聘人员工资发放，</w:t>
      </w:r>
      <w:r>
        <w:rPr>
          <w:rFonts w:ascii="Times New Roman" w:hAnsi="Times New Roman" w:cs="Times New Roman"/>
          <w:spacing w:val="8"/>
          <w:sz w:val="32"/>
          <w:szCs w:val="32"/>
        </w:rPr>
        <w:t>项目的进展情况和完成度</w:t>
      </w:r>
      <w:r>
        <w:rPr>
          <w:rFonts w:hint="eastAsia" w:ascii="Times New Roman" w:hAnsi="Times New Roman" w:cs="Times New Roman"/>
          <w:spacing w:val="8"/>
          <w:sz w:val="32"/>
          <w:szCs w:val="32"/>
        </w:rPr>
        <w:t>一致，能够客观真实的评价项目实际执行情况与预期值差异，如存在差异，可认真分析差异原因</w:t>
      </w:r>
      <w:r>
        <w:rPr>
          <w:rFonts w:ascii="Times New Roman" w:hAnsi="Times New Roman" w:cs="Times New Roman"/>
          <w:spacing w:val="8"/>
          <w:sz w:val="32"/>
          <w:szCs w:val="32"/>
        </w:rPr>
        <w:t>。</w:t>
      </w:r>
    </w:p>
    <w:p w14:paraId="06279FF6">
      <w:pPr>
        <w:spacing w:line="360" w:lineRule="auto"/>
        <w:ind w:firstLine="672"/>
        <w:rPr>
          <w:rFonts w:ascii="仿宋_GB2312" w:hAnsi="仿宋"/>
          <w:szCs w:val="28"/>
        </w:rPr>
      </w:pPr>
      <w:r>
        <w:rPr>
          <w:rFonts w:ascii="Times New Roman" w:hAnsi="Times New Roman" w:cs="Times New Roman"/>
          <w:spacing w:val="8"/>
          <w:sz w:val="32"/>
          <w:szCs w:val="32"/>
        </w:rPr>
        <w:t>最后，</w:t>
      </w:r>
      <w:r>
        <w:rPr>
          <w:rFonts w:hint="eastAsia" w:ascii="Times New Roman" w:hAnsi="Times New Roman" w:cs="Times New Roman"/>
          <w:spacing w:val="8"/>
          <w:sz w:val="32"/>
          <w:szCs w:val="32"/>
        </w:rPr>
        <w:t>结合上级下发的考核方案、预算指标下达文件、临聘、雇员考勤、支付凭证等工作资料及原始凭证获取绩效评价指标的数据</w:t>
      </w:r>
    </w:p>
    <w:p w14:paraId="39305FFB">
      <w:pPr>
        <w:pStyle w:val="4"/>
        <w:spacing w:before="0" w:after="0" w:line="560" w:lineRule="exact"/>
        <w:ind w:firstLine="643"/>
        <w:rPr>
          <w:rFonts w:ascii="Times New Roman" w:hAnsi="Times New Roman" w:cs="Times New Roman"/>
        </w:rPr>
      </w:pPr>
      <w:r>
        <w:rPr>
          <w:rFonts w:ascii="Times New Roman" w:hAnsi="Times New Roman" w:cs="Times New Roman"/>
        </w:rPr>
        <w:t>2. 评价目的</w:t>
      </w:r>
      <w:bookmarkEnd w:id="14"/>
    </w:p>
    <w:p w14:paraId="0FDF0231">
      <w:pPr>
        <w:spacing w:line="560" w:lineRule="exact"/>
        <w:ind w:firstLine="672"/>
        <w:rPr>
          <w:rFonts w:ascii="Times New Roman" w:hAnsi="Times New Roman" w:cs="Times New Roman"/>
          <w:spacing w:val="8"/>
          <w:sz w:val="32"/>
          <w:szCs w:val="32"/>
        </w:rPr>
      </w:pPr>
      <w:bookmarkStart w:id="15" w:name="_Toc26380"/>
      <w:r>
        <w:rPr>
          <w:rFonts w:ascii="Times New Roman" w:hAnsi="Times New Roman" w:cs="Times New Roman"/>
          <w:spacing w:val="8"/>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spacing w:val="8"/>
          <w:sz w:val="32"/>
          <w:szCs w:val="32"/>
        </w:rPr>
        <w:t>消化2022年暂付款项</w:t>
      </w:r>
      <w:r>
        <w:rPr>
          <w:rFonts w:ascii="Times New Roman" w:hAnsi="Times New Roman" w:cs="Times New Roman"/>
          <w:spacing w:val="8"/>
          <w:sz w:val="32"/>
          <w:szCs w:val="32"/>
        </w:rPr>
        <w:t>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7963DBC0">
      <w:pPr>
        <w:pStyle w:val="4"/>
        <w:spacing w:before="0" w:after="0" w:line="560" w:lineRule="exact"/>
        <w:ind w:firstLine="643"/>
        <w:rPr>
          <w:rFonts w:ascii="Times New Roman" w:hAnsi="Times New Roman" w:cs="Times New Roman"/>
        </w:rPr>
      </w:pPr>
      <w:r>
        <w:rPr>
          <w:rFonts w:ascii="Times New Roman" w:hAnsi="Times New Roman" w:cs="Times New Roman"/>
        </w:rPr>
        <w:t>3. 评价对象</w:t>
      </w:r>
      <w:bookmarkEnd w:id="15"/>
    </w:p>
    <w:p w14:paraId="06F25FA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（1）绩效评价的对象：</w:t>
      </w:r>
      <w:r>
        <w:rPr>
          <w:rFonts w:hint="eastAsia" w:ascii="Times New Roman" w:hAnsi="Times New Roman" w:cs="Times New Roman"/>
          <w:spacing w:val="8"/>
          <w:sz w:val="32"/>
          <w:szCs w:val="32"/>
        </w:rPr>
        <w:t>消化2022年暂付款项</w:t>
      </w:r>
      <w:r>
        <w:rPr>
          <w:rFonts w:ascii="Times New Roman" w:hAnsi="Times New Roman" w:cs="Times New Roman"/>
          <w:spacing w:val="8"/>
          <w:sz w:val="32"/>
          <w:szCs w:val="32"/>
        </w:rPr>
        <w:t>项目</w:t>
      </w:r>
    </w:p>
    <w:p w14:paraId="1B4CF3F9">
      <w:pPr>
        <w:pStyle w:val="4"/>
        <w:spacing w:before="0" w:after="0" w:line="560" w:lineRule="exact"/>
        <w:ind w:firstLine="643"/>
        <w:rPr>
          <w:rFonts w:ascii="Times New Roman" w:hAnsi="Times New Roman" w:cs="Times New Roman"/>
        </w:rPr>
      </w:pPr>
      <w:bookmarkStart w:id="16" w:name="_Toc10044"/>
      <w:r>
        <w:rPr>
          <w:rFonts w:ascii="Times New Roman" w:hAnsi="Times New Roman" w:cs="Times New Roman"/>
        </w:rPr>
        <w:t>4. 绩效评价范围</w:t>
      </w:r>
      <w:bookmarkEnd w:id="16"/>
    </w:p>
    <w:p w14:paraId="72384A8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（1）时间范围：2023年1月1日至2023年12月31日。</w:t>
      </w:r>
    </w:p>
    <w:p w14:paraId="73FDD9D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（2）项目范围：</w:t>
      </w:r>
    </w:p>
    <w:p w14:paraId="74912524">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产出情况：消化2022年暂付款项</w:t>
      </w:r>
      <w:r>
        <w:rPr>
          <w:rFonts w:ascii="Times New Roman" w:hAnsi="Times New Roman" w:cs="Times New Roman"/>
          <w:spacing w:val="8"/>
          <w:sz w:val="32"/>
          <w:szCs w:val="32"/>
        </w:rPr>
        <w:t>项目</w:t>
      </w:r>
      <w:r>
        <w:rPr>
          <w:rFonts w:hint="eastAsia" w:ascii="Times New Roman" w:hAnsi="Times New Roman" w:cs="Times New Roman"/>
          <w:spacing w:val="8"/>
          <w:sz w:val="32"/>
          <w:szCs w:val="32"/>
        </w:rPr>
        <w:t>总金额为11.94万元，为确保单位全年工作正常开展，雇用临聘人员2人、雇员2人。按期足额发放4名临聘人员工资，总计资金11.94万元。</w:t>
      </w:r>
    </w:p>
    <w:p w14:paraId="10F4B9D0">
      <w:pPr>
        <w:spacing w:line="560" w:lineRule="exact"/>
        <w:ind w:firstLine="674"/>
        <w:rPr>
          <w:rFonts w:ascii="Times New Roman" w:hAnsi="Times New Roman" w:cs="Times New Roman"/>
          <w:spacing w:val="8"/>
          <w:sz w:val="32"/>
          <w:szCs w:val="32"/>
        </w:rPr>
      </w:pPr>
      <w:r>
        <w:rPr>
          <w:rFonts w:hint="eastAsia" w:ascii="Times New Roman" w:hAnsi="Times New Roman" w:cs="Times New Roman"/>
          <w:b/>
          <w:bCs/>
          <w:spacing w:val="8"/>
          <w:sz w:val="32"/>
          <w:szCs w:val="32"/>
        </w:rPr>
        <w:t>产生效益</w:t>
      </w:r>
      <w:r>
        <w:rPr>
          <w:rFonts w:hint="eastAsia" w:ascii="Times New Roman" w:hAnsi="Times New Roman" w:cs="Times New Roman"/>
          <w:b/>
          <w:bCs/>
          <w:spacing w:val="8"/>
        </w:rPr>
        <w:t>：</w:t>
      </w:r>
      <w:r>
        <w:rPr>
          <w:rFonts w:hint="eastAsia" w:ascii="仿宋_GB2312" w:hAnsi="Times New Roman" w:cs="Times New Roman"/>
          <w:spacing w:val="8"/>
          <w:sz w:val="32"/>
          <w:szCs w:val="32"/>
        </w:rPr>
        <w:t>①</w:t>
      </w:r>
      <w:r>
        <w:rPr>
          <w:rFonts w:hint="eastAsia" w:ascii="Times New Roman" w:hAnsi="Times New Roman" w:cs="Times New Roman"/>
          <w:spacing w:val="8"/>
          <w:sz w:val="32"/>
          <w:szCs w:val="32"/>
        </w:rPr>
        <w:t>有效提升社会就业率。单位因为工作需要，通过劳务派遣公司雇用2名临聘人员、2名雇员，协助单位开展日常工作，提高工作效率，按考勤发放人员工资，有效提高了社会就业率。</w:t>
      </w:r>
    </w:p>
    <w:p w14:paraId="145A3A62">
      <w:pPr>
        <w:spacing w:line="560" w:lineRule="exact"/>
        <w:ind w:firstLine="674"/>
        <w:rPr>
          <w:rFonts w:ascii="Times New Roman" w:hAnsi="Times New Roman" w:cs="Times New Roman"/>
          <w:spacing w:val="8"/>
          <w:sz w:val="32"/>
          <w:szCs w:val="32"/>
        </w:rPr>
      </w:pPr>
      <w:r>
        <w:rPr>
          <w:rFonts w:hint="eastAsia" w:ascii="Times New Roman" w:hAnsi="Times New Roman" w:cs="Times New Roman"/>
          <w:b/>
          <w:bCs/>
          <w:spacing w:val="8"/>
          <w:sz w:val="32"/>
          <w:szCs w:val="32"/>
        </w:rPr>
        <w:t>主要经验及做法：</w:t>
      </w:r>
      <w:r>
        <w:rPr>
          <w:rFonts w:hint="eastAsia" w:ascii="仿宋_GB2312" w:hAnsi="Times New Roman" w:cs="Times New Roman"/>
          <w:spacing w:val="8"/>
          <w:sz w:val="32"/>
          <w:szCs w:val="32"/>
        </w:rPr>
        <w:t>①</w:t>
      </w:r>
      <w:r>
        <w:rPr>
          <w:rFonts w:hint="eastAsia" w:ascii="Times New Roman" w:hAnsi="Times New Roman" w:cs="Times New Roman"/>
          <w:spacing w:val="8"/>
          <w:sz w:val="32"/>
          <w:szCs w:val="32"/>
        </w:rPr>
        <w:t>提高认识，强化领导，全面推进绩效管理。</w:t>
      </w:r>
      <w:r>
        <w:rPr>
          <w:rFonts w:hint="eastAsia" w:ascii="仿宋_GB2312" w:hAnsi="Times New Roman" w:cs="Times New Roman"/>
          <w:spacing w:val="8"/>
          <w:sz w:val="32"/>
          <w:szCs w:val="32"/>
        </w:rPr>
        <w:t>②</w:t>
      </w:r>
      <w:r>
        <w:rPr>
          <w:rFonts w:hint="eastAsia" w:ascii="Times New Roman" w:hAnsi="Times New Roman" w:cs="Times New Roman"/>
          <w:spacing w:val="8"/>
          <w:sz w:val="32"/>
          <w:szCs w:val="32"/>
        </w:rPr>
        <w:t>科学设置指标，注重细节，为全面推进绩效管理奠定基础。</w:t>
      </w:r>
      <w:r>
        <w:rPr>
          <w:rFonts w:hint="eastAsia" w:ascii="仿宋_GB2312" w:hAnsi="Times New Roman" w:cs="Times New Roman"/>
          <w:spacing w:val="8"/>
          <w:sz w:val="32"/>
          <w:szCs w:val="32"/>
        </w:rPr>
        <w:t>③</w:t>
      </w:r>
      <w:r>
        <w:rPr>
          <w:rFonts w:hint="eastAsia" w:ascii="Times New Roman" w:hAnsi="Times New Roman" w:cs="Times New Roman"/>
          <w:spacing w:val="8"/>
          <w:sz w:val="32"/>
          <w:szCs w:val="32"/>
        </w:rPr>
        <w:t>建立合理的绩效监测、考评制度，是绩效管理工作持续有效的开展。</w:t>
      </w:r>
    </w:p>
    <w:p w14:paraId="621C34E9">
      <w:pPr>
        <w:spacing w:line="560" w:lineRule="exact"/>
        <w:ind w:firstLine="674"/>
        <w:rPr>
          <w:rFonts w:ascii="Times New Roman" w:hAnsi="Times New Roman" w:cs="Times New Roman"/>
          <w:spacing w:val="8"/>
          <w:sz w:val="32"/>
          <w:szCs w:val="32"/>
        </w:rPr>
      </w:pPr>
      <w:r>
        <w:rPr>
          <w:rFonts w:hint="eastAsia" w:ascii="Times New Roman" w:hAnsi="Times New Roman" w:cs="Times New Roman"/>
          <w:b/>
          <w:bCs/>
          <w:spacing w:val="8"/>
          <w:sz w:val="32"/>
          <w:szCs w:val="32"/>
        </w:rPr>
        <w:t>存在的问题及原因分析：</w:t>
      </w:r>
      <w:bookmarkStart w:id="17" w:name="_Toc67911606"/>
      <w:bookmarkStart w:id="18" w:name="_Toc23125"/>
      <w:bookmarkStart w:id="19" w:name="_Hlk67586765"/>
      <w:r>
        <w:rPr>
          <w:rFonts w:hint="eastAsia" w:ascii="Times New Roman" w:hAnsi="Times New Roman" w:cs="Times New Roman"/>
          <w:spacing w:val="8"/>
          <w:sz w:val="32"/>
          <w:szCs w:val="32"/>
        </w:rPr>
        <w:t>单位对项目绩效的重视度较低，需加强对项目绩效的重视程度。加强项目管理，提高单位管理层及项目组对项目绩效的重视程度，造成此问题的主要原因为绩效工作开展时间较短，工作人员对项目绩效的认知较为模糊，今后加强培训，提高工作人员对项目绩效工作的认识及重视程度。</w:t>
      </w:r>
    </w:p>
    <w:p w14:paraId="3BBDF054">
      <w:pPr>
        <w:spacing w:line="560" w:lineRule="exact"/>
        <w:ind w:firstLine="674"/>
        <w:rPr>
          <w:rFonts w:ascii="Times New Roman" w:hAnsi="Times New Roman" w:cs="Times New Roman"/>
          <w:b/>
          <w:bCs/>
          <w:spacing w:val="8"/>
          <w:sz w:val="32"/>
          <w:szCs w:val="32"/>
        </w:rPr>
      </w:pPr>
      <w:r>
        <w:rPr>
          <w:rFonts w:hint="eastAsia" w:ascii="Times New Roman" w:hAnsi="Times New Roman" w:cs="Times New Roman"/>
          <w:b/>
          <w:bCs/>
          <w:spacing w:val="8"/>
          <w:sz w:val="32"/>
          <w:szCs w:val="32"/>
        </w:rPr>
        <w:t>评价工作的开展情况：</w:t>
      </w:r>
      <w:r>
        <w:rPr>
          <w:rFonts w:hint="eastAsia" w:ascii="Times New Roman" w:hAnsi="Times New Roman" w:cs="Times New Roman"/>
          <w:spacing w:val="8"/>
          <w:sz w:val="32"/>
          <w:szCs w:val="32"/>
        </w:rPr>
        <w:t>首先根据本项目的特点、资金来源及使用情况、设置的绩效目标及各监控节点监控情况，召集项目负责人描述并细化项目绩效总目标，制定绩效评价工作方案。其次针对细化的项目绩效目标开展评价工作，积极收集、分类整理、审查核实项目资料，对项目立项、组织实施情况、资金投入情况、绩效目标执行等情况进行核实，在此基础上运用观察、检查、询问、穿行测试、实质性分析等综合程序，对资金的使用效果、项目的管理及执行、社会效益等方面进行综合评价，查找差异并分析形成差异的原因，最后撰写项目支出绩效评价报告，总结开展项目绩效评价工作主要经验及做法，监督绩效评价工作的开展情况。</w:t>
      </w:r>
    </w:p>
    <w:p w14:paraId="6AD3E58A">
      <w:pPr>
        <w:spacing w:line="560" w:lineRule="exact"/>
        <w:ind w:firstLine="674"/>
        <w:rPr>
          <w:rFonts w:ascii="Times New Roman" w:hAnsi="Times New Roman" w:cs="Times New Roman"/>
          <w:spacing w:val="8"/>
          <w:sz w:val="32"/>
          <w:szCs w:val="32"/>
        </w:rPr>
      </w:pPr>
      <w:r>
        <w:rPr>
          <w:rFonts w:hint="eastAsia" w:ascii="Times New Roman" w:hAnsi="Times New Roman" w:cs="Times New Roman"/>
          <w:b/>
          <w:bCs/>
          <w:spacing w:val="8"/>
          <w:sz w:val="32"/>
          <w:szCs w:val="32"/>
        </w:rPr>
        <w:t>综合性评价结论：</w:t>
      </w:r>
      <w:r>
        <w:rPr>
          <w:rFonts w:ascii="Times New Roman" w:hAnsi="Times New Roman" w:cs="Times New Roman"/>
          <w:spacing w:val="8"/>
          <w:sz w:val="32"/>
          <w:szCs w:val="32"/>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rPr>
        <w:t>消化2022年暂付款项目</w:t>
      </w:r>
      <w:r>
        <w:rPr>
          <w:rFonts w:ascii="Times New Roman" w:hAnsi="Times New Roman" w:cs="Times New Roman"/>
          <w:spacing w:val="8"/>
          <w:sz w:val="32"/>
          <w:szCs w:val="32"/>
        </w:rPr>
        <w:t>进行客观评价，最终评分结果为：总分为</w:t>
      </w:r>
      <w:r>
        <w:rPr>
          <w:rFonts w:hint="eastAsia" w:ascii="Times New Roman" w:hAnsi="Times New Roman" w:cs="Times New Roman"/>
          <w:spacing w:val="8"/>
          <w:sz w:val="32"/>
          <w:szCs w:val="32"/>
        </w:rPr>
        <w:t>90</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rPr>
        <w:t>优</w:t>
      </w:r>
      <w:r>
        <w:rPr>
          <w:rFonts w:ascii="Times New Roman" w:hAnsi="Times New Roman" w:cs="Times New Roman"/>
          <w:spacing w:val="8"/>
          <w:sz w:val="32"/>
          <w:szCs w:val="32"/>
        </w:rPr>
        <w:t>”</w:t>
      </w:r>
    </w:p>
    <w:p w14:paraId="5E19DD89">
      <w:pPr>
        <w:pStyle w:val="3"/>
        <w:spacing w:before="0" w:after="0" w:line="560" w:lineRule="exact"/>
        <w:ind w:firstLine="643"/>
        <w:rPr>
          <w:rFonts w:ascii="Times New Roman" w:hAnsi="Times New Roman" w:eastAsia="楷体" w:cs="Times New Roman"/>
          <w:bCs w:val="0"/>
        </w:rPr>
      </w:pPr>
      <w:r>
        <w:rPr>
          <w:rFonts w:ascii="Times New Roman" w:hAnsi="Times New Roman" w:eastAsia="楷体" w:cs="Times New Roman"/>
          <w:bCs w:val="0"/>
        </w:rPr>
        <w:t>（二）绩效评价原则、指标体系、方法及标准</w:t>
      </w:r>
      <w:bookmarkEnd w:id="17"/>
      <w:bookmarkEnd w:id="18"/>
    </w:p>
    <w:bookmarkEnd w:id="19"/>
    <w:p w14:paraId="4C5503FA">
      <w:pPr>
        <w:pStyle w:val="4"/>
        <w:spacing w:before="0" w:after="0" w:line="560" w:lineRule="exact"/>
        <w:ind w:firstLine="643"/>
        <w:rPr>
          <w:rFonts w:ascii="Times New Roman" w:hAnsi="Times New Roman" w:cs="Times New Roman"/>
        </w:rPr>
      </w:pPr>
      <w:bookmarkStart w:id="20" w:name="_Toc14270"/>
      <w:r>
        <w:rPr>
          <w:rFonts w:ascii="Times New Roman" w:hAnsi="Times New Roman" w:cs="Times New Roman"/>
        </w:rPr>
        <w:t>1. 评价原则</w:t>
      </w:r>
      <w:bookmarkEnd w:id="20"/>
    </w:p>
    <w:p w14:paraId="622F9C7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（1）科学公正。绩效评价应当运用科学合理的方法，按照规范的程序，对项目绩效进行客观、公正的反映。</w:t>
      </w:r>
    </w:p>
    <w:p w14:paraId="5793003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D7BF62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14:paraId="579FFF0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（4）公开透明。绩效评价结果应依法依规公开，并自觉接受社会监督。</w:t>
      </w:r>
    </w:p>
    <w:p w14:paraId="300791DA">
      <w:pPr>
        <w:pStyle w:val="4"/>
        <w:spacing w:before="0" w:after="0" w:line="560" w:lineRule="exact"/>
        <w:ind w:firstLine="643"/>
        <w:rPr>
          <w:rFonts w:ascii="Times New Roman" w:hAnsi="Times New Roman" w:cs="Times New Roman"/>
        </w:rPr>
      </w:pPr>
      <w:bookmarkStart w:id="21" w:name="_Toc1619"/>
      <w:r>
        <w:rPr>
          <w:rFonts w:ascii="Times New Roman" w:hAnsi="Times New Roman" w:cs="Times New Roman"/>
        </w:rPr>
        <w:t>2. 评价指标体系</w:t>
      </w:r>
      <w:bookmarkEnd w:id="21"/>
    </w:p>
    <w:p w14:paraId="2D7317A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绩效评价指标体系作为衡量绩效目标实现程度的考核工具，一般遵循以下原则：</w:t>
      </w:r>
    </w:p>
    <w:p w14:paraId="335F827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（1）相关性原则：绩效评价指标应当与绩效目标有直接的联系，能够恰当反映目标的实现程度。</w:t>
      </w:r>
    </w:p>
    <w:p w14:paraId="721CE16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（2）重要性原则：应当优先使用最具评价对象代表性、最能反映评价要求的核心指标。</w:t>
      </w:r>
    </w:p>
    <w:p w14:paraId="5900F66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（3）可比性原则：对同类评价对象要设定共性的绩效评价指标，以便于评价结果可以相互比较。</w:t>
      </w:r>
    </w:p>
    <w:p w14:paraId="14F9A52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14:paraId="4841E44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（5）经济性原则：绩效评价指标设计应当通俗易懂、简便易行，数据的获得应当考虑现实条件和可操作性，符合成本效益原则。</w:t>
      </w:r>
    </w:p>
    <w:p w14:paraId="22DF04C2">
      <w:pPr>
        <w:spacing w:line="560" w:lineRule="exact"/>
        <w:ind w:firstLine="672"/>
        <w:rPr>
          <w:rFonts w:ascii="Times New Roman" w:hAnsi="Times New Roman" w:cs="Times New Roman"/>
          <w:spacing w:val="8"/>
          <w:sz w:val="32"/>
          <w:szCs w:val="32"/>
        </w:rPr>
      </w:pPr>
      <w:bookmarkStart w:id="73" w:name="_GoBack"/>
      <w:r>
        <w:rPr>
          <w:rFonts w:ascii="Times New Roman" w:hAnsi="Times New Roman" w:cs="Times New Roman"/>
          <w:spacing w:val="8"/>
          <w:sz w:val="32"/>
          <w:szCs w:val="32"/>
        </w:rPr>
        <w:t>本项目的评价指标体系建立如表</w:t>
      </w:r>
      <w:r>
        <w:rPr>
          <w:rFonts w:hint="eastAsia" w:ascii="Times New Roman" w:hAnsi="Times New Roman" w:cs="Times New Roman"/>
          <w:spacing w:val="8"/>
          <w:sz w:val="32"/>
          <w:szCs w:val="32"/>
        </w:rPr>
        <w:t>1</w:t>
      </w:r>
      <w:r>
        <w:rPr>
          <w:rFonts w:ascii="Times New Roman" w:hAnsi="Times New Roman" w:cs="Times New Roman"/>
          <w:spacing w:val="8"/>
          <w:sz w:val="32"/>
          <w:szCs w:val="32"/>
        </w:rPr>
        <w:t>-1所示</w:t>
      </w:r>
    </w:p>
    <w:p w14:paraId="333A8560">
      <w:pPr>
        <w:spacing w:line="560" w:lineRule="exact"/>
        <w:ind w:firstLine="672"/>
        <w:rPr>
          <w:rFonts w:ascii="Times New Roman" w:hAnsi="Times New Roman" w:cs="Times New Roman"/>
          <w:spacing w:val="8"/>
          <w:sz w:val="32"/>
          <w:szCs w:val="3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bookmarkEnd w:id="73"/>
    <w:p w14:paraId="0E9FD298">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w:t>
      </w:r>
      <w:r>
        <w:rPr>
          <w:rFonts w:hint="eastAsia" w:ascii="Times New Roman" w:hAnsi="Times New Roman" w:cs="Times New Roman"/>
          <w:b/>
          <w:bCs/>
          <w:sz w:val="24"/>
          <w:szCs w:val="24"/>
        </w:rPr>
        <w:t>1</w:t>
      </w:r>
      <w:r>
        <w:rPr>
          <w:rFonts w:ascii="Times New Roman" w:hAnsi="Times New Roman" w:cs="Times New Roman"/>
          <w:b/>
          <w:bCs/>
          <w:sz w:val="24"/>
          <w:szCs w:val="24"/>
        </w:rPr>
        <w:t>-1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6A0DCB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245ECEBD">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99" w:type="dxa"/>
            <w:tcBorders>
              <w:tl2br w:val="nil"/>
              <w:tr2bl w:val="nil"/>
            </w:tcBorders>
            <w:shd w:val="clear" w:color="auto" w:fill="D0CECE" w:themeFill="background2" w:themeFillShade="E6"/>
            <w:vAlign w:val="center"/>
          </w:tcPr>
          <w:p w14:paraId="642DE101">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1411" w:type="dxa"/>
            <w:tcBorders>
              <w:tl2br w:val="nil"/>
              <w:tr2bl w:val="nil"/>
            </w:tcBorders>
            <w:shd w:val="clear" w:color="auto" w:fill="D0CECE" w:themeFill="background2" w:themeFillShade="E6"/>
            <w:vAlign w:val="center"/>
          </w:tcPr>
          <w:p w14:paraId="4F1DD3FB">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themeFill="background2" w:themeFillShade="E6"/>
            <w:vAlign w:val="center"/>
          </w:tcPr>
          <w:p w14:paraId="465A1E3F">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themeFill="background2" w:themeFillShade="E6"/>
            <w:vAlign w:val="center"/>
          </w:tcPr>
          <w:p w14:paraId="0A473D78">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14:paraId="1A47F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2E3B725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399DC1B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1411" w:type="dxa"/>
            <w:tcBorders>
              <w:tl2br w:val="nil"/>
              <w:tr2bl w:val="nil"/>
            </w:tcBorders>
            <w:shd w:val="clear" w:color="auto" w:fill="FFFFFF"/>
            <w:vAlign w:val="center"/>
          </w:tcPr>
          <w:p w14:paraId="741CF14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14:paraId="1561174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14:paraId="48C784A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29396798">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①项目立项是否符合国家法律法规、国民经济发展规划和相关政策；</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②项目立项是否符合行业发展规划和政策要求；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③项目立项是否与部门职责范围相符，属于部门履职所需；</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④项目是否属于公共财政支持范围，是否符合中央、地方事权支出责任划分原则；</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⑤项目是否与相关部门同类项目或部门内部相关项目重复。</w:t>
            </w:r>
          </w:p>
        </w:tc>
      </w:tr>
      <w:tr w14:paraId="2BE49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55435851">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139FF02C">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79CD8C2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14:paraId="5D8732B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14:paraId="26B0D83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696391FD">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①项目是否按照规定的程序申请设立；</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②审批文件、材料是否符合相关要求；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③事前是否已经过必要的可行性研究、专家论证、风险评估、绩效评估、集体决策。</w:t>
            </w:r>
          </w:p>
        </w:tc>
      </w:tr>
      <w:tr w14:paraId="6D938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BD68195">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6F36309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0CF29CE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14:paraId="527AC6A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14:paraId="4B23C1F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5D6187F">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（如未设定预算绩效目标，也可考核其他工作任务目标）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①项目是否有绩效目标；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②项目绩效目标与实际工作内容是否具有相关性；</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③项目预期产出效益和效果是否符合正常的业绩水平；</w:t>
            </w:r>
          </w:p>
          <w:p w14:paraId="71769733">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14:paraId="678457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4EF9B64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tcBorders>
              <w:tl2br w:val="nil"/>
              <w:tr2bl w:val="nil"/>
            </w:tcBorders>
            <w:shd w:val="clear" w:color="auto" w:fill="FFFFFF"/>
            <w:vAlign w:val="center"/>
          </w:tcPr>
          <w:p w14:paraId="5CD2D5E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1F65C2E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14:paraId="1DF3280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14:paraId="1452938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3EF2110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①是否将项目绩效目标细化分解为具体的绩效指标；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②是否通过清晰、可衡量的指标值予以体现；</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③是否与项目目标任务数或计划数相对应。</w:t>
            </w:r>
          </w:p>
        </w:tc>
      </w:tr>
      <w:tr w14:paraId="572B6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5B11D33B">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55E175D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1411" w:type="dxa"/>
            <w:tcBorders>
              <w:tl2br w:val="nil"/>
              <w:tr2bl w:val="nil"/>
            </w:tcBorders>
            <w:shd w:val="clear" w:color="auto" w:fill="FFFFFF"/>
            <w:vAlign w:val="center"/>
          </w:tcPr>
          <w:p w14:paraId="4573B40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14:paraId="02CDECA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14:paraId="30FC651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DBDD89A">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①预算编制是否经过科学论证；</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②预算内容与项目内容是否匹配；</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③预算额度测算依据是否充分，是否按照标准编制；</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④预算确定的项目投资额或资金量是否与工作任务相匹配。</w:t>
            </w:r>
          </w:p>
        </w:tc>
      </w:tr>
      <w:tr w14:paraId="7FEB3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37627C64">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584AD235">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496F18D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14:paraId="4618C4E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14:paraId="3F47834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35830F3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①预算资金分配依据是否充分；</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②资金分配额度是否合理，与项目单位或地方实际是否相适应。</w:t>
            </w:r>
          </w:p>
        </w:tc>
      </w:tr>
      <w:tr w14:paraId="3C1B13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7EF92D8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38551F5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349F169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14:paraId="56330A4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7F1E3B0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14:paraId="45CC6C3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14:paraId="4E5F610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14:paraId="0E504C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5DA3901">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4FC9DDBD">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0E4C779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14:paraId="2694FD8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3CCFE35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预算执行率=（实际支出资金/实际到位资金）×100%。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实际支出资金：一定时期（本年度或项目期）内项目实际拨付的资金。</w:t>
            </w:r>
          </w:p>
        </w:tc>
      </w:tr>
      <w:tr w14:paraId="5B25B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399E4A8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tcBorders>
              <w:tl2br w:val="nil"/>
              <w:tr2bl w:val="nil"/>
            </w:tcBorders>
            <w:shd w:val="clear" w:color="auto" w:fill="FFFFFF"/>
            <w:vAlign w:val="center"/>
          </w:tcPr>
          <w:p w14:paraId="089E0DE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3287861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14:paraId="142F3AC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14:paraId="72EDCC4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27C2117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①是否符合国家财经法规和财务管理制度以及有关专项资金管理办法的规定；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②资金的拨付是否有完整的审批程序和手续；</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③是否符合项目预算批复或合同规定的用途；</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④是否存在截留、挤占、挪用、虚列支出等情况。</w:t>
            </w:r>
          </w:p>
        </w:tc>
      </w:tr>
      <w:tr w14:paraId="532466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5129F37A">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516E5F1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1411" w:type="dxa"/>
            <w:tcBorders>
              <w:tl2br w:val="nil"/>
              <w:tr2bl w:val="nil"/>
            </w:tcBorders>
            <w:shd w:val="clear" w:color="auto" w:fill="FFFFFF"/>
            <w:vAlign w:val="center"/>
          </w:tcPr>
          <w:p w14:paraId="1243ECE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14:paraId="52E3F5B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14:paraId="0E56563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2136ECBA">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①是否已制定或具有相应的财务和业务管理制度；</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②财务和业务管理制度是否合法、合规、完整。</w:t>
            </w:r>
          </w:p>
        </w:tc>
      </w:tr>
      <w:tr w14:paraId="1BC61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67D088E">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75BDF112">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12D6364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14:paraId="3EEDFE1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14:paraId="4B38A0B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679DAA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①是否遵守相关法律法规和相关管理规定；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②项目调整及支出调整手续是否完备；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③项目合同书、验收报告、技术鉴定等资料是否齐全并及时归档；</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④项目实施的人员条件、场地设备、信息支撑等是否落实到位。</w:t>
            </w:r>
          </w:p>
        </w:tc>
      </w:tr>
      <w:tr w14:paraId="786AC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19F4691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w:t>
            </w:r>
          </w:p>
        </w:tc>
        <w:tc>
          <w:tcPr>
            <w:tcW w:w="1199" w:type="dxa"/>
            <w:vMerge w:val="restart"/>
            <w:tcBorders>
              <w:tl2br w:val="nil"/>
              <w:tr2bl w:val="nil"/>
            </w:tcBorders>
            <w:shd w:val="clear" w:color="auto" w:fill="FFFFFF"/>
            <w:vAlign w:val="center"/>
          </w:tcPr>
          <w:p w14:paraId="506F513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产出数量</w:t>
            </w:r>
          </w:p>
        </w:tc>
        <w:tc>
          <w:tcPr>
            <w:tcW w:w="1411" w:type="dxa"/>
            <w:tcBorders>
              <w:tl2br w:val="nil"/>
              <w:tr2bl w:val="nil"/>
            </w:tcBorders>
            <w:shd w:val="clear" w:color="auto" w:fill="FFFFFF"/>
          </w:tcPr>
          <w:p w14:paraId="598CADD5">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雇员及临聘人员工资发放人数</w:t>
            </w:r>
          </w:p>
        </w:tc>
        <w:tc>
          <w:tcPr>
            <w:tcW w:w="2789" w:type="dxa"/>
            <w:vMerge w:val="restart"/>
            <w:tcBorders>
              <w:tl2br w:val="nil"/>
              <w:tr2bl w:val="nil"/>
            </w:tcBorders>
            <w:shd w:val="clear" w:color="000000" w:fill="FFFFFF"/>
            <w:vAlign w:val="center"/>
          </w:tcPr>
          <w:p w14:paraId="04F5BD5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626C865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实际完成率=（实际产出数/计划产出数）×100%。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实际产出数：一定时期（本年度或项目期）内项目实际产出的产品或提供的服务数量。</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计划产出数：项目绩效目标确定的在一定时期（本年度或项目期）内计划产出的产品或提供的服务数量。</w:t>
            </w:r>
          </w:p>
        </w:tc>
      </w:tr>
      <w:tr w14:paraId="18B6C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337316D8">
            <w:pPr>
              <w:ind w:firstLine="44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6140249F">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tcPr>
          <w:p w14:paraId="74C9E4E4">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工资发放次数</w:t>
            </w:r>
          </w:p>
        </w:tc>
        <w:tc>
          <w:tcPr>
            <w:tcW w:w="2789" w:type="dxa"/>
            <w:vMerge w:val="continue"/>
            <w:tcBorders>
              <w:tl2br w:val="nil"/>
              <w:tr2bl w:val="nil"/>
            </w:tcBorders>
            <w:shd w:val="clear" w:color="000000" w:fill="FFFFFF"/>
            <w:vAlign w:val="center"/>
          </w:tcPr>
          <w:p w14:paraId="005EE5B5">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539F135D">
            <w:pPr>
              <w:widowControl/>
              <w:ind w:firstLine="0" w:firstLineChars="0"/>
              <w:rPr>
                <w:rFonts w:ascii="Times New Roman" w:hAnsi="Times New Roman" w:cs="Times New Roman"/>
                <w:color w:val="000000"/>
                <w:kern w:val="0"/>
                <w:sz w:val="22"/>
              </w:rPr>
            </w:pPr>
          </w:p>
        </w:tc>
      </w:tr>
      <w:tr w14:paraId="6ACC9A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14:paraId="56FEA659">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024076C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产出质量</w:t>
            </w:r>
          </w:p>
        </w:tc>
        <w:tc>
          <w:tcPr>
            <w:tcW w:w="1411" w:type="dxa"/>
            <w:tcBorders>
              <w:tl2br w:val="nil"/>
              <w:tr2bl w:val="nil"/>
            </w:tcBorders>
            <w:shd w:val="clear" w:color="auto" w:fill="FFFFFF"/>
            <w:vAlign w:val="center"/>
          </w:tcPr>
          <w:p w14:paraId="7E189C75">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资金使用准确率</w:t>
            </w:r>
          </w:p>
        </w:tc>
        <w:tc>
          <w:tcPr>
            <w:tcW w:w="2789" w:type="dxa"/>
            <w:tcBorders>
              <w:tl2br w:val="nil"/>
              <w:tr2bl w:val="nil"/>
            </w:tcBorders>
            <w:shd w:val="clear" w:color="000000" w:fill="FFFFFF"/>
            <w:vAlign w:val="center"/>
          </w:tcPr>
          <w:p w14:paraId="1137264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0BC3257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14:paraId="5881134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A368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464949B4">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049D596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1411" w:type="dxa"/>
            <w:tcBorders>
              <w:tl2br w:val="nil"/>
              <w:tr2bl w:val="nil"/>
            </w:tcBorders>
            <w:shd w:val="clear" w:color="auto" w:fill="FFFFFF"/>
            <w:vAlign w:val="center"/>
          </w:tcPr>
          <w:p w14:paraId="237C9F0A">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按月发放工资及时率</w:t>
            </w:r>
          </w:p>
        </w:tc>
        <w:tc>
          <w:tcPr>
            <w:tcW w:w="2789" w:type="dxa"/>
            <w:tcBorders>
              <w:tl2br w:val="nil"/>
              <w:tr2bl w:val="nil"/>
            </w:tcBorders>
            <w:shd w:val="clear" w:color="000000" w:fill="FFFFFF"/>
            <w:vAlign w:val="center"/>
          </w:tcPr>
          <w:p w14:paraId="7EEE007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B94100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实际完成时间：项目实施单位完成该项目实际所耗用的时间。</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计划完成时间：按照项目实施计划或相关规定完成该项目所需的时间。</w:t>
            </w:r>
          </w:p>
        </w:tc>
      </w:tr>
      <w:tr w14:paraId="749992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5BCA5512">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14:paraId="7C2E719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1411" w:type="dxa"/>
            <w:tcBorders>
              <w:tl2br w:val="nil"/>
              <w:tr2bl w:val="nil"/>
            </w:tcBorders>
            <w:shd w:val="clear" w:color="auto" w:fill="FFFFFF"/>
            <w:vAlign w:val="center"/>
          </w:tcPr>
          <w:p w14:paraId="1CC7ECAC">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临聘、雇员每人每月人均工资发放标准</w:t>
            </w:r>
          </w:p>
        </w:tc>
        <w:tc>
          <w:tcPr>
            <w:tcW w:w="2789" w:type="dxa"/>
            <w:tcBorders>
              <w:tl2br w:val="nil"/>
              <w:tr2bl w:val="nil"/>
            </w:tcBorders>
            <w:shd w:val="clear" w:color="000000" w:fill="FFFFFF"/>
            <w:vAlign w:val="center"/>
          </w:tcPr>
          <w:p w14:paraId="3CCF351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7433719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成本节约率=[（计划成本-实际成本）/计划成本]×100%。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实际成本：项目实施单位如期、保质、保量完成既定工作目标实际所耗费的支出。</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计划成本：项目实施单位为完成工作目标计划安排的支出，一般以项目预算为参考。</w:t>
            </w:r>
          </w:p>
        </w:tc>
      </w:tr>
      <w:tr w14:paraId="3915A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428FB70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效益</w:t>
            </w:r>
          </w:p>
        </w:tc>
        <w:tc>
          <w:tcPr>
            <w:tcW w:w="1199" w:type="dxa"/>
            <w:tcBorders>
              <w:tl2br w:val="nil"/>
              <w:tr2bl w:val="nil"/>
            </w:tcBorders>
            <w:shd w:val="clear" w:color="auto" w:fill="FFFFFF"/>
            <w:vAlign w:val="center"/>
          </w:tcPr>
          <w:p w14:paraId="1E6E1E0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tc>
        <w:tc>
          <w:tcPr>
            <w:tcW w:w="1411" w:type="dxa"/>
            <w:tcBorders>
              <w:tl2br w:val="nil"/>
              <w:tr2bl w:val="nil"/>
            </w:tcBorders>
            <w:shd w:val="clear" w:color="auto" w:fill="FFFFFF"/>
            <w:vAlign w:val="center"/>
          </w:tcPr>
          <w:p w14:paraId="0183B8A3">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提高临聘人员工作积极性</w:t>
            </w:r>
          </w:p>
        </w:tc>
        <w:tc>
          <w:tcPr>
            <w:tcW w:w="2789" w:type="dxa"/>
            <w:tcBorders>
              <w:tl2br w:val="nil"/>
              <w:tr2bl w:val="nil"/>
            </w:tcBorders>
            <w:shd w:val="clear" w:color="auto" w:fill="FFFFFF"/>
            <w:vAlign w:val="center"/>
          </w:tcPr>
          <w:p w14:paraId="354EE583">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14:paraId="2EC7911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w:t>
            </w:r>
          </w:p>
        </w:tc>
      </w:tr>
    </w:tbl>
    <w:p w14:paraId="198A4307">
      <w:pPr>
        <w:ind w:firstLine="0" w:firstLineChars="0"/>
        <w:jc w:val="center"/>
        <w:rPr>
          <w:rFonts w:ascii="Times New Roman" w:hAnsi="Times New Roman" w:cs="Times New Roman"/>
        </w:rPr>
      </w:pPr>
    </w:p>
    <w:p w14:paraId="5E12CE9F">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1AFBC52D">
      <w:pPr>
        <w:pStyle w:val="4"/>
        <w:spacing w:before="0" w:after="0" w:line="560" w:lineRule="exact"/>
        <w:ind w:firstLine="643"/>
        <w:rPr>
          <w:rFonts w:ascii="Times New Roman" w:hAnsi="Times New Roman" w:cs="Times New Roman"/>
        </w:rPr>
      </w:pPr>
      <w:bookmarkStart w:id="22" w:name="_Toc17754"/>
      <w:bookmarkStart w:id="23" w:name="_Hlk67586038"/>
      <w:r>
        <w:rPr>
          <w:rFonts w:ascii="Times New Roman" w:hAnsi="Times New Roman" w:cs="Times New Roman"/>
        </w:rPr>
        <w:t>3. 评价方法</w:t>
      </w:r>
      <w:bookmarkEnd w:id="22"/>
    </w:p>
    <w:bookmarkEnd w:id="23"/>
    <w:p w14:paraId="47C80F9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《关于印发&lt;项目支出绩效评价管理办法&gt;的通知》（财预〔2020〕10号）文件指出部门评价的方法主要包括成本效益分析法、比较法、因素分析法、最低成本法、公众评判法、标杆管理法等。</w:t>
      </w:r>
    </w:p>
    <w:p w14:paraId="6109D45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（1）成本效益分析法。是指将投入与产出、效益进行关联性分析的方法。</w:t>
      </w:r>
    </w:p>
    <w:p w14:paraId="5123DCF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（2）比较法。是指将实施情况与绩效目标、历史情况、不同部门和地区同类支出情况进行比较的方法。</w:t>
      </w:r>
    </w:p>
    <w:p w14:paraId="67E0643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（3）因素分析法。是指综合分析影响绩效目标实现、实施效果的内外部因素的方法。</w:t>
      </w:r>
    </w:p>
    <w:p w14:paraId="267086B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（4）最低成本法。是指在绩效目标确定的前提下，成本最小者为优的方法。</w:t>
      </w:r>
    </w:p>
    <w:p w14:paraId="45EBF47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（5）公众评判法。是指通过专家评估、公众问卷及抽样调查等方式进行评判的方法。</w:t>
      </w:r>
    </w:p>
    <w:p w14:paraId="080D591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（6）标杆管理法。是指以国内外同行业中较高的绩效水平为标杆进行评判的方法。</w:t>
      </w:r>
    </w:p>
    <w:p w14:paraId="03205AA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（7）其他评价方法。</w:t>
      </w:r>
    </w:p>
    <w:p w14:paraId="0B422CC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根据本项目（</w:t>
      </w:r>
      <w:r>
        <w:rPr>
          <w:rFonts w:hint="eastAsia" w:ascii="Times New Roman" w:hAnsi="Times New Roman" w:cs="Times New Roman"/>
          <w:spacing w:val="8"/>
          <w:sz w:val="32"/>
          <w:szCs w:val="32"/>
        </w:rPr>
        <w:t>消化2022年暂付款项项目</w:t>
      </w:r>
      <w:r>
        <w:rPr>
          <w:rFonts w:ascii="Times New Roman" w:hAnsi="Times New Roman" w:cs="Times New Roman"/>
          <w:spacing w:val="8"/>
          <w:sz w:val="32"/>
          <w:szCs w:val="32"/>
        </w:rPr>
        <w:t>）的特点，本次评价主要采</w:t>
      </w:r>
      <w:r>
        <w:rPr>
          <w:rFonts w:hint="eastAsia" w:ascii="Times New Roman" w:hAnsi="Times New Roman" w:cs="Times New Roman"/>
          <w:spacing w:val="8"/>
          <w:sz w:val="32"/>
          <w:szCs w:val="32"/>
        </w:rPr>
        <w:t>比较法</w:t>
      </w:r>
      <w:r>
        <w:rPr>
          <w:rFonts w:ascii="Times New Roman" w:hAnsi="Times New Roman" w:cs="Times New Roman"/>
          <w:spacing w:val="8"/>
          <w:sz w:val="32"/>
          <w:szCs w:val="32"/>
        </w:rPr>
        <w:t>和</w:t>
      </w:r>
      <w:r>
        <w:rPr>
          <w:rFonts w:hint="eastAsia" w:ascii="Times New Roman" w:hAnsi="Times New Roman" w:cs="Times New Roman"/>
          <w:spacing w:val="8"/>
          <w:sz w:val="32"/>
          <w:szCs w:val="32"/>
        </w:rPr>
        <w:t>公众评判法</w:t>
      </w:r>
      <w:r>
        <w:rPr>
          <w:rFonts w:ascii="Times New Roman" w:hAnsi="Times New Roman" w:cs="Times New Roman"/>
          <w:spacing w:val="8"/>
          <w:sz w:val="32"/>
          <w:szCs w:val="32"/>
        </w:rPr>
        <w:t>，对项目总预算和明细预算的内容、标准、计划是否经济合理进行深入分析，以考察实际产出和效益是否达到预期。</w:t>
      </w:r>
    </w:p>
    <w:p w14:paraId="32BBEE6B">
      <w:pPr>
        <w:pStyle w:val="4"/>
        <w:spacing w:before="0" w:after="0" w:line="560" w:lineRule="exact"/>
        <w:ind w:firstLine="643"/>
        <w:rPr>
          <w:rFonts w:ascii="Times New Roman" w:hAnsi="Times New Roman" w:cs="Times New Roman"/>
        </w:rPr>
      </w:pPr>
      <w:bookmarkStart w:id="24" w:name="_Toc10851"/>
      <w:r>
        <w:rPr>
          <w:rFonts w:ascii="Times New Roman" w:hAnsi="Times New Roman" w:cs="Times New Roman"/>
        </w:rPr>
        <w:t>4. 评价标准</w:t>
      </w:r>
      <w:bookmarkEnd w:id="24"/>
    </w:p>
    <w:p w14:paraId="6EB6511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绩效评价标准主要包括计划标准、行业标准、历史标准等，用于对绩效指标完成情况进行比较。</w:t>
      </w:r>
    </w:p>
    <w:p w14:paraId="6351F0F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（1）计划标准。指以预先制定的目标、计划、预算、定额等作为评价标准。</w:t>
      </w:r>
    </w:p>
    <w:p w14:paraId="599524B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（2）行业标准。指参照国家公布的行业指标数据制定的评价标准。</w:t>
      </w:r>
    </w:p>
    <w:p w14:paraId="49AD7DA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（3）历史标准。指参照历史数据制定的评价标准，为体现绩效改进的原则，在可实现的条件下应当确定相对较高的评价标准。</w:t>
      </w:r>
    </w:p>
    <w:p w14:paraId="1FBA6A5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在上述评价标准的基础上，本次评价依据以下文件为重要指导和准绳：</w:t>
      </w:r>
    </w:p>
    <w:p w14:paraId="4D8DD94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·《中共中央国务院关于全面实施预算绩效管理的意见》（中发〔2018〕34号）</w:t>
      </w:r>
    </w:p>
    <w:p w14:paraId="55D46A0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·《关于印发&lt;乌鲁木齐市本级部门预算绩效目标管理暂行办法&gt;的通知》（乌财预〔2018〕56号）</w:t>
      </w:r>
    </w:p>
    <w:p w14:paraId="50F573F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·《关于做好2019年部门预算项目支出绩效目标管理有关事宜的通知》（乌财预〔2018〕76号）</w:t>
      </w:r>
    </w:p>
    <w:p w14:paraId="736E1B7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·《项目支出绩效评价管理办法》（财预〔2020〕10号）</w:t>
      </w:r>
    </w:p>
    <w:p w14:paraId="621FF360">
      <w:pPr>
        <w:pStyle w:val="3"/>
        <w:spacing w:before="0" w:after="0" w:line="560" w:lineRule="exact"/>
        <w:ind w:firstLine="672"/>
        <w:rPr>
          <w:rFonts w:ascii="Times New Roman" w:hAnsi="Times New Roman" w:eastAsia="仿宋_GB2312" w:cs="Times New Roman"/>
          <w:b w:val="0"/>
          <w:bCs w:val="0"/>
          <w:spacing w:val="8"/>
        </w:rPr>
      </w:pPr>
      <w:r>
        <w:rPr>
          <w:rFonts w:hint="eastAsia" w:ascii="Times New Roman" w:hAnsi="Times New Roman" w:eastAsia="仿宋_GB2312" w:cs="Times New Roman"/>
          <w:b w:val="0"/>
          <w:bCs w:val="0"/>
          <w:spacing w:val="8"/>
        </w:rPr>
        <w:t>水财发[2023]45号《关于下达2023年水磨沟区部门预算的通知》</w:t>
      </w:r>
    </w:p>
    <w:p w14:paraId="29B75A07">
      <w:pPr>
        <w:spacing w:line="560" w:lineRule="exact"/>
        <w:ind w:firstLine="672"/>
        <w:outlineLvl w:val="0"/>
        <w:rPr>
          <w:rFonts w:ascii="Times New Roman" w:hAnsi="Times New Roman" w:cs="Times New Roman"/>
          <w:spacing w:val="8"/>
          <w:sz w:val="32"/>
          <w:szCs w:val="32"/>
        </w:rPr>
      </w:pPr>
      <w:bookmarkStart w:id="25" w:name="_Hlk167358947"/>
      <w:r>
        <w:rPr>
          <w:rFonts w:hint="eastAsia" w:ascii="Times New Roman" w:hAnsi="Times New Roman" w:cs="Times New Roman"/>
          <w:spacing w:val="8"/>
          <w:sz w:val="32"/>
          <w:szCs w:val="32"/>
        </w:rPr>
        <w:t>《中共水磨沟区委办公室 水磨沟区人民政府办公室印发〈关于规范水磨沟区机关事业单位临时聘用人员管理的工作方案〉的通知》（水党办发〔2021〕73号）</w:t>
      </w:r>
    </w:p>
    <w:bookmarkEnd w:id="25"/>
    <w:p w14:paraId="4CCB2E2D">
      <w:pPr>
        <w:ind w:firstLine="560"/>
      </w:pPr>
    </w:p>
    <w:p w14:paraId="30E3DB87">
      <w:pPr>
        <w:ind w:firstLine="560"/>
      </w:pPr>
    </w:p>
    <w:p w14:paraId="7EC89997">
      <w:pPr>
        <w:pStyle w:val="3"/>
        <w:spacing w:before="0" w:after="0" w:line="560" w:lineRule="exact"/>
        <w:ind w:firstLine="643"/>
        <w:rPr>
          <w:rFonts w:ascii="Times New Roman" w:hAnsi="Times New Roman" w:eastAsia="楷体" w:cs="Times New Roman"/>
          <w:bCs w:val="0"/>
        </w:rPr>
      </w:pPr>
      <w:bookmarkStart w:id="26" w:name="_Toc28061"/>
      <w:bookmarkStart w:id="27" w:name="_Toc67911607"/>
      <w:r>
        <w:rPr>
          <w:rFonts w:ascii="Times New Roman" w:hAnsi="Times New Roman" w:eastAsia="楷体" w:cs="Times New Roman"/>
          <w:bCs w:val="0"/>
        </w:rPr>
        <w:t>（三）绩效评价工作过程</w:t>
      </w:r>
      <w:bookmarkEnd w:id="26"/>
      <w:bookmarkEnd w:id="27"/>
    </w:p>
    <w:p w14:paraId="70B92F6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spacing w:val="8"/>
          <w:sz w:val="32"/>
          <w:szCs w:val="32"/>
        </w:rPr>
        <w:footnoteReference w:id="0"/>
      </w:r>
      <w:r>
        <w:rPr>
          <w:rFonts w:ascii="Times New Roman" w:hAnsi="Times New Roman" w:cs="Times New Roman"/>
          <w:spacing w:val="8"/>
          <w:sz w:val="32"/>
          <w:szCs w:val="32"/>
        </w:rPr>
        <w:t>、材料审核分析、现场核查评价、综合分析评价及报告撰写，评价项目实施情况，展现资金使用效益。</w:t>
      </w:r>
    </w:p>
    <w:p w14:paraId="356BD380">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28" w:name="_Toc67911608"/>
      <w:bookmarkStart w:id="29" w:name="_Toc735"/>
      <w:r>
        <w:rPr>
          <w:rFonts w:ascii="Times New Roman" w:hAnsi="Times New Roman" w:eastAsia="黑体" w:cs="Times New Roman"/>
          <w:b w:val="0"/>
          <w:bCs w:val="0"/>
          <w:color w:val="000000"/>
          <w:spacing w:val="8"/>
          <w:kern w:val="0"/>
          <w:sz w:val="32"/>
          <w:szCs w:val="32"/>
        </w:rPr>
        <w:t>三、综合评价情况及评价结论</w:t>
      </w:r>
      <w:bookmarkEnd w:id="28"/>
      <w:bookmarkEnd w:id="29"/>
    </w:p>
    <w:p w14:paraId="049DA467">
      <w:pPr>
        <w:pStyle w:val="3"/>
        <w:spacing w:before="0" w:after="0" w:line="560" w:lineRule="exact"/>
        <w:ind w:firstLine="643"/>
        <w:rPr>
          <w:rFonts w:ascii="Times New Roman" w:hAnsi="Times New Roman" w:eastAsia="楷体" w:cs="Times New Roman"/>
          <w:color w:val="000000"/>
          <w:kern w:val="0"/>
        </w:rPr>
      </w:pPr>
      <w:bookmarkStart w:id="30" w:name="_Toc67911609"/>
      <w:bookmarkStart w:id="31" w:name="_Toc17524"/>
      <w:r>
        <w:rPr>
          <w:rFonts w:ascii="Times New Roman" w:hAnsi="Times New Roman" w:eastAsia="楷体" w:cs="Times New Roman"/>
          <w:color w:val="000000"/>
          <w:kern w:val="0"/>
        </w:rPr>
        <w:t>（一）评价结论</w:t>
      </w:r>
      <w:bookmarkEnd w:id="30"/>
      <w:bookmarkEnd w:id="31"/>
    </w:p>
    <w:p w14:paraId="2EB8C12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结合项目特点，制定符合项目实际的绩效评价指标体系及评分标准，通过数据采集、问卷调查及访谈等形式，对2023年进行客观评价，最终评分结果为：总分为</w:t>
      </w:r>
      <w:r>
        <w:rPr>
          <w:rFonts w:hint="eastAsia" w:ascii="Times New Roman" w:hAnsi="Times New Roman" w:cs="Times New Roman"/>
          <w:spacing w:val="8"/>
          <w:sz w:val="32"/>
          <w:szCs w:val="32"/>
        </w:rPr>
        <w:t>100</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rPr>
        <w:t>优</w:t>
      </w:r>
      <w:r>
        <w:rPr>
          <w:rFonts w:ascii="Times New Roman" w:hAnsi="Times New Roman" w:cs="Times New Roman"/>
          <w:spacing w:val="8"/>
          <w:sz w:val="32"/>
          <w:szCs w:val="32"/>
        </w:rPr>
        <w:t>”</w:t>
      </w:r>
      <w:r>
        <w:rPr>
          <w:rStyle w:val="20"/>
          <w:rFonts w:ascii="Times New Roman" w:hAnsi="Times New Roman" w:cs="Times New Roman"/>
          <w:spacing w:val="8"/>
          <w:sz w:val="32"/>
          <w:szCs w:val="32"/>
        </w:rPr>
        <w:footnoteReference w:id="1"/>
      </w:r>
      <w:r>
        <w:rPr>
          <w:rFonts w:ascii="Times New Roman" w:hAnsi="Times New Roman" w:cs="Times New Roman"/>
          <w:spacing w:val="8"/>
          <w:sz w:val="32"/>
          <w:szCs w:val="32"/>
        </w:rPr>
        <w:t>。</w:t>
      </w:r>
    </w:p>
    <w:p w14:paraId="556CE2B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项目各部分权重和绩效分值如表</w:t>
      </w:r>
      <w:r>
        <w:rPr>
          <w:rFonts w:hint="eastAsia" w:ascii="Times New Roman" w:hAnsi="Times New Roman" w:cs="Times New Roman"/>
          <w:spacing w:val="8"/>
          <w:sz w:val="32"/>
          <w:szCs w:val="32"/>
        </w:rPr>
        <w:t>2</w:t>
      </w:r>
      <w:r>
        <w:rPr>
          <w:rFonts w:ascii="Times New Roman" w:hAnsi="Times New Roman" w:cs="Times New Roman"/>
          <w:spacing w:val="8"/>
          <w:sz w:val="32"/>
          <w:szCs w:val="32"/>
        </w:rPr>
        <w:t>-1所示：</w:t>
      </w:r>
    </w:p>
    <w:p w14:paraId="69EB0FAB">
      <w:pPr>
        <w:adjustRightInd w:val="0"/>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w:t>
      </w:r>
      <w:r>
        <w:rPr>
          <w:rFonts w:hint="eastAsia" w:ascii="Times New Roman" w:hAnsi="Times New Roman" w:cs="Times New Roman"/>
          <w:b/>
          <w:bCs/>
          <w:sz w:val="24"/>
          <w:szCs w:val="24"/>
        </w:rPr>
        <w:t>2</w:t>
      </w:r>
      <w:r>
        <w:rPr>
          <w:rFonts w:ascii="Times New Roman" w:hAnsi="Times New Roman" w:cs="Times New Roman"/>
          <w:b/>
          <w:bCs/>
          <w:sz w:val="24"/>
          <w:szCs w:val="24"/>
        </w:rPr>
        <w:t>-1 项目各部分权重和绩效分值</w:t>
      </w:r>
    </w:p>
    <w:tbl>
      <w:tblPr>
        <w:tblStyle w:val="15"/>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30005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14:paraId="17A0130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themeFill="background2" w:themeFillShade="E6"/>
            <w:vAlign w:val="center"/>
          </w:tcPr>
          <w:p w14:paraId="730752C0">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533" w:type="dxa"/>
            <w:tcBorders>
              <w:tl2br w:val="nil"/>
              <w:tr2bl w:val="nil"/>
            </w:tcBorders>
            <w:shd w:val="clear" w:color="auto" w:fill="D0CECE" w:themeFill="background2" w:themeFillShade="E6"/>
            <w:vAlign w:val="center"/>
          </w:tcPr>
          <w:p w14:paraId="7AFE9412">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844" w:type="dxa"/>
            <w:tcBorders>
              <w:tl2br w:val="nil"/>
              <w:tr2bl w:val="nil"/>
            </w:tcBorders>
            <w:shd w:val="clear" w:color="auto" w:fill="D0CECE" w:themeFill="background2" w:themeFillShade="E6"/>
            <w:vAlign w:val="center"/>
          </w:tcPr>
          <w:p w14:paraId="13836E5A">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themeFill="background2" w:themeFillShade="E6"/>
            <w:vAlign w:val="center"/>
          </w:tcPr>
          <w:p w14:paraId="342D3741">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themeFill="background2" w:themeFillShade="E6"/>
            <w:vAlign w:val="center"/>
          </w:tcPr>
          <w:p w14:paraId="45AD9A2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14:paraId="65C37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171CC8B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14:paraId="464BFCC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533" w:type="dxa"/>
            <w:tcBorders>
              <w:tl2br w:val="nil"/>
              <w:tr2bl w:val="nil"/>
            </w:tcBorders>
            <w:shd w:val="clear" w:color="auto" w:fill="FFFFFF"/>
            <w:vAlign w:val="center"/>
          </w:tcPr>
          <w:p w14:paraId="6C2C326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844" w:type="dxa"/>
            <w:tcBorders>
              <w:tl2br w:val="nil"/>
              <w:tr2bl w:val="nil"/>
            </w:tcBorders>
            <w:shd w:val="clear" w:color="auto" w:fill="FFFFFF"/>
            <w:vAlign w:val="center"/>
          </w:tcPr>
          <w:p w14:paraId="7696A5C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0C61E59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977" w:type="dxa"/>
            <w:tcBorders>
              <w:tl2br w:val="nil"/>
              <w:tr2bl w:val="nil"/>
            </w:tcBorders>
            <w:shd w:val="clear" w:color="auto" w:fill="FFFFFF"/>
            <w:vAlign w:val="center"/>
          </w:tcPr>
          <w:p w14:paraId="22B06FF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5E593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7D1B661">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634E6F9E">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531CEC1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844" w:type="dxa"/>
            <w:tcBorders>
              <w:tl2br w:val="nil"/>
              <w:tr2bl w:val="nil"/>
            </w:tcBorders>
            <w:shd w:val="clear" w:color="auto" w:fill="FFFFFF"/>
            <w:vAlign w:val="center"/>
          </w:tcPr>
          <w:p w14:paraId="1799490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6E9461B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977" w:type="dxa"/>
            <w:tcBorders>
              <w:tl2br w:val="nil"/>
              <w:tr2bl w:val="nil"/>
            </w:tcBorders>
            <w:shd w:val="clear" w:color="auto" w:fill="FFFFFF"/>
            <w:vAlign w:val="center"/>
          </w:tcPr>
          <w:p w14:paraId="4D76B70D">
            <w:pPr>
              <w:widowControl/>
              <w:tabs>
                <w:tab w:val="left" w:pos="261"/>
              </w:tabs>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02C9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0E4BEF4">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027E60C0">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533" w:type="dxa"/>
            <w:tcBorders>
              <w:tl2br w:val="nil"/>
              <w:tr2bl w:val="nil"/>
            </w:tcBorders>
            <w:shd w:val="clear" w:color="auto" w:fill="FFFFFF"/>
            <w:vAlign w:val="center"/>
          </w:tcPr>
          <w:p w14:paraId="45524B8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844" w:type="dxa"/>
            <w:tcBorders>
              <w:tl2br w:val="nil"/>
              <w:tr2bl w:val="nil"/>
            </w:tcBorders>
            <w:shd w:val="clear" w:color="000000" w:fill="FFFFFF"/>
            <w:vAlign w:val="center"/>
          </w:tcPr>
          <w:p w14:paraId="0127CF6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6F4CD26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977" w:type="dxa"/>
            <w:tcBorders>
              <w:tl2br w:val="nil"/>
              <w:tr2bl w:val="nil"/>
            </w:tcBorders>
            <w:shd w:val="clear" w:color="000000" w:fill="FFFFFF"/>
            <w:vAlign w:val="center"/>
          </w:tcPr>
          <w:p w14:paraId="71316CE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F045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8B02E3B">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9EA5BF6">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6ED6ADA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844" w:type="dxa"/>
            <w:tcBorders>
              <w:tl2br w:val="nil"/>
              <w:tr2bl w:val="nil"/>
            </w:tcBorders>
            <w:shd w:val="clear" w:color="000000" w:fill="FFFFFF"/>
            <w:vAlign w:val="center"/>
          </w:tcPr>
          <w:p w14:paraId="3CCFDB5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D1EA18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977" w:type="dxa"/>
            <w:tcBorders>
              <w:tl2br w:val="nil"/>
              <w:tr2bl w:val="nil"/>
            </w:tcBorders>
            <w:shd w:val="clear" w:color="000000" w:fill="FFFFFF"/>
            <w:vAlign w:val="center"/>
          </w:tcPr>
          <w:p w14:paraId="6B267FD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E9F21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459473E">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100ECF5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533" w:type="dxa"/>
            <w:tcBorders>
              <w:tl2br w:val="nil"/>
              <w:tr2bl w:val="nil"/>
            </w:tcBorders>
            <w:shd w:val="clear" w:color="auto" w:fill="FFFFFF"/>
            <w:vAlign w:val="center"/>
          </w:tcPr>
          <w:p w14:paraId="23362BA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844" w:type="dxa"/>
            <w:tcBorders>
              <w:tl2br w:val="nil"/>
              <w:tr2bl w:val="nil"/>
            </w:tcBorders>
            <w:shd w:val="clear" w:color="auto" w:fill="FFFFFF"/>
            <w:vAlign w:val="center"/>
          </w:tcPr>
          <w:p w14:paraId="7036869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76D5C9D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977" w:type="dxa"/>
            <w:tcBorders>
              <w:tl2br w:val="nil"/>
              <w:tr2bl w:val="nil"/>
            </w:tcBorders>
            <w:shd w:val="clear" w:color="auto" w:fill="FFFFFF"/>
            <w:vAlign w:val="center"/>
          </w:tcPr>
          <w:p w14:paraId="02ACEA2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2572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9C1C023">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8F4E5F8">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06271A4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844" w:type="dxa"/>
            <w:tcBorders>
              <w:tl2br w:val="nil"/>
              <w:tr2bl w:val="nil"/>
            </w:tcBorders>
            <w:shd w:val="clear" w:color="auto" w:fill="FFFFFF"/>
            <w:vAlign w:val="center"/>
          </w:tcPr>
          <w:p w14:paraId="2527348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6C174E7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977" w:type="dxa"/>
            <w:tcBorders>
              <w:tl2br w:val="nil"/>
              <w:tr2bl w:val="nil"/>
            </w:tcBorders>
            <w:shd w:val="clear" w:color="auto" w:fill="FFFFFF"/>
            <w:vAlign w:val="center"/>
          </w:tcPr>
          <w:p w14:paraId="5529741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CD43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55C46F93">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14:paraId="6BF92C99">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533" w:type="dxa"/>
            <w:tcBorders>
              <w:tl2br w:val="nil"/>
              <w:tr2bl w:val="nil"/>
            </w:tcBorders>
            <w:shd w:val="clear" w:color="auto" w:fill="FFFFFF"/>
            <w:vAlign w:val="center"/>
          </w:tcPr>
          <w:p w14:paraId="5130CD6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844" w:type="dxa"/>
            <w:tcBorders>
              <w:tl2br w:val="nil"/>
              <w:tr2bl w:val="nil"/>
            </w:tcBorders>
            <w:shd w:val="clear" w:color="000000" w:fill="FFFFFF"/>
            <w:vAlign w:val="center"/>
          </w:tcPr>
          <w:p w14:paraId="584426B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498DBC2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977" w:type="dxa"/>
            <w:tcBorders>
              <w:tl2br w:val="nil"/>
              <w:tr2bl w:val="nil"/>
            </w:tcBorders>
            <w:shd w:val="clear" w:color="000000" w:fill="FFFFFF"/>
            <w:vAlign w:val="center"/>
          </w:tcPr>
          <w:p w14:paraId="5D7717A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605D5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38CF28C">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4141B256">
            <w:pPr>
              <w:ind w:firstLine="44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1063600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844" w:type="dxa"/>
            <w:tcBorders>
              <w:tl2br w:val="nil"/>
              <w:tr2bl w:val="nil"/>
            </w:tcBorders>
            <w:shd w:val="clear" w:color="auto" w:fill="FFFFFF"/>
            <w:vAlign w:val="center"/>
          </w:tcPr>
          <w:p w14:paraId="4F682E7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14:paraId="6ACB1BA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977" w:type="dxa"/>
            <w:tcBorders>
              <w:tl2br w:val="nil"/>
              <w:tr2bl w:val="nil"/>
            </w:tcBorders>
            <w:shd w:val="clear" w:color="auto" w:fill="FFFFFF"/>
            <w:vAlign w:val="center"/>
          </w:tcPr>
          <w:p w14:paraId="0CF033F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26D6D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8D4FDFB">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7E206EB5">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3D43FE8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844" w:type="dxa"/>
            <w:tcBorders>
              <w:tl2br w:val="nil"/>
              <w:tr2bl w:val="nil"/>
            </w:tcBorders>
            <w:shd w:val="clear" w:color="000000" w:fill="FFFFFF"/>
            <w:vAlign w:val="center"/>
          </w:tcPr>
          <w:p w14:paraId="7487724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B38F33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977" w:type="dxa"/>
            <w:tcBorders>
              <w:tl2br w:val="nil"/>
              <w:tr2bl w:val="nil"/>
            </w:tcBorders>
            <w:shd w:val="clear" w:color="000000" w:fill="FFFFFF"/>
            <w:vAlign w:val="center"/>
          </w:tcPr>
          <w:p w14:paraId="22D6D5D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D27B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BD0E9A0">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389F730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533" w:type="dxa"/>
            <w:tcBorders>
              <w:tl2br w:val="nil"/>
              <w:tr2bl w:val="nil"/>
            </w:tcBorders>
            <w:shd w:val="clear" w:color="auto" w:fill="FFFFFF"/>
            <w:vAlign w:val="center"/>
          </w:tcPr>
          <w:p w14:paraId="580D579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管理制度健全性</w:t>
            </w:r>
          </w:p>
        </w:tc>
        <w:tc>
          <w:tcPr>
            <w:tcW w:w="844" w:type="dxa"/>
            <w:tcBorders>
              <w:tl2br w:val="nil"/>
              <w:tr2bl w:val="nil"/>
            </w:tcBorders>
            <w:shd w:val="clear" w:color="000000" w:fill="FFFFFF"/>
            <w:vAlign w:val="center"/>
          </w:tcPr>
          <w:p w14:paraId="12E7347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4AD3D06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977" w:type="dxa"/>
            <w:tcBorders>
              <w:tl2br w:val="nil"/>
              <w:tr2bl w:val="nil"/>
            </w:tcBorders>
            <w:shd w:val="clear" w:color="000000" w:fill="FFFFFF"/>
            <w:vAlign w:val="center"/>
          </w:tcPr>
          <w:p w14:paraId="3AEEFB3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F531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69A3C29">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602F5E5">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0AA0158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制度执行有效性</w:t>
            </w:r>
          </w:p>
        </w:tc>
        <w:tc>
          <w:tcPr>
            <w:tcW w:w="844" w:type="dxa"/>
            <w:tcBorders>
              <w:tl2br w:val="nil"/>
              <w:tr2bl w:val="nil"/>
            </w:tcBorders>
            <w:shd w:val="clear" w:color="000000" w:fill="FFFFFF"/>
            <w:vAlign w:val="center"/>
          </w:tcPr>
          <w:p w14:paraId="3A67A76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14:paraId="358CEFF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977" w:type="dxa"/>
            <w:tcBorders>
              <w:tl2br w:val="nil"/>
              <w:tr2bl w:val="nil"/>
            </w:tcBorders>
            <w:shd w:val="clear" w:color="000000" w:fill="FFFFFF"/>
            <w:vAlign w:val="center"/>
          </w:tcPr>
          <w:p w14:paraId="7ADE5AE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6B684C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14:paraId="7194308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14:paraId="5D17868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产出数量</w:t>
            </w:r>
          </w:p>
        </w:tc>
        <w:tc>
          <w:tcPr>
            <w:tcW w:w="2533" w:type="dxa"/>
            <w:tcBorders>
              <w:tl2br w:val="nil"/>
              <w:tr2bl w:val="nil"/>
            </w:tcBorders>
            <w:shd w:val="clear" w:color="auto" w:fill="FFFFFF"/>
            <w:vAlign w:val="center"/>
          </w:tcPr>
          <w:p w14:paraId="6A92072B">
            <w:pPr>
              <w:widowControl/>
              <w:ind w:firstLine="0" w:firstLineChars="0"/>
              <w:jc w:val="center"/>
              <w:rPr>
                <w:rFonts w:ascii="Times New Roman" w:hAnsi="Times New Roman" w:cs="Times New Roman"/>
                <w:kern w:val="0"/>
                <w:sz w:val="22"/>
              </w:rPr>
            </w:pPr>
            <w:bookmarkStart w:id="32" w:name="_Hlk168050754"/>
            <w:r>
              <w:rPr>
                <w:rFonts w:hint="eastAsia" w:ascii="Times New Roman" w:hAnsi="Times New Roman" w:cs="Times New Roman"/>
                <w:color w:val="000000"/>
                <w:kern w:val="0"/>
                <w:sz w:val="22"/>
              </w:rPr>
              <w:t>雇员及临聘人员工资发放人数</w:t>
            </w:r>
            <w:bookmarkEnd w:id="32"/>
          </w:p>
        </w:tc>
        <w:tc>
          <w:tcPr>
            <w:tcW w:w="844" w:type="dxa"/>
            <w:tcBorders>
              <w:tl2br w:val="nil"/>
              <w:tr2bl w:val="nil"/>
            </w:tcBorders>
            <w:shd w:val="clear" w:color="000000" w:fill="FFFFFF"/>
            <w:vAlign w:val="center"/>
          </w:tcPr>
          <w:p w14:paraId="7F29FA0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14:paraId="086AA11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vMerge w:val="restart"/>
            <w:tcBorders>
              <w:tl2br w:val="nil"/>
              <w:tr2bl w:val="nil"/>
            </w:tcBorders>
            <w:shd w:val="clear" w:color="000000" w:fill="FFFFFF"/>
            <w:vAlign w:val="center"/>
          </w:tcPr>
          <w:p w14:paraId="7DB387A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6BDF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1B3BE533">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63D49D15">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6E9B1A60">
            <w:pPr>
              <w:widowControl/>
              <w:ind w:firstLine="0" w:firstLineChars="0"/>
              <w:jc w:val="center"/>
              <w:rPr>
                <w:rFonts w:ascii="Times New Roman" w:hAnsi="Times New Roman" w:cs="Times New Roman"/>
                <w:kern w:val="0"/>
                <w:sz w:val="22"/>
              </w:rPr>
            </w:pPr>
            <w:bookmarkStart w:id="33" w:name="_Hlk168050761"/>
            <w:r>
              <w:rPr>
                <w:rFonts w:hint="eastAsia" w:ascii="Times New Roman" w:hAnsi="Times New Roman" w:cs="Times New Roman"/>
                <w:kern w:val="0"/>
                <w:sz w:val="22"/>
              </w:rPr>
              <w:t>发放工资次数</w:t>
            </w:r>
            <w:bookmarkEnd w:id="33"/>
          </w:p>
        </w:tc>
        <w:tc>
          <w:tcPr>
            <w:tcW w:w="844" w:type="dxa"/>
            <w:tcBorders>
              <w:tl2br w:val="nil"/>
              <w:tr2bl w:val="nil"/>
            </w:tcBorders>
            <w:shd w:val="clear" w:color="000000" w:fill="FFFFFF"/>
            <w:vAlign w:val="center"/>
          </w:tcPr>
          <w:p w14:paraId="4F4FB65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14:paraId="4013A70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vMerge w:val="continue"/>
            <w:tcBorders>
              <w:tl2br w:val="nil"/>
              <w:tr2bl w:val="nil"/>
            </w:tcBorders>
            <w:shd w:val="clear" w:color="000000" w:fill="FFFFFF"/>
            <w:vAlign w:val="center"/>
          </w:tcPr>
          <w:p w14:paraId="4CFBE646">
            <w:pPr>
              <w:widowControl/>
              <w:ind w:firstLine="0" w:firstLineChars="0"/>
              <w:jc w:val="center"/>
              <w:rPr>
                <w:rFonts w:ascii="Times New Roman" w:hAnsi="Times New Roman" w:cs="Times New Roman"/>
                <w:kern w:val="0"/>
                <w:sz w:val="22"/>
              </w:rPr>
            </w:pPr>
          </w:p>
        </w:tc>
      </w:tr>
      <w:tr w14:paraId="2AD663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0543B76">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2A79D7F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产出质量</w:t>
            </w:r>
          </w:p>
        </w:tc>
        <w:tc>
          <w:tcPr>
            <w:tcW w:w="2533" w:type="dxa"/>
            <w:tcBorders>
              <w:tl2br w:val="nil"/>
              <w:tr2bl w:val="nil"/>
            </w:tcBorders>
            <w:shd w:val="clear" w:color="auto" w:fill="FFFFFF"/>
            <w:vAlign w:val="center"/>
          </w:tcPr>
          <w:p w14:paraId="1F5DE34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资金使用准确率</w:t>
            </w:r>
          </w:p>
        </w:tc>
        <w:tc>
          <w:tcPr>
            <w:tcW w:w="844" w:type="dxa"/>
            <w:tcBorders>
              <w:tl2br w:val="nil"/>
              <w:tr2bl w:val="nil"/>
            </w:tcBorders>
            <w:shd w:val="clear" w:color="000000" w:fill="FFFFFF"/>
            <w:vAlign w:val="center"/>
          </w:tcPr>
          <w:p w14:paraId="6FE4495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10</w:t>
            </w:r>
          </w:p>
        </w:tc>
        <w:tc>
          <w:tcPr>
            <w:tcW w:w="845" w:type="dxa"/>
            <w:tcBorders>
              <w:tl2br w:val="nil"/>
              <w:tr2bl w:val="nil"/>
            </w:tcBorders>
            <w:shd w:val="clear" w:color="000000" w:fill="FFFFFF"/>
            <w:vAlign w:val="center"/>
          </w:tcPr>
          <w:p w14:paraId="23DEA42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2F4CA80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AB8E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458" w:type="dxa"/>
            <w:vMerge w:val="continue"/>
            <w:tcBorders>
              <w:tl2br w:val="nil"/>
              <w:tr2bl w:val="nil"/>
            </w:tcBorders>
            <w:shd w:val="clear" w:color="auto" w:fill="FFFFFF"/>
            <w:vAlign w:val="center"/>
          </w:tcPr>
          <w:p w14:paraId="7DAA076E">
            <w:pPr>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7EEBF2DB">
            <w:pPr>
              <w:ind w:firstLine="0" w:firstLineChars="0"/>
              <w:jc w:val="center"/>
              <w:rPr>
                <w:rFonts w:ascii="Times New Roman" w:hAnsi="Times New Roman" w:cs="Times New Roman"/>
                <w:kern w:val="0"/>
                <w:sz w:val="22"/>
              </w:rPr>
            </w:pPr>
            <w:r>
              <w:rPr>
                <w:rFonts w:ascii="Times New Roman" w:hAnsi="Times New Roman" w:cs="Times New Roman"/>
                <w:kern w:val="0"/>
                <w:sz w:val="22"/>
              </w:rPr>
              <w:t>产出时效</w:t>
            </w:r>
          </w:p>
        </w:tc>
        <w:tc>
          <w:tcPr>
            <w:tcW w:w="2533" w:type="dxa"/>
            <w:tcBorders>
              <w:tl2br w:val="nil"/>
              <w:tr2bl w:val="nil"/>
            </w:tcBorders>
            <w:shd w:val="clear" w:color="auto" w:fill="FFFFFF"/>
            <w:vAlign w:val="center"/>
          </w:tcPr>
          <w:p w14:paraId="3CD0AAFA">
            <w:pPr>
              <w:widowControl/>
              <w:ind w:firstLine="0" w:firstLineChars="0"/>
              <w:jc w:val="center"/>
              <w:rPr>
                <w:rFonts w:ascii="Times New Roman" w:hAnsi="Times New Roman" w:cs="Times New Roman"/>
                <w:kern w:val="0"/>
                <w:sz w:val="22"/>
              </w:rPr>
            </w:pPr>
            <w:bookmarkStart w:id="34" w:name="_Hlk168050768"/>
            <w:r>
              <w:rPr>
                <w:rFonts w:hint="eastAsia" w:ascii="Times New Roman" w:hAnsi="Times New Roman" w:cs="Times New Roman"/>
                <w:kern w:val="0"/>
                <w:sz w:val="22"/>
              </w:rPr>
              <w:t>按月发放工资及时率</w:t>
            </w:r>
            <w:bookmarkEnd w:id="34"/>
          </w:p>
        </w:tc>
        <w:tc>
          <w:tcPr>
            <w:tcW w:w="844" w:type="dxa"/>
            <w:tcBorders>
              <w:tl2br w:val="nil"/>
              <w:tr2bl w:val="nil"/>
            </w:tcBorders>
            <w:shd w:val="clear" w:color="000000" w:fill="FFFFFF"/>
            <w:vAlign w:val="center"/>
          </w:tcPr>
          <w:p w14:paraId="2C3C168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183A285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0A2A7AE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6835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4E50546">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210831D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产出成本</w:t>
            </w:r>
          </w:p>
        </w:tc>
        <w:tc>
          <w:tcPr>
            <w:tcW w:w="2533" w:type="dxa"/>
            <w:tcBorders>
              <w:tl2br w:val="nil"/>
              <w:tr2bl w:val="nil"/>
            </w:tcBorders>
            <w:shd w:val="clear" w:color="auto" w:fill="FFFFFF"/>
            <w:vAlign w:val="center"/>
          </w:tcPr>
          <w:p w14:paraId="526DA02F">
            <w:pPr>
              <w:widowControl/>
              <w:ind w:firstLine="0" w:firstLineChars="0"/>
              <w:jc w:val="center"/>
              <w:rPr>
                <w:rFonts w:ascii="Times New Roman" w:hAnsi="Times New Roman" w:cs="Times New Roman"/>
                <w:kern w:val="0"/>
                <w:sz w:val="22"/>
              </w:rPr>
            </w:pPr>
            <w:bookmarkStart w:id="35" w:name="_Hlk168050777"/>
            <w:r>
              <w:rPr>
                <w:rFonts w:hint="eastAsia" w:ascii="Times New Roman" w:hAnsi="Times New Roman" w:cs="Times New Roman"/>
                <w:kern w:val="0"/>
                <w:sz w:val="22"/>
              </w:rPr>
              <w:t>临聘、雇员每月人均工资发放标准</w:t>
            </w:r>
            <w:bookmarkEnd w:id="35"/>
          </w:p>
        </w:tc>
        <w:tc>
          <w:tcPr>
            <w:tcW w:w="844" w:type="dxa"/>
            <w:tcBorders>
              <w:tl2br w:val="nil"/>
              <w:tr2bl w:val="nil"/>
            </w:tcBorders>
            <w:shd w:val="clear" w:color="000000" w:fill="FFFFFF"/>
            <w:vAlign w:val="center"/>
          </w:tcPr>
          <w:p w14:paraId="52A70E0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10</w:t>
            </w:r>
          </w:p>
        </w:tc>
        <w:tc>
          <w:tcPr>
            <w:tcW w:w="845" w:type="dxa"/>
            <w:tcBorders>
              <w:tl2br w:val="nil"/>
              <w:tr2bl w:val="nil"/>
            </w:tcBorders>
            <w:shd w:val="clear" w:color="000000" w:fill="FFFFFF"/>
            <w:vAlign w:val="center"/>
          </w:tcPr>
          <w:p w14:paraId="6DD306E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53BCA14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DE75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14:paraId="7892FA9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tcBorders>
              <w:tl2br w:val="nil"/>
              <w:tr2bl w:val="nil"/>
            </w:tcBorders>
            <w:shd w:val="clear" w:color="auto" w:fill="FFFFFF"/>
            <w:vAlign w:val="center"/>
          </w:tcPr>
          <w:p w14:paraId="39A5A61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社会效益指标</w:t>
            </w:r>
          </w:p>
        </w:tc>
        <w:tc>
          <w:tcPr>
            <w:tcW w:w="2533" w:type="dxa"/>
            <w:tcBorders>
              <w:tl2br w:val="nil"/>
              <w:tr2bl w:val="nil"/>
            </w:tcBorders>
            <w:shd w:val="clear" w:color="auto" w:fill="FFFFFF"/>
            <w:vAlign w:val="center"/>
          </w:tcPr>
          <w:p w14:paraId="22E28638">
            <w:pPr>
              <w:widowControl/>
              <w:ind w:firstLine="0" w:firstLineChars="0"/>
              <w:jc w:val="center"/>
              <w:rPr>
                <w:rFonts w:ascii="Times New Roman" w:hAnsi="Times New Roman" w:cs="Times New Roman"/>
                <w:kern w:val="0"/>
                <w:sz w:val="22"/>
              </w:rPr>
            </w:pPr>
            <w:bookmarkStart w:id="36" w:name="_Hlk168050785"/>
            <w:r>
              <w:rPr>
                <w:rFonts w:hint="eastAsia" w:ascii="Times New Roman" w:hAnsi="Times New Roman" w:cs="Times New Roman"/>
                <w:kern w:val="0"/>
                <w:sz w:val="22"/>
              </w:rPr>
              <w:t>提高临聘人员工作积极性</w:t>
            </w:r>
            <w:bookmarkEnd w:id="36"/>
          </w:p>
        </w:tc>
        <w:tc>
          <w:tcPr>
            <w:tcW w:w="844" w:type="dxa"/>
            <w:tcBorders>
              <w:tl2br w:val="nil"/>
              <w:tr2bl w:val="nil"/>
            </w:tcBorders>
            <w:shd w:val="clear" w:color="auto" w:fill="FFFFFF"/>
            <w:vAlign w:val="center"/>
          </w:tcPr>
          <w:p w14:paraId="6743EA75">
            <w:pPr>
              <w:ind w:firstLine="220" w:firstLineChars="100"/>
              <w:rPr>
                <w:rFonts w:ascii="Times New Roman" w:hAnsi="Times New Roman" w:cs="Times New Roman"/>
                <w:kern w:val="0"/>
                <w:sz w:val="22"/>
              </w:rPr>
            </w:pPr>
            <w:r>
              <w:rPr>
                <w:rFonts w:ascii="Times New Roman" w:hAnsi="Times New Roman" w:cs="Times New Roman"/>
                <w:kern w:val="0"/>
                <w:sz w:val="22"/>
              </w:rPr>
              <w:t>15</w:t>
            </w:r>
          </w:p>
        </w:tc>
        <w:tc>
          <w:tcPr>
            <w:tcW w:w="845" w:type="dxa"/>
            <w:tcBorders>
              <w:tl2br w:val="nil"/>
              <w:tr2bl w:val="nil"/>
            </w:tcBorders>
            <w:shd w:val="clear" w:color="auto" w:fill="FFFFFF"/>
            <w:vAlign w:val="center"/>
          </w:tcPr>
          <w:p w14:paraId="33867BB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15</w:t>
            </w:r>
          </w:p>
        </w:tc>
        <w:tc>
          <w:tcPr>
            <w:tcW w:w="977" w:type="dxa"/>
            <w:tcBorders>
              <w:tl2br w:val="nil"/>
              <w:tr2bl w:val="nil"/>
            </w:tcBorders>
            <w:shd w:val="clear" w:color="auto" w:fill="FFFFFF"/>
            <w:vAlign w:val="center"/>
          </w:tcPr>
          <w:p w14:paraId="49452D4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bl>
    <w:p w14:paraId="52D674FF">
      <w:pPr>
        <w:pStyle w:val="3"/>
        <w:spacing w:before="0" w:after="0" w:line="560" w:lineRule="exact"/>
        <w:ind w:firstLine="643"/>
        <w:rPr>
          <w:rFonts w:ascii="Times New Roman" w:hAnsi="Times New Roman" w:eastAsia="楷体" w:cs="Times New Roman"/>
          <w:color w:val="000000"/>
          <w:kern w:val="0"/>
        </w:rPr>
      </w:pPr>
      <w:bookmarkStart w:id="37" w:name="_Toc24854"/>
      <w:bookmarkStart w:id="38" w:name="_Toc67911610"/>
      <w:r>
        <w:rPr>
          <w:rFonts w:ascii="Times New Roman" w:hAnsi="Times New Roman" w:eastAsia="楷体" w:cs="Times New Roman"/>
          <w:color w:val="000000"/>
          <w:kern w:val="0"/>
        </w:rPr>
        <w:t>（二）主要绩效</w:t>
      </w:r>
      <w:bookmarkEnd w:id="37"/>
      <w:bookmarkEnd w:id="38"/>
    </w:p>
    <w:p w14:paraId="7B6CF9DA">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该项目资金区财政及时拨付，单位在此次评价期间内，有序完成设定目标的部分工作任务，</w:t>
      </w:r>
      <w:r>
        <w:rPr>
          <w:rFonts w:hint="eastAsia" w:ascii="Times New Roman" w:hAnsi="Times New Roman" w:cs="Times New Roman"/>
          <w:spacing w:val="8"/>
          <w:sz w:val="32"/>
          <w:szCs w:val="32"/>
        </w:rPr>
        <w:t>为确保单位全年工作正常开展，雇用临聘人员2人、雇员2人。按期足额发放4名临聘人员工资，总计资金11.94万元。提高了雇员、临聘人员工作积极性，日常保障了雇员临聘工作人员福利待遇，单位更加高效正常运转。</w:t>
      </w:r>
    </w:p>
    <w:p w14:paraId="1EBA0F2B">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39" w:name="_Toc67911611"/>
      <w:bookmarkStart w:id="40" w:name="_Toc30399"/>
      <w:r>
        <w:rPr>
          <w:rFonts w:ascii="Times New Roman" w:hAnsi="Times New Roman" w:eastAsia="黑体" w:cs="Times New Roman"/>
          <w:b w:val="0"/>
          <w:bCs w:val="0"/>
          <w:color w:val="000000"/>
          <w:spacing w:val="8"/>
          <w:kern w:val="0"/>
          <w:sz w:val="32"/>
          <w:szCs w:val="32"/>
        </w:rPr>
        <w:t>四、绩效评价指标分析</w:t>
      </w:r>
      <w:bookmarkEnd w:id="39"/>
      <w:bookmarkEnd w:id="40"/>
    </w:p>
    <w:p w14:paraId="62E4988B">
      <w:pPr>
        <w:pStyle w:val="3"/>
        <w:spacing w:before="0" w:after="0" w:line="560" w:lineRule="exact"/>
        <w:ind w:firstLine="643"/>
        <w:rPr>
          <w:rFonts w:ascii="Times New Roman" w:hAnsi="Times New Roman" w:eastAsia="楷体" w:cs="Times New Roman"/>
          <w:color w:val="000000"/>
          <w:kern w:val="0"/>
        </w:rPr>
      </w:pPr>
      <w:bookmarkStart w:id="41" w:name="_Toc67911612"/>
      <w:bookmarkStart w:id="42" w:name="_Toc1030"/>
      <w:r>
        <w:rPr>
          <w:rFonts w:ascii="Times New Roman" w:hAnsi="Times New Roman" w:eastAsia="楷体" w:cs="Times New Roman"/>
          <w:color w:val="000000"/>
          <w:kern w:val="0"/>
        </w:rPr>
        <w:t>（一）项目决策情况</w:t>
      </w:r>
      <w:bookmarkEnd w:id="41"/>
      <w:bookmarkEnd w:id="42"/>
    </w:p>
    <w:p w14:paraId="76BD07FA">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项目决算指标由3个二级指标和6个三级指标构成，权重为20分，实际得分</w:t>
      </w:r>
      <w:r>
        <w:rPr>
          <w:rFonts w:hint="eastAsia" w:ascii="Times New Roman" w:hAnsi="Times New Roman" w:cs="Times New Roman"/>
          <w:color w:val="000000"/>
          <w:kern w:val="0"/>
          <w:sz w:val="32"/>
          <w:szCs w:val="32"/>
        </w:rPr>
        <w:t>20</w:t>
      </w:r>
      <w:r>
        <w:rPr>
          <w:rFonts w:ascii="Times New Roman" w:hAnsi="Times New Roman" w:cs="Times New Roman"/>
          <w:color w:val="000000"/>
          <w:kern w:val="0"/>
          <w:sz w:val="32"/>
          <w:szCs w:val="32"/>
        </w:rPr>
        <w:t>分。</w:t>
      </w:r>
    </w:p>
    <w:p w14:paraId="77DC9D60">
      <w:pPr>
        <w:pStyle w:val="4"/>
        <w:spacing w:before="0" w:after="0" w:line="560" w:lineRule="exact"/>
        <w:ind w:firstLine="643"/>
        <w:rPr>
          <w:rFonts w:ascii="Times New Roman" w:hAnsi="Times New Roman" w:cs="Times New Roman"/>
        </w:rPr>
      </w:pPr>
      <w:bookmarkStart w:id="43" w:name="_Toc32411"/>
      <w:r>
        <w:rPr>
          <w:rFonts w:ascii="Times New Roman" w:hAnsi="Times New Roman" w:cs="Times New Roman"/>
        </w:rPr>
        <w:t>1. 项目立项</w:t>
      </w:r>
      <w:bookmarkEnd w:id="43"/>
    </w:p>
    <w:p w14:paraId="25591BA1">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立项依据充分性：</w:t>
      </w:r>
      <w:r>
        <w:rPr>
          <w:rFonts w:ascii="Times New Roman" w:hAnsi="Times New Roman" w:cs="Times New Roman"/>
          <w:sz w:val="32"/>
          <w:szCs w:val="32"/>
        </w:rPr>
        <w:t>项目立项符合国家法律法规、政策要求。同时，项目与部门职责范围相符，属于部门履职所需。此外，本项目属于公共财政支持范围，符合中央、地方事权支出责任划分原则。因此，立项依据充分，得4分。</w:t>
      </w:r>
    </w:p>
    <w:p w14:paraId="6685C38E">
      <w:pPr>
        <w:spacing w:line="560" w:lineRule="exact"/>
        <w:ind w:firstLine="643"/>
        <w:rPr>
          <w:rFonts w:ascii="Times New Roman" w:hAnsi="Times New Roman" w:cs="Times New Roman"/>
          <w:szCs w:val="28"/>
        </w:rPr>
      </w:pPr>
      <w:r>
        <w:rPr>
          <w:rFonts w:ascii="Times New Roman" w:hAnsi="Times New Roman" w:cs="Times New Roman"/>
          <w:b/>
          <w:bCs/>
          <w:sz w:val="32"/>
          <w:szCs w:val="32"/>
        </w:rPr>
        <w:t>立项程序规范性:</w:t>
      </w:r>
      <w:r>
        <w:rPr>
          <w:rFonts w:ascii="Times New Roman" w:hAnsi="Times New Roman" w:cs="Times New Roman"/>
          <w:sz w:val="32"/>
          <w:szCs w:val="32"/>
        </w:rPr>
        <w:t>项目按照规定的程序申请设立，审批文件、材料符合相关要求，故立项程序规范，得4分。</w:t>
      </w:r>
    </w:p>
    <w:p w14:paraId="34AC1726">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综上，该指标满分8分，得分</w:t>
      </w:r>
      <w:r>
        <w:rPr>
          <w:rFonts w:hint="eastAsia" w:ascii="Times New Roman" w:hAnsi="Times New Roman" w:cs="Times New Roman"/>
          <w:b/>
          <w:bCs/>
          <w:sz w:val="32"/>
          <w:szCs w:val="32"/>
        </w:rPr>
        <w:t>8</w:t>
      </w:r>
      <w:r>
        <w:rPr>
          <w:rFonts w:ascii="Times New Roman" w:hAnsi="Times New Roman" w:cs="Times New Roman"/>
          <w:b/>
          <w:bCs/>
          <w:sz w:val="32"/>
          <w:szCs w:val="32"/>
        </w:rPr>
        <w:t>分。</w:t>
      </w:r>
    </w:p>
    <w:p w14:paraId="4900CA3F">
      <w:pPr>
        <w:pStyle w:val="4"/>
        <w:spacing w:before="0" w:after="0" w:line="560" w:lineRule="exact"/>
        <w:ind w:firstLine="643"/>
        <w:rPr>
          <w:rFonts w:ascii="Times New Roman" w:hAnsi="Times New Roman" w:cs="Times New Roman"/>
        </w:rPr>
      </w:pPr>
      <w:bookmarkStart w:id="44" w:name="_Toc16395"/>
      <w:r>
        <w:rPr>
          <w:rFonts w:ascii="Times New Roman" w:hAnsi="Times New Roman" w:cs="Times New Roman"/>
        </w:rPr>
        <w:t>2. 绩效目标</w:t>
      </w:r>
      <w:bookmarkEnd w:id="44"/>
    </w:p>
    <w:p w14:paraId="5DADB0DD">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绩效目标合理性：</w:t>
      </w:r>
      <w:r>
        <w:rPr>
          <w:rFonts w:ascii="Times New Roman" w:hAnsi="Times New Roman" w:cs="Times New Roman"/>
          <w:sz w:val="32"/>
          <w:szCs w:val="32"/>
        </w:rPr>
        <w:t>本项目的绩效目标按照产出、效益和满意度构建绩效评价指标，且具有明确性、可衡量性、可实现性、相关性和时限性等特点，能较为全面地反映本项目的产出和效益，故绩效目标合理性指标得分3分。</w:t>
      </w:r>
    </w:p>
    <w:p w14:paraId="6B66E7F9">
      <w:pPr>
        <w:autoSpaceDE w:val="0"/>
        <w:spacing w:line="560" w:lineRule="exact"/>
        <w:ind w:firstLine="643"/>
        <w:rPr>
          <w:rFonts w:ascii="Times New Roman" w:hAnsi="Times New Roman" w:cs="Times New Roman"/>
          <w:kern w:val="0"/>
          <w:sz w:val="32"/>
          <w:szCs w:val="32"/>
        </w:rPr>
      </w:pPr>
      <w:r>
        <w:rPr>
          <w:rFonts w:ascii="Times New Roman" w:hAnsi="Times New Roman" w:cs="Times New Roman"/>
          <w:b/>
          <w:kern w:val="0"/>
          <w:sz w:val="32"/>
          <w:szCs w:val="32"/>
        </w:rPr>
        <w:t>绩效目标明确性：</w:t>
      </w:r>
      <w:r>
        <w:rPr>
          <w:rFonts w:ascii="Times New Roman" w:hAnsi="Times New Roman" w:cs="Times New Roman"/>
          <w:kern w:val="0"/>
          <w:sz w:val="32"/>
          <w:szCs w:val="32"/>
        </w:rPr>
        <w:t>其中，目标已细化为具体的绩效指标</w:t>
      </w:r>
      <w:r>
        <w:rPr>
          <w:rFonts w:hint="eastAsia" w:ascii="Times New Roman" w:hAnsi="Times New Roman" w:cs="Times New Roman"/>
          <w:kern w:val="0"/>
          <w:sz w:val="32"/>
          <w:szCs w:val="32"/>
        </w:rPr>
        <w:t>，其中产出指标</w:t>
      </w:r>
      <w:r>
        <w:rPr>
          <w:rFonts w:ascii="Times New Roman" w:hAnsi="Times New Roman" w:cs="Times New Roman"/>
          <w:kern w:val="0"/>
          <w:sz w:val="32"/>
          <w:szCs w:val="32"/>
        </w:rPr>
        <w:t>可通过数量指标、质量指标、时效指标和成本指标予以量化</w:t>
      </w:r>
      <w:r>
        <w:rPr>
          <w:rFonts w:hint="eastAsia" w:ascii="Times New Roman" w:hAnsi="Times New Roman" w:cs="Times New Roman"/>
          <w:kern w:val="0"/>
          <w:sz w:val="32"/>
          <w:szCs w:val="32"/>
        </w:rPr>
        <w:t>，根据单位工作职责及计划设置数量指标2条，质量指标1条，时效指标1条，成本指标1条，总计5条产出指标，具体为雇员及临聘人员工资发放人数、发放工资次数、资金使用准确率、按月发放工资及时率、临聘、雇员每月人均工资发放标准、提高临聘人员工作积极性</w:t>
      </w:r>
      <w:r>
        <w:rPr>
          <w:rFonts w:ascii="Times New Roman" w:hAnsi="Times New Roman" w:cs="Times New Roman"/>
          <w:kern w:val="0"/>
          <w:sz w:val="32"/>
          <w:szCs w:val="32"/>
        </w:rPr>
        <w:t>，并具有确切的评价标准，且指标设定均与目标相关。各项指标均能在现实条件下收集到相关数据进行佐证</w:t>
      </w:r>
      <w:r>
        <w:rPr>
          <w:rFonts w:hint="eastAsia" w:ascii="Times New Roman" w:hAnsi="Times New Roman" w:cs="Times New Roman"/>
          <w:kern w:val="0"/>
          <w:sz w:val="32"/>
          <w:szCs w:val="32"/>
        </w:rPr>
        <w:t>，通过雇用临聘人员可通过单位人事部门获取考勤确定人员数量及出勤天数等文件来采集评价数据</w:t>
      </w:r>
      <w:r>
        <w:rPr>
          <w:rFonts w:ascii="Times New Roman" w:hAnsi="Times New Roman" w:cs="Times New Roman"/>
          <w:kern w:val="0"/>
          <w:sz w:val="32"/>
          <w:szCs w:val="32"/>
        </w:rPr>
        <w:t>，并与当年项目年度计划相对应，故绩效目标明确性指标得分3分。</w:t>
      </w:r>
    </w:p>
    <w:p w14:paraId="65DE258E">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16539A38">
      <w:pPr>
        <w:pStyle w:val="4"/>
        <w:spacing w:before="0" w:after="0" w:line="560" w:lineRule="exact"/>
        <w:ind w:firstLine="643"/>
        <w:rPr>
          <w:rFonts w:ascii="Times New Roman" w:hAnsi="Times New Roman" w:cs="Times New Roman"/>
        </w:rPr>
      </w:pPr>
      <w:bookmarkStart w:id="45" w:name="_Toc24290"/>
      <w:r>
        <w:rPr>
          <w:rFonts w:ascii="Times New Roman" w:hAnsi="Times New Roman" w:cs="Times New Roman"/>
        </w:rPr>
        <w:t>3. 资金投入</w:t>
      </w:r>
      <w:bookmarkEnd w:id="45"/>
    </w:p>
    <w:p w14:paraId="205023D2">
      <w:pPr>
        <w:autoSpaceDE w:val="0"/>
        <w:spacing w:line="560" w:lineRule="exact"/>
        <w:ind w:firstLine="643"/>
        <w:rPr>
          <w:rFonts w:ascii="Times New Roman" w:hAnsi="Times New Roman" w:cs="Times New Roman"/>
          <w:bCs/>
          <w:kern w:val="0"/>
          <w:sz w:val="32"/>
          <w:szCs w:val="32"/>
        </w:rPr>
      </w:pPr>
      <w:r>
        <w:rPr>
          <w:rFonts w:ascii="Times New Roman" w:hAnsi="Times New Roman" w:cs="Times New Roman"/>
          <w:b/>
          <w:kern w:val="0"/>
          <w:sz w:val="32"/>
          <w:szCs w:val="32"/>
        </w:rPr>
        <w:t>预算编制科学性：</w:t>
      </w:r>
      <w:r>
        <w:rPr>
          <w:rFonts w:hint="eastAsia" w:ascii="Times New Roman" w:hAnsi="Times New Roman" w:cs="Times New Roman"/>
          <w:kern w:val="0"/>
          <w:sz w:val="32"/>
          <w:szCs w:val="32"/>
        </w:rPr>
        <w:t>水磨沟区工商业联合会按照本单位职能划分，通过可行性研究分析后，消化2022年暂付款项项目专项资金分为雇员及临聘人员工资发放11.94万元</w:t>
      </w:r>
      <w:r>
        <w:rPr>
          <w:rFonts w:ascii="Times New Roman" w:hAnsi="Times New Roman" w:cs="Times New Roman"/>
          <w:b/>
          <w:kern w:val="0"/>
          <w:sz w:val="32"/>
          <w:szCs w:val="32"/>
        </w:rPr>
        <w:t>。</w:t>
      </w:r>
      <w:r>
        <w:rPr>
          <w:rFonts w:ascii="Times New Roman" w:hAnsi="Times New Roman" w:cs="Times New Roman"/>
          <w:kern w:val="0"/>
          <w:sz w:val="32"/>
          <w:szCs w:val="32"/>
        </w:rPr>
        <w:t>故预算编制科学性指标得分3分。</w:t>
      </w:r>
    </w:p>
    <w:p w14:paraId="330BD4D1">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资金分配合理性</w:t>
      </w:r>
      <w:r>
        <w:rPr>
          <w:rFonts w:ascii="Times New Roman" w:hAnsi="Times New Roman" w:cs="Times New Roman"/>
          <w:sz w:val="32"/>
          <w:szCs w:val="32"/>
        </w:rPr>
        <w:t>：</w:t>
      </w:r>
      <w:r>
        <w:rPr>
          <w:rFonts w:hint="eastAsia" w:ascii="Times New Roman" w:hAnsi="Times New Roman" w:cs="Times New Roman"/>
          <w:spacing w:val="8"/>
        </w:rPr>
        <w:t>根据水财发[2023]45号《关于下达2023年水磨沟区部门预算的通知》，该项目预算资金以全额下拨，该资金用于消化2022年暂付款项，全年预算资金11.94万元，具体分配情况如下：</w:t>
      </w:r>
      <w:r>
        <w:rPr>
          <w:rFonts w:hint="eastAsia" w:ascii="Times New Roman" w:hAnsi="Times New Roman" w:cs="Times New Roman"/>
          <w:kern w:val="0"/>
          <w:sz w:val="32"/>
          <w:szCs w:val="32"/>
        </w:rPr>
        <w:t>雇员及临聘人员工资发放11.94万元</w:t>
      </w:r>
      <w:r>
        <w:rPr>
          <w:rFonts w:ascii="Times New Roman" w:hAnsi="Times New Roman" w:cs="Times New Roman"/>
          <w:b/>
          <w:kern w:val="0"/>
          <w:sz w:val="32"/>
          <w:szCs w:val="32"/>
        </w:rPr>
        <w:t>。</w:t>
      </w:r>
      <w:r>
        <w:rPr>
          <w:rFonts w:ascii="Times New Roman" w:hAnsi="Times New Roman" w:cs="Times New Roman"/>
          <w:kern w:val="0"/>
          <w:sz w:val="32"/>
          <w:szCs w:val="32"/>
        </w:rPr>
        <w:t>故资金分配合理性指标得分3分。</w:t>
      </w:r>
    </w:p>
    <w:p w14:paraId="3003F4F4">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22D9135A">
      <w:pPr>
        <w:pStyle w:val="3"/>
        <w:spacing w:before="0" w:after="0" w:line="560" w:lineRule="exact"/>
        <w:ind w:firstLine="643"/>
        <w:rPr>
          <w:rFonts w:ascii="Times New Roman" w:hAnsi="Times New Roman" w:eastAsia="楷体" w:cs="Times New Roman"/>
          <w:color w:val="000000"/>
          <w:kern w:val="0"/>
        </w:rPr>
      </w:pPr>
      <w:bookmarkStart w:id="46" w:name="_Toc67911613"/>
      <w:bookmarkStart w:id="47" w:name="_Toc13530"/>
      <w:r>
        <w:rPr>
          <w:rFonts w:ascii="Times New Roman" w:hAnsi="Times New Roman" w:eastAsia="楷体" w:cs="Times New Roman"/>
          <w:color w:val="000000"/>
          <w:kern w:val="0"/>
        </w:rPr>
        <w:t>（二）项目过程情况</w:t>
      </w:r>
      <w:bookmarkEnd w:id="46"/>
      <w:bookmarkEnd w:id="47"/>
    </w:p>
    <w:p w14:paraId="7CC82DF2">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项目过程指标由2个二级指标和5个三级指标构成，权重为20分，实际得分</w:t>
      </w:r>
      <w:r>
        <w:rPr>
          <w:rFonts w:hint="eastAsia" w:ascii="Times New Roman" w:hAnsi="Times New Roman" w:cs="Times New Roman"/>
          <w:sz w:val="32"/>
          <w:szCs w:val="32"/>
        </w:rPr>
        <w:t>20</w:t>
      </w:r>
      <w:r>
        <w:rPr>
          <w:rFonts w:ascii="Times New Roman" w:hAnsi="Times New Roman" w:cs="Times New Roman"/>
          <w:sz w:val="32"/>
          <w:szCs w:val="32"/>
        </w:rPr>
        <w:t>分。</w:t>
      </w:r>
    </w:p>
    <w:p w14:paraId="26979D58">
      <w:pPr>
        <w:pStyle w:val="4"/>
        <w:spacing w:before="0" w:after="0" w:line="560" w:lineRule="exact"/>
        <w:ind w:firstLine="643"/>
        <w:rPr>
          <w:rFonts w:ascii="Times New Roman" w:hAnsi="Times New Roman" w:cs="Times New Roman"/>
        </w:rPr>
      </w:pPr>
      <w:bookmarkStart w:id="48" w:name="_Toc18346"/>
      <w:r>
        <w:rPr>
          <w:rFonts w:ascii="Times New Roman" w:hAnsi="Times New Roman" w:cs="Times New Roman"/>
        </w:rPr>
        <w:t>1. 资金管理</w:t>
      </w:r>
      <w:bookmarkEnd w:id="48"/>
    </w:p>
    <w:p w14:paraId="217BF956">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资金到位率：</w:t>
      </w:r>
      <w:r>
        <w:rPr>
          <w:rFonts w:hint="eastAsia" w:ascii="Times New Roman" w:hAnsi="Times New Roman" w:cs="Times New Roman"/>
          <w:sz w:val="32"/>
          <w:szCs w:val="32"/>
        </w:rPr>
        <w:t>本年度收到财政拨付当年预算11.94万元，实际到位11.94万元，该笔资金已100%拨付到位</w:t>
      </w:r>
      <w:r>
        <w:rPr>
          <w:rFonts w:ascii="Times New Roman" w:hAnsi="Times New Roman" w:cs="Times New Roman"/>
          <w:b/>
          <w:kern w:val="0"/>
          <w:sz w:val="32"/>
          <w:szCs w:val="32"/>
        </w:rPr>
        <w:t>。</w:t>
      </w:r>
      <w:r>
        <w:rPr>
          <w:rFonts w:ascii="Times New Roman" w:hAnsi="Times New Roman" w:cs="Times New Roman"/>
          <w:kern w:val="0"/>
          <w:sz w:val="32"/>
          <w:szCs w:val="32"/>
        </w:rPr>
        <w:t>故资金到位率指标得分</w:t>
      </w:r>
      <w:r>
        <w:rPr>
          <w:rFonts w:hint="eastAsia" w:ascii="Times New Roman" w:hAnsi="Times New Roman" w:cs="Times New Roman"/>
          <w:kern w:val="0"/>
          <w:sz w:val="32"/>
          <w:szCs w:val="32"/>
        </w:rPr>
        <w:t>5</w:t>
      </w:r>
      <w:r>
        <w:rPr>
          <w:rFonts w:ascii="Times New Roman" w:hAnsi="Times New Roman" w:cs="Times New Roman"/>
          <w:kern w:val="0"/>
          <w:sz w:val="32"/>
          <w:szCs w:val="32"/>
        </w:rPr>
        <w:t>分。</w:t>
      </w:r>
    </w:p>
    <w:p w14:paraId="3F8DCCB4">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预算执行率：</w:t>
      </w:r>
      <w:r>
        <w:rPr>
          <w:rFonts w:ascii="Times New Roman" w:hAnsi="Times New Roman" w:cs="Times New Roman"/>
          <w:spacing w:val="8"/>
          <w:sz w:val="32"/>
          <w:szCs w:val="32"/>
        </w:rPr>
        <w:t>2023年年初部分预算批复</w:t>
      </w:r>
      <w:r>
        <w:rPr>
          <w:rFonts w:hint="eastAsia" w:ascii="Times New Roman" w:hAnsi="Times New Roman" w:cs="Times New Roman"/>
          <w:spacing w:val="8"/>
          <w:sz w:val="32"/>
          <w:szCs w:val="32"/>
        </w:rPr>
        <w:t>，</w:t>
      </w:r>
      <w:bookmarkStart w:id="49" w:name="_Hlk166667283"/>
      <w:r>
        <w:rPr>
          <w:rFonts w:ascii="Times New Roman" w:hAnsi="Times New Roman" w:cs="Times New Roman"/>
          <w:spacing w:val="8"/>
          <w:sz w:val="32"/>
          <w:szCs w:val="32"/>
        </w:rPr>
        <w:t>共安排预算</w:t>
      </w:r>
      <w:r>
        <w:rPr>
          <w:rFonts w:hint="eastAsia" w:ascii="Times New Roman" w:hAnsi="Times New Roman" w:cs="Times New Roman"/>
          <w:spacing w:val="8"/>
          <w:sz w:val="32"/>
          <w:szCs w:val="32"/>
        </w:rPr>
        <w:t>11.94</w:t>
      </w:r>
      <w:r>
        <w:rPr>
          <w:rFonts w:ascii="Times New Roman" w:hAnsi="Times New Roman" w:cs="Times New Roman"/>
          <w:spacing w:val="8"/>
          <w:sz w:val="32"/>
          <w:szCs w:val="32"/>
        </w:rPr>
        <w:t>万元，</w:t>
      </w:r>
      <w:r>
        <w:rPr>
          <w:rFonts w:hint="eastAsia" w:ascii="Times New Roman" w:hAnsi="Times New Roman" w:cs="Times New Roman"/>
          <w:spacing w:val="8"/>
          <w:sz w:val="32"/>
          <w:szCs w:val="32"/>
        </w:rPr>
        <w:t>资金执行金额11.94万元，资金执行率</w:t>
      </w:r>
      <w:bookmarkEnd w:id="49"/>
      <w:r>
        <w:rPr>
          <w:rFonts w:hint="eastAsia" w:ascii="Times New Roman" w:hAnsi="Times New Roman" w:cs="Times New Roman"/>
          <w:sz w:val="32"/>
          <w:szCs w:val="32"/>
        </w:rPr>
        <w:t>100%</w:t>
      </w:r>
      <w:r>
        <w:rPr>
          <w:rFonts w:ascii="Times New Roman" w:hAnsi="Times New Roman" w:cs="Times New Roman"/>
          <w:b/>
          <w:bCs/>
          <w:sz w:val="32"/>
          <w:szCs w:val="32"/>
        </w:rPr>
        <w:t>。</w:t>
      </w:r>
      <w:r>
        <w:rPr>
          <w:rFonts w:ascii="Times New Roman" w:hAnsi="Times New Roman" w:cs="Times New Roman"/>
          <w:sz w:val="32"/>
          <w:szCs w:val="32"/>
        </w:rPr>
        <w:t>故预算执行率得分为</w:t>
      </w:r>
      <w:r>
        <w:rPr>
          <w:rFonts w:hint="eastAsia" w:ascii="Times New Roman" w:hAnsi="Times New Roman" w:cs="Times New Roman"/>
          <w:sz w:val="32"/>
          <w:szCs w:val="32"/>
        </w:rPr>
        <w:t>5</w:t>
      </w:r>
      <w:r>
        <w:rPr>
          <w:rFonts w:ascii="Times New Roman" w:hAnsi="Times New Roman" w:cs="Times New Roman"/>
          <w:sz w:val="32"/>
          <w:szCs w:val="32"/>
        </w:rPr>
        <w:t>分。</w:t>
      </w:r>
    </w:p>
    <w:p w14:paraId="2AEA8674">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资金使用合规性：</w:t>
      </w:r>
      <w:r>
        <w:rPr>
          <w:rFonts w:ascii="Times New Roman" w:hAnsi="Times New Roman" w:cs="Times New Roman"/>
          <w:sz w:val="32"/>
          <w:szCs w:val="32"/>
        </w:rPr>
        <w:t>本项目资金的使用符合</w:t>
      </w:r>
      <w:r>
        <w:rPr>
          <w:rFonts w:hint="eastAsia" w:ascii="Times New Roman" w:hAnsi="Times New Roman" w:cs="Times New Roman"/>
          <w:sz w:val="32"/>
          <w:szCs w:val="32"/>
        </w:rPr>
        <w:t>行政单位财务管理制度</w:t>
      </w:r>
      <w:r>
        <w:rPr>
          <w:rFonts w:ascii="Times New Roman" w:hAnsi="Times New Roman" w:cs="Times New Roman"/>
          <w:sz w:val="32"/>
          <w:szCs w:val="32"/>
        </w:rPr>
        <w:t>和</w:t>
      </w:r>
      <w:r>
        <w:rPr>
          <w:rFonts w:hint="eastAsia" w:ascii="Times New Roman" w:hAnsi="Times New Roman" w:cs="Times New Roman"/>
          <w:sz w:val="32"/>
          <w:szCs w:val="32"/>
        </w:rPr>
        <w:t>水区工商联财务</w:t>
      </w:r>
      <w:r>
        <w:rPr>
          <w:rFonts w:ascii="Times New Roman" w:hAnsi="Times New Roman" w:cs="Times New Roman"/>
          <w:sz w:val="32"/>
          <w:szCs w:val="32"/>
        </w:rPr>
        <w:t>管理制度以及有关专项资金管理办法的规定。同时，资金的拨付有</w:t>
      </w:r>
      <w:r>
        <w:rPr>
          <w:rFonts w:hint="eastAsia" w:ascii="Times New Roman" w:hAnsi="Times New Roman" w:cs="Times New Roman"/>
          <w:sz w:val="32"/>
          <w:szCs w:val="32"/>
        </w:rPr>
        <w:t>区财政局</w:t>
      </w:r>
      <w:r>
        <w:rPr>
          <w:rFonts w:ascii="Times New Roman" w:hAnsi="Times New Roman" w:cs="Times New Roman"/>
          <w:sz w:val="32"/>
          <w:szCs w:val="32"/>
        </w:rPr>
        <w:t>审批程序，需要</w:t>
      </w:r>
      <w:r>
        <w:rPr>
          <w:rFonts w:hint="eastAsia" w:ascii="Times New Roman" w:hAnsi="Times New Roman" w:cs="Times New Roman"/>
          <w:sz w:val="32"/>
          <w:szCs w:val="32"/>
        </w:rPr>
        <w:t>提交资金计划，等到计划批准后，履行支付</w:t>
      </w:r>
      <w:r>
        <w:rPr>
          <w:rFonts w:ascii="Times New Roman" w:hAnsi="Times New Roman" w:cs="Times New Roman"/>
          <w:sz w:val="32"/>
          <w:szCs w:val="32"/>
        </w:rPr>
        <w:t>手续，符合项目预算批复或合同规定的用途，不存在截留、挤占、挪用、虚列支出等情况。故资金使用合规性得分为3分。</w:t>
      </w:r>
    </w:p>
    <w:p w14:paraId="4099EF88">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rPr>
        <w:t>13</w:t>
      </w:r>
      <w:r>
        <w:rPr>
          <w:rFonts w:ascii="Times New Roman" w:hAnsi="Times New Roman" w:cs="Times New Roman"/>
          <w:b/>
          <w:kern w:val="0"/>
          <w:sz w:val="32"/>
          <w:szCs w:val="32"/>
        </w:rPr>
        <w:t>分。</w:t>
      </w:r>
    </w:p>
    <w:p w14:paraId="6C870D59">
      <w:pPr>
        <w:pStyle w:val="4"/>
        <w:spacing w:before="0" w:after="0" w:line="560" w:lineRule="exact"/>
        <w:ind w:firstLine="643"/>
        <w:rPr>
          <w:rFonts w:ascii="Times New Roman" w:hAnsi="Times New Roman" w:cs="Times New Roman"/>
        </w:rPr>
      </w:pPr>
      <w:bookmarkStart w:id="50" w:name="_Toc3203"/>
      <w:r>
        <w:rPr>
          <w:rFonts w:ascii="Times New Roman" w:hAnsi="Times New Roman" w:cs="Times New Roman"/>
        </w:rPr>
        <w:t>2. 组织实施</w:t>
      </w:r>
      <w:bookmarkEnd w:id="50"/>
    </w:p>
    <w:p w14:paraId="1417F11E">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hint="eastAsia" w:ascii="Times New Roman" w:hAnsi="Times New Roman" w:cs="Times New Roman"/>
          <w:sz w:val="32"/>
          <w:szCs w:val="32"/>
        </w:rPr>
        <w:t>我局</w:t>
      </w:r>
      <w:r>
        <w:rPr>
          <w:rFonts w:ascii="Times New Roman" w:hAnsi="Times New Roman" w:cs="Times New Roman"/>
          <w:sz w:val="32"/>
          <w:szCs w:val="32"/>
        </w:rPr>
        <w:t>已制定相应的</w:t>
      </w:r>
      <w:r>
        <w:rPr>
          <w:rFonts w:hint="eastAsia" w:ascii="Times New Roman" w:hAnsi="Times New Roman" w:cs="Times New Roman"/>
          <w:sz w:val="32"/>
          <w:szCs w:val="32"/>
        </w:rPr>
        <w:t>水区工商联财务管理</w:t>
      </w:r>
      <w:r>
        <w:rPr>
          <w:rFonts w:ascii="Times New Roman" w:hAnsi="Times New Roman" w:cs="Times New Roman"/>
          <w:sz w:val="32"/>
          <w:szCs w:val="32"/>
        </w:rPr>
        <w:t>和</w:t>
      </w:r>
      <w:r>
        <w:rPr>
          <w:rFonts w:hint="eastAsia" w:ascii="Times New Roman" w:hAnsi="Times New Roman" w:cs="Times New Roman"/>
          <w:sz w:val="32"/>
          <w:szCs w:val="32"/>
        </w:rPr>
        <w:t>各业务</w:t>
      </w:r>
      <w:r>
        <w:rPr>
          <w:rFonts w:ascii="Times New Roman" w:hAnsi="Times New Roman" w:cs="Times New Roman"/>
          <w:sz w:val="32"/>
          <w:szCs w:val="32"/>
        </w:rPr>
        <w:t>管理制度，且制度合法、合规、完整，为项目顺利实施提供重要保障。故管理制度健全性得分为3分。</w:t>
      </w:r>
    </w:p>
    <w:p w14:paraId="7589C105">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制度执行有效性：</w:t>
      </w:r>
      <w:bookmarkStart w:id="51" w:name="_Hlk67670213"/>
      <w:r>
        <w:rPr>
          <w:rFonts w:ascii="Times New Roman" w:hAnsi="Times New Roman" w:cs="Times New Roman"/>
          <w:sz w:val="32"/>
          <w:szCs w:val="32"/>
        </w:rPr>
        <w:t>根据评价小组核查情况，</w:t>
      </w:r>
      <w:r>
        <w:rPr>
          <w:rFonts w:hint="eastAsia" w:ascii="Times New Roman" w:hAnsi="Times New Roman" w:cs="Times New Roman"/>
          <w:sz w:val="32"/>
          <w:szCs w:val="32"/>
        </w:rPr>
        <w:t>工商联</w:t>
      </w:r>
      <w:r>
        <w:rPr>
          <w:rFonts w:ascii="Times New Roman" w:hAnsi="Times New Roman" w:cs="Times New Roman"/>
          <w:sz w:val="32"/>
          <w:szCs w:val="32"/>
        </w:rPr>
        <w:t>严格遵守相关法律法规和相关管理规定，项目调整及支出调整手续完备，整体管理合理有序，项目完成后，及时将会计凭证、</w:t>
      </w:r>
      <w:r>
        <w:rPr>
          <w:rFonts w:hint="eastAsia" w:ascii="Times New Roman" w:hAnsi="Times New Roman" w:cs="Times New Roman"/>
          <w:sz w:val="32"/>
          <w:szCs w:val="32"/>
        </w:rPr>
        <w:t>会计账簿，财务报告、银行对账单、</w:t>
      </w:r>
      <w:r>
        <w:rPr>
          <w:rFonts w:ascii="Times New Roman" w:hAnsi="Times New Roman" w:cs="Times New Roman"/>
          <w:sz w:val="32"/>
          <w:szCs w:val="32"/>
        </w:rPr>
        <w:t>固定资产入库单等相关资料分类归档，制度执行有效。故制度执行有效性指标得分4分。</w:t>
      </w:r>
    </w:p>
    <w:p w14:paraId="73F2C8D7">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综上，该指标满分7分，得分7分。</w:t>
      </w:r>
    </w:p>
    <w:bookmarkEnd w:id="51"/>
    <w:p w14:paraId="440FDCF0">
      <w:pPr>
        <w:pStyle w:val="3"/>
        <w:spacing w:before="0" w:after="0" w:line="560" w:lineRule="exact"/>
        <w:ind w:firstLine="643"/>
        <w:rPr>
          <w:rFonts w:ascii="Times New Roman" w:hAnsi="Times New Roman" w:eastAsia="楷体" w:cs="Times New Roman"/>
          <w:color w:val="000000"/>
          <w:kern w:val="0"/>
        </w:rPr>
      </w:pPr>
      <w:bookmarkStart w:id="52" w:name="_Toc21456"/>
      <w:bookmarkStart w:id="53" w:name="_Toc67911614"/>
      <w:r>
        <w:rPr>
          <w:rFonts w:ascii="Times New Roman" w:hAnsi="Times New Roman" w:eastAsia="楷体" w:cs="Times New Roman"/>
          <w:color w:val="000000"/>
          <w:kern w:val="0"/>
        </w:rPr>
        <w:t>（三）项目产出情况</w:t>
      </w:r>
      <w:bookmarkEnd w:id="52"/>
      <w:bookmarkEnd w:id="53"/>
    </w:p>
    <w:p w14:paraId="027C2091">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项目产出指标由4个二级指标和</w:t>
      </w:r>
      <w:r>
        <w:rPr>
          <w:rFonts w:hint="eastAsia" w:ascii="Times New Roman" w:hAnsi="Times New Roman" w:cs="Times New Roman"/>
          <w:sz w:val="32"/>
          <w:szCs w:val="32"/>
        </w:rPr>
        <w:t>5</w:t>
      </w:r>
      <w:r>
        <w:rPr>
          <w:rFonts w:ascii="Times New Roman" w:hAnsi="Times New Roman" w:cs="Times New Roman"/>
          <w:sz w:val="32"/>
          <w:szCs w:val="32"/>
        </w:rPr>
        <w:t>个三级指标构成，权重为</w:t>
      </w:r>
      <w:r>
        <w:rPr>
          <w:rFonts w:hint="eastAsia" w:ascii="Times New Roman" w:hAnsi="Times New Roman" w:cs="Times New Roman"/>
          <w:sz w:val="32"/>
          <w:szCs w:val="32"/>
        </w:rPr>
        <w:t>45</w:t>
      </w:r>
      <w:r>
        <w:rPr>
          <w:rFonts w:ascii="Times New Roman" w:hAnsi="Times New Roman" w:cs="Times New Roman"/>
          <w:sz w:val="32"/>
          <w:szCs w:val="32"/>
        </w:rPr>
        <w:t>分，实际得分</w:t>
      </w:r>
      <w:r>
        <w:rPr>
          <w:rFonts w:hint="eastAsia" w:ascii="Times New Roman" w:hAnsi="Times New Roman" w:cs="Times New Roman"/>
          <w:sz w:val="32"/>
          <w:szCs w:val="32"/>
        </w:rPr>
        <w:t>45</w:t>
      </w:r>
      <w:r>
        <w:rPr>
          <w:rFonts w:ascii="Times New Roman" w:hAnsi="Times New Roman" w:cs="Times New Roman"/>
          <w:sz w:val="32"/>
          <w:szCs w:val="32"/>
        </w:rPr>
        <w:t>分。</w:t>
      </w:r>
    </w:p>
    <w:p w14:paraId="6EFA0FCC">
      <w:pPr>
        <w:pStyle w:val="4"/>
        <w:spacing w:before="0" w:after="0" w:line="560" w:lineRule="exact"/>
        <w:ind w:firstLine="643"/>
        <w:rPr>
          <w:rFonts w:ascii="Times New Roman" w:hAnsi="Times New Roman" w:cs="Times New Roman"/>
        </w:rPr>
      </w:pPr>
      <w:bookmarkStart w:id="54" w:name="_Toc21326"/>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产出数量</w:t>
      </w:r>
      <w:bookmarkEnd w:id="54"/>
    </w:p>
    <w:p w14:paraId="0A3CFD00">
      <w:pPr>
        <w:spacing w:line="360" w:lineRule="auto"/>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雇员及临聘人员工资发放人数</w:t>
      </w:r>
      <w:r>
        <w:rPr>
          <w:rFonts w:ascii="Times New Roman" w:hAnsi="Times New Roman" w:cs="Times New Roman"/>
          <w:bCs/>
          <w:sz w:val="32"/>
          <w:szCs w:val="32"/>
        </w:rPr>
        <w:t>”的目标值是</w:t>
      </w:r>
      <w:r>
        <w:rPr>
          <w:rFonts w:hint="eastAsia" w:ascii="Times New Roman" w:hAnsi="Times New Roman" w:cs="Times New Roman"/>
          <w:bCs/>
          <w:sz w:val="32"/>
          <w:szCs w:val="32"/>
        </w:rPr>
        <w:t>4人</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4人</w:t>
      </w:r>
      <w:r>
        <w:rPr>
          <w:rFonts w:ascii="Times New Roman" w:hAnsi="Times New Roman" w:cs="Times New Roman"/>
          <w:bCs/>
          <w:sz w:val="32"/>
          <w:szCs w:val="32"/>
        </w:rPr>
        <w:t>，</w:t>
      </w:r>
      <w:r>
        <w:rPr>
          <w:rFonts w:hint="eastAsia" w:ascii="Times New Roman" w:hAnsi="Times New Roman" w:cs="Times New Roman"/>
          <w:bCs/>
          <w:sz w:val="32"/>
          <w:szCs w:val="32"/>
        </w:rPr>
        <w:t>已按期完成。</w:t>
      </w:r>
      <w:bookmarkStart w:id="55" w:name="_Hlk167202139"/>
      <w:bookmarkStart w:id="56" w:name="_Hlk166779192"/>
      <w:r>
        <w:rPr>
          <w:rFonts w:hint="eastAsia" w:ascii="Times New Roman" w:hAnsi="Times New Roman" w:cs="Times New Roman"/>
          <w:bCs/>
          <w:sz w:val="32"/>
          <w:szCs w:val="32"/>
        </w:rPr>
        <w:t>该指标赋分10，得分</w:t>
      </w:r>
      <w:bookmarkEnd w:id="55"/>
      <w:bookmarkEnd w:id="56"/>
      <w:r>
        <w:rPr>
          <w:rFonts w:hint="eastAsia" w:ascii="Times New Roman" w:hAnsi="Times New Roman" w:cs="Times New Roman"/>
          <w:bCs/>
          <w:sz w:val="32"/>
          <w:szCs w:val="32"/>
        </w:rPr>
        <w:t>10</w:t>
      </w:r>
    </w:p>
    <w:p w14:paraId="79B1B7C0">
      <w:pPr>
        <w:spacing w:line="360" w:lineRule="auto"/>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发放工资次数</w:t>
      </w:r>
      <w:r>
        <w:rPr>
          <w:rFonts w:ascii="Times New Roman" w:hAnsi="Times New Roman" w:cs="Times New Roman"/>
          <w:bCs/>
          <w:sz w:val="32"/>
          <w:szCs w:val="32"/>
        </w:rPr>
        <w:t>”的目标值是</w:t>
      </w:r>
      <w:r>
        <w:rPr>
          <w:rFonts w:hint="eastAsia" w:ascii="Times New Roman" w:hAnsi="Times New Roman" w:cs="Times New Roman"/>
          <w:bCs/>
          <w:sz w:val="32"/>
          <w:szCs w:val="32"/>
        </w:rPr>
        <w:t>12次</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12次</w:t>
      </w:r>
      <w:r>
        <w:rPr>
          <w:rFonts w:ascii="Times New Roman" w:hAnsi="Times New Roman" w:cs="Times New Roman"/>
          <w:bCs/>
          <w:sz w:val="32"/>
          <w:szCs w:val="32"/>
        </w:rPr>
        <w:t>，</w:t>
      </w:r>
      <w:r>
        <w:rPr>
          <w:rFonts w:hint="eastAsia" w:ascii="Times New Roman" w:hAnsi="Times New Roman" w:cs="Times New Roman"/>
          <w:bCs/>
          <w:sz w:val="32"/>
          <w:szCs w:val="32"/>
        </w:rPr>
        <w:t>已按期完成该指标赋分10，得分10</w:t>
      </w:r>
    </w:p>
    <w:p w14:paraId="680D1DE2">
      <w:pPr>
        <w:spacing w:line="360" w:lineRule="auto"/>
        <w:ind w:firstLine="640"/>
        <w:rPr>
          <w:rFonts w:ascii="Times New Roman" w:hAnsi="Times New Roman" w:cs="Times New Roman"/>
          <w:bCs/>
          <w:sz w:val="32"/>
          <w:szCs w:val="32"/>
        </w:rPr>
      </w:pPr>
      <w:bookmarkStart w:id="57" w:name="_Hlk166779237"/>
      <w:bookmarkStart w:id="58" w:name="_Toc20437"/>
      <w:r>
        <w:rPr>
          <w:rFonts w:hint="eastAsia" w:ascii="Times New Roman" w:hAnsi="Times New Roman" w:cs="Times New Roman"/>
          <w:bCs/>
          <w:sz w:val="32"/>
          <w:szCs w:val="32"/>
        </w:rPr>
        <w:t>该指标赋分20，得分20，得分率100%</w:t>
      </w:r>
    </w:p>
    <w:bookmarkEnd w:id="57"/>
    <w:p w14:paraId="735BF180">
      <w:pPr>
        <w:pStyle w:val="4"/>
        <w:spacing w:before="0" w:after="0" w:line="560" w:lineRule="exact"/>
        <w:ind w:firstLine="643"/>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产出质量</w:t>
      </w:r>
      <w:bookmarkEnd w:id="58"/>
    </w:p>
    <w:p w14:paraId="294CBB1B">
      <w:pPr>
        <w:spacing w:line="560" w:lineRule="exact"/>
        <w:ind w:firstLine="643"/>
        <w:rPr>
          <w:rFonts w:ascii="Times New Roman" w:hAnsi="Times New Roman" w:cs="Times New Roman"/>
          <w:color w:val="FF0000"/>
          <w:sz w:val="32"/>
          <w:szCs w:val="32"/>
        </w:rPr>
      </w:pPr>
      <w:r>
        <w:rPr>
          <w:rFonts w:hint="eastAsia" w:ascii="Times New Roman" w:hAnsi="Times New Roman" w:cs="Times New Roman"/>
          <w:b/>
          <w:bCs/>
          <w:sz w:val="32"/>
          <w:szCs w:val="32"/>
        </w:rPr>
        <w:t>资金使用准确率</w:t>
      </w:r>
      <w:r>
        <w:rPr>
          <w:rFonts w:ascii="Times New Roman" w:hAnsi="Times New Roman" w:cs="Times New Roman"/>
          <w:b/>
          <w:bCs/>
          <w:sz w:val="32"/>
          <w:szCs w:val="32"/>
        </w:rPr>
        <w:t>：</w:t>
      </w:r>
      <w:r>
        <w:rPr>
          <w:rFonts w:hint="eastAsia" w:ascii="Times New Roman" w:hAnsi="Times New Roman" w:cs="Times New Roman"/>
          <w:bCs/>
          <w:sz w:val="32"/>
          <w:szCs w:val="32"/>
        </w:rPr>
        <w:t>目标值为</w:t>
      </w:r>
      <w:r>
        <w:rPr>
          <w:rFonts w:ascii="Times New Roman" w:hAnsi="Times New Roman" w:cs="Times New Roman"/>
          <w:bCs/>
          <w:sz w:val="32"/>
          <w:szCs w:val="32"/>
        </w:rPr>
        <w:t>≥</w:t>
      </w:r>
      <w:r>
        <w:rPr>
          <w:rFonts w:hint="eastAsia" w:ascii="Times New Roman" w:hAnsi="Times New Roman" w:cs="Times New Roman"/>
          <w:bCs/>
          <w:sz w:val="32"/>
          <w:szCs w:val="32"/>
        </w:rPr>
        <w:t>95%，根据单位临聘人员考勤情况，偶有人员出现病假及事假情况，最终临聘人员工资根据人员名册以及每月考勤一一对应发放。资金使用准确率为95%，</w:t>
      </w:r>
      <w:r>
        <w:rPr>
          <w:rFonts w:ascii="Times New Roman" w:hAnsi="Times New Roman" w:cs="Times New Roman"/>
          <w:bCs/>
          <w:sz w:val="32"/>
          <w:szCs w:val="32"/>
        </w:rPr>
        <w:t>得分为</w:t>
      </w:r>
      <w:r>
        <w:rPr>
          <w:rFonts w:hint="eastAsia" w:ascii="Times New Roman" w:hAnsi="Times New Roman" w:cs="Times New Roman"/>
          <w:bCs/>
          <w:sz w:val="32"/>
          <w:szCs w:val="32"/>
        </w:rPr>
        <w:t>10</w:t>
      </w:r>
      <w:r>
        <w:rPr>
          <w:rFonts w:ascii="Times New Roman" w:hAnsi="Times New Roman" w:cs="Times New Roman"/>
          <w:bCs/>
          <w:sz w:val="32"/>
          <w:szCs w:val="32"/>
        </w:rPr>
        <w:t>分。</w:t>
      </w:r>
    </w:p>
    <w:p w14:paraId="364A4DA5">
      <w:pPr>
        <w:pStyle w:val="4"/>
        <w:spacing w:before="0" w:after="0" w:line="560" w:lineRule="exact"/>
        <w:ind w:firstLine="643"/>
        <w:rPr>
          <w:rFonts w:ascii="Times New Roman" w:hAnsi="Times New Roman" w:cs="Times New Roman"/>
        </w:rPr>
      </w:pPr>
      <w:bookmarkStart w:id="59" w:name="_Toc14252"/>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产出时效</w:t>
      </w:r>
      <w:bookmarkEnd w:id="59"/>
    </w:p>
    <w:p w14:paraId="5B917E8B">
      <w:pPr>
        <w:spacing w:line="560" w:lineRule="exact"/>
        <w:ind w:firstLine="640"/>
        <w:rPr>
          <w:rFonts w:ascii="Times New Roman" w:hAnsi="Times New Roman" w:cs="Times New Roman"/>
          <w:b/>
          <w:bCs/>
          <w:sz w:val="32"/>
          <w:szCs w:val="32"/>
        </w:rPr>
      </w:pPr>
      <w:r>
        <w:rPr>
          <w:rStyle w:val="19"/>
          <w:rFonts w:hint="eastAsia" w:ascii="Times New Roman" w:hAnsi="Times New Roman" w:cs="Times New Roman"/>
          <w:sz w:val="32"/>
          <w:szCs w:val="32"/>
        </w:rPr>
        <w:t>时效指标“按月发放工资及时率”全年根据绩效目标，按期发放临聘、雇员每月人均工资，项目完成率100%。得分5分。</w:t>
      </w:r>
    </w:p>
    <w:p w14:paraId="490126AE">
      <w:pPr>
        <w:pStyle w:val="4"/>
        <w:spacing w:before="0" w:after="0" w:line="560" w:lineRule="exact"/>
        <w:ind w:firstLine="643"/>
        <w:rPr>
          <w:rFonts w:ascii="Times New Roman" w:hAnsi="Times New Roman" w:cs="Times New Roman"/>
        </w:rPr>
      </w:pPr>
      <w:bookmarkStart w:id="60" w:name="_Toc15505"/>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产出成本</w:t>
      </w:r>
      <w:bookmarkEnd w:id="60"/>
    </w:p>
    <w:p w14:paraId="4C35B50E">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临聘、雇员每月人均工资发放标准</w:t>
      </w:r>
      <w:r>
        <w:rPr>
          <w:rFonts w:ascii="Times New Roman" w:hAnsi="Times New Roman" w:cs="Times New Roman"/>
          <w:b/>
          <w:bCs/>
          <w:sz w:val="32"/>
          <w:szCs w:val="32"/>
        </w:rPr>
        <w:t>：</w:t>
      </w:r>
      <w:r>
        <w:rPr>
          <w:rFonts w:hint="eastAsia" w:ascii="Times New Roman" w:hAnsi="Times New Roman" w:cs="Times New Roman"/>
          <w:bCs/>
          <w:sz w:val="32"/>
          <w:szCs w:val="32"/>
        </w:rPr>
        <w:t>预算拨付11.94万元，临聘、雇员每月人均工资</w:t>
      </w:r>
      <w:r>
        <w:rPr>
          <w:rFonts w:ascii="Times New Roman" w:hAnsi="Times New Roman" w:cs="Times New Roman"/>
          <w:bCs/>
          <w:sz w:val="32"/>
          <w:szCs w:val="32"/>
        </w:rPr>
        <w:t xml:space="preserve">实际支出 </w:t>
      </w:r>
      <w:r>
        <w:rPr>
          <w:rFonts w:hint="eastAsia" w:ascii="Times New Roman" w:hAnsi="Times New Roman" w:cs="Times New Roman"/>
          <w:bCs/>
          <w:sz w:val="32"/>
          <w:szCs w:val="32"/>
        </w:rPr>
        <w:t>11.94</w:t>
      </w:r>
      <w:r>
        <w:rPr>
          <w:rFonts w:ascii="Times New Roman" w:hAnsi="Times New Roman" w:cs="Times New Roman"/>
          <w:bCs/>
          <w:sz w:val="32"/>
          <w:szCs w:val="32"/>
        </w:rPr>
        <w:t xml:space="preserve">  万元，无超支情况，项目资金全部完成，得分为</w:t>
      </w:r>
      <w:r>
        <w:rPr>
          <w:rFonts w:hint="eastAsia" w:ascii="Times New Roman" w:hAnsi="Times New Roman" w:cs="Times New Roman"/>
          <w:bCs/>
          <w:sz w:val="32"/>
          <w:szCs w:val="32"/>
        </w:rPr>
        <w:t>10分</w:t>
      </w:r>
      <w:r>
        <w:rPr>
          <w:rFonts w:ascii="Times New Roman" w:hAnsi="Times New Roman" w:cs="Times New Roman"/>
          <w:bCs/>
          <w:sz w:val="32"/>
          <w:szCs w:val="32"/>
        </w:rPr>
        <w:t>。</w:t>
      </w:r>
    </w:p>
    <w:p w14:paraId="0D39FAA3">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w:t>
      </w:r>
      <w:r>
        <w:rPr>
          <w:rFonts w:hint="eastAsia" w:ascii="Times New Roman" w:hAnsi="Times New Roman" w:cs="Times New Roman"/>
          <w:b/>
          <w:kern w:val="0"/>
          <w:sz w:val="32"/>
          <w:szCs w:val="32"/>
        </w:rPr>
        <w:t>45</w:t>
      </w:r>
      <w:r>
        <w:rPr>
          <w:rFonts w:ascii="Times New Roman" w:hAnsi="Times New Roman" w:cs="Times New Roman"/>
          <w:b/>
          <w:kern w:val="0"/>
          <w:sz w:val="32"/>
          <w:szCs w:val="32"/>
        </w:rPr>
        <w:t>分，得分</w:t>
      </w:r>
      <w:r>
        <w:rPr>
          <w:rFonts w:hint="eastAsia" w:ascii="Times New Roman" w:hAnsi="Times New Roman" w:cs="Times New Roman"/>
          <w:sz w:val="32"/>
          <w:szCs w:val="32"/>
        </w:rPr>
        <w:t>45</w:t>
      </w:r>
      <w:r>
        <w:rPr>
          <w:rFonts w:ascii="Times New Roman" w:hAnsi="Times New Roman" w:cs="Times New Roman"/>
          <w:b/>
          <w:kern w:val="0"/>
          <w:sz w:val="32"/>
          <w:szCs w:val="32"/>
        </w:rPr>
        <w:t>分。</w:t>
      </w:r>
    </w:p>
    <w:p w14:paraId="0450F1CC">
      <w:pPr>
        <w:pStyle w:val="3"/>
        <w:spacing w:before="0" w:after="0" w:line="560" w:lineRule="exact"/>
        <w:ind w:firstLine="643"/>
        <w:rPr>
          <w:rFonts w:ascii="Times New Roman" w:hAnsi="Times New Roman" w:eastAsia="楷体" w:cs="Times New Roman"/>
          <w:color w:val="000000"/>
          <w:kern w:val="0"/>
        </w:rPr>
      </w:pPr>
      <w:bookmarkStart w:id="61" w:name="_Toc67911615"/>
      <w:bookmarkStart w:id="62" w:name="_Toc15002"/>
      <w:r>
        <w:rPr>
          <w:rFonts w:ascii="Times New Roman" w:hAnsi="Times New Roman" w:eastAsia="楷体" w:cs="Times New Roman"/>
          <w:color w:val="000000"/>
          <w:kern w:val="0"/>
        </w:rPr>
        <w:t>（四）项目效益情况</w:t>
      </w:r>
      <w:bookmarkEnd w:id="61"/>
      <w:bookmarkEnd w:id="62"/>
    </w:p>
    <w:p w14:paraId="3058C387">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项目效益指标由1个二级指标和</w:t>
      </w:r>
      <w:r>
        <w:rPr>
          <w:rFonts w:hint="eastAsia" w:ascii="Times New Roman" w:hAnsi="Times New Roman" w:cs="Times New Roman"/>
          <w:sz w:val="32"/>
          <w:szCs w:val="32"/>
        </w:rPr>
        <w:t>1</w:t>
      </w:r>
      <w:r>
        <w:rPr>
          <w:rFonts w:ascii="Times New Roman" w:hAnsi="Times New Roman" w:cs="Times New Roman"/>
          <w:sz w:val="32"/>
          <w:szCs w:val="32"/>
        </w:rPr>
        <w:t>个三级指标构成，权重为</w:t>
      </w:r>
      <w:r>
        <w:rPr>
          <w:rFonts w:hint="eastAsia" w:ascii="Times New Roman" w:hAnsi="Times New Roman" w:cs="Times New Roman"/>
          <w:sz w:val="32"/>
          <w:szCs w:val="32"/>
        </w:rPr>
        <w:t>15</w:t>
      </w:r>
      <w:r>
        <w:rPr>
          <w:rFonts w:ascii="Times New Roman" w:hAnsi="Times New Roman" w:cs="Times New Roman"/>
          <w:sz w:val="32"/>
          <w:szCs w:val="32"/>
        </w:rPr>
        <w:t>分，实际得分</w:t>
      </w:r>
      <w:r>
        <w:rPr>
          <w:rFonts w:hint="eastAsia" w:ascii="Times New Roman" w:hAnsi="Times New Roman" w:cs="Times New Roman"/>
          <w:sz w:val="32"/>
          <w:szCs w:val="32"/>
        </w:rPr>
        <w:t>15</w:t>
      </w:r>
      <w:r>
        <w:rPr>
          <w:rFonts w:ascii="Times New Roman" w:hAnsi="Times New Roman" w:cs="Times New Roman"/>
          <w:sz w:val="32"/>
          <w:szCs w:val="32"/>
        </w:rPr>
        <w:t>分。</w:t>
      </w:r>
    </w:p>
    <w:p w14:paraId="55AB7E9F">
      <w:pPr>
        <w:pStyle w:val="4"/>
        <w:spacing w:before="0" w:after="0" w:line="560" w:lineRule="exact"/>
        <w:ind w:firstLine="643"/>
        <w:rPr>
          <w:rFonts w:ascii="Times New Roman" w:hAnsi="Times New Roman" w:cs="Times New Roman"/>
        </w:rPr>
      </w:pPr>
      <w:bookmarkStart w:id="63" w:name="_Toc5253"/>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项目效益</w:t>
      </w:r>
      <w:bookmarkEnd w:id="63"/>
    </w:p>
    <w:p w14:paraId="2F258FC6">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14:paraId="39E689AE">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经济效益指标：</w:t>
      </w:r>
      <w:r>
        <w:rPr>
          <w:rFonts w:ascii="Times New Roman" w:hAnsi="Times New Roman" w:cs="Times New Roman"/>
          <w:sz w:val="32"/>
          <w:szCs w:val="32"/>
        </w:rPr>
        <w:t>不适用。</w:t>
      </w:r>
    </w:p>
    <w:p w14:paraId="2BB02AFB">
      <w:pPr>
        <w:spacing w:line="560" w:lineRule="exact"/>
        <w:ind w:firstLine="643"/>
        <w:rPr>
          <w:rFonts w:ascii="Times New Roman" w:hAnsi="Times New Roman" w:cs="Times New Roman"/>
          <w:color w:val="000000"/>
          <w:kern w:val="0"/>
          <w:sz w:val="32"/>
          <w:szCs w:val="32"/>
        </w:rPr>
      </w:pPr>
      <w:r>
        <w:rPr>
          <w:rFonts w:ascii="Times New Roman" w:hAnsi="Times New Roman" w:cs="Times New Roman"/>
          <w:b/>
          <w:bCs/>
          <w:sz w:val="32"/>
          <w:szCs w:val="32"/>
        </w:rPr>
        <w:t>社会效益指标</w:t>
      </w:r>
      <w:r>
        <w:rPr>
          <w:rFonts w:ascii="Times New Roman" w:hAnsi="Times New Roman" w:cs="Times New Roman"/>
          <w:sz w:val="32"/>
          <w:szCs w:val="32"/>
        </w:rPr>
        <w:t>：评价指标“</w:t>
      </w:r>
      <w:r>
        <w:rPr>
          <w:rFonts w:hint="eastAsia" w:ascii="Times New Roman" w:hAnsi="Times New Roman" w:cs="Times New Roman"/>
          <w:sz w:val="32"/>
          <w:szCs w:val="32"/>
        </w:rPr>
        <w:t>提高临聘人员工作积极性</w:t>
      </w:r>
      <w:r>
        <w:rPr>
          <w:rFonts w:ascii="Times New Roman" w:hAnsi="Times New Roman" w:cs="Times New Roman"/>
          <w:sz w:val="32"/>
          <w:szCs w:val="32"/>
        </w:rPr>
        <w:t>”，指标值：</w:t>
      </w:r>
      <w:r>
        <w:rPr>
          <w:rFonts w:hint="eastAsia" w:ascii="Times New Roman" w:hAnsi="Times New Roman" w:cs="Times New Roman"/>
          <w:sz w:val="32"/>
          <w:szCs w:val="32"/>
        </w:rPr>
        <w:t>有效提升</w:t>
      </w:r>
      <w:r>
        <w:rPr>
          <w:rFonts w:ascii="Times New Roman" w:hAnsi="Times New Roman" w:cs="Times New Roman"/>
          <w:sz w:val="32"/>
          <w:szCs w:val="32"/>
        </w:rPr>
        <w:t>，实际完成值：达成年度指标。</w:t>
      </w:r>
      <w:r>
        <w:rPr>
          <w:rFonts w:hint="eastAsia" w:ascii="Times New Roman" w:hAnsi="Times New Roman" w:cs="Times New Roman"/>
          <w:sz w:val="32"/>
          <w:szCs w:val="32"/>
        </w:rPr>
        <w:t>项目社会效益</w:t>
      </w:r>
      <w:r>
        <w:rPr>
          <w:rFonts w:hint="eastAsia" w:ascii="Times New Roman" w:hAnsi="Times New Roman" w:cs="Times New Roman"/>
          <w:spacing w:val="8"/>
          <w:sz w:val="32"/>
          <w:szCs w:val="32"/>
        </w:rPr>
        <w:t>提高了雇员、临聘人员工作积极性，日常保障了雇员临聘工作人员福利待遇，单位更加高效正常运转。</w:t>
      </w:r>
    </w:p>
    <w:p w14:paraId="1BE6F82B">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生态效益指标</w:t>
      </w:r>
      <w:r>
        <w:rPr>
          <w:rFonts w:ascii="Times New Roman" w:hAnsi="Times New Roman" w:cs="Times New Roman"/>
          <w:sz w:val="32"/>
          <w:szCs w:val="32"/>
        </w:rPr>
        <w:t>：不适用。</w:t>
      </w:r>
    </w:p>
    <w:p w14:paraId="06CB5767">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w:t>
      </w:r>
      <w:r>
        <w:rPr>
          <w:rFonts w:hint="eastAsia" w:ascii="Times New Roman" w:hAnsi="Times New Roman" w:cs="Times New Roman"/>
          <w:b/>
          <w:kern w:val="0"/>
          <w:sz w:val="32"/>
          <w:szCs w:val="32"/>
        </w:rPr>
        <w:t>5</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15</w:t>
      </w:r>
      <w:r>
        <w:rPr>
          <w:rFonts w:ascii="Times New Roman" w:hAnsi="Times New Roman" w:cs="Times New Roman"/>
          <w:b/>
          <w:kern w:val="0"/>
          <w:sz w:val="32"/>
          <w:szCs w:val="32"/>
        </w:rPr>
        <w:t>分。</w:t>
      </w:r>
    </w:p>
    <w:p w14:paraId="0C987D2F">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64" w:name="_Toc20703"/>
      <w:bookmarkStart w:id="65" w:name="_Toc67911617"/>
      <w:r>
        <w:rPr>
          <w:rFonts w:ascii="Times New Roman" w:hAnsi="Times New Roman" w:eastAsia="黑体" w:cs="Times New Roman"/>
          <w:b w:val="0"/>
          <w:bCs w:val="0"/>
          <w:color w:val="000000"/>
          <w:spacing w:val="8"/>
          <w:kern w:val="0"/>
          <w:sz w:val="32"/>
          <w:szCs w:val="32"/>
        </w:rPr>
        <w:t>五、主要经验及做法、存在的问题及原因分析</w:t>
      </w:r>
      <w:bookmarkEnd w:id="64"/>
      <w:bookmarkEnd w:id="65"/>
    </w:p>
    <w:p w14:paraId="51072FCB">
      <w:pPr>
        <w:pStyle w:val="3"/>
        <w:spacing w:before="0" w:after="0" w:line="560" w:lineRule="exact"/>
        <w:ind w:firstLine="643"/>
        <w:rPr>
          <w:rFonts w:ascii="Times New Roman" w:hAnsi="Times New Roman" w:eastAsia="楷体" w:cs="Times New Roman"/>
          <w:color w:val="000000"/>
          <w:kern w:val="0"/>
        </w:rPr>
      </w:pPr>
      <w:bookmarkStart w:id="66" w:name="_Toc27872"/>
      <w:bookmarkStart w:id="67" w:name="_Toc67911618"/>
      <w:r>
        <w:rPr>
          <w:rFonts w:ascii="Times New Roman" w:hAnsi="Times New Roman" w:eastAsia="楷体" w:cs="Times New Roman"/>
          <w:color w:val="000000"/>
          <w:kern w:val="0"/>
        </w:rPr>
        <w:t>（一）主要经验及做法</w:t>
      </w:r>
      <w:bookmarkEnd w:id="66"/>
      <w:bookmarkEnd w:id="67"/>
    </w:p>
    <w:p w14:paraId="1BC14FAC">
      <w:pPr>
        <w:spacing w:line="560" w:lineRule="exact"/>
        <w:ind w:firstLine="643"/>
        <w:rPr>
          <w:rFonts w:ascii="Times New Roman" w:hAnsi="Times New Roman" w:cs="Times New Roman"/>
          <w:b/>
          <w:bCs/>
          <w:sz w:val="32"/>
          <w:szCs w:val="32"/>
        </w:rPr>
      </w:pPr>
      <w:bookmarkStart w:id="68" w:name="_Toc21348"/>
      <w:r>
        <w:rPr>
          <w:rFonts w:hint="eastAsia" w:ascii="Times New Roman" w:hAnsi="Times New Roman" w:cs="Times New Roman"/>
          <w:b/>
          <w:bCs/>
          <w:sz w:val="32"/>
          <w:szCs w:val="32"/>
        </w:rPr>
        <w:t>1.提高认识，强化领导，全面推进绩效管理。</w:t>
      </w:r>
    </w:p>
    <w:p w14:paraId="22389FA9">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积极组织单位人员学习绩效管理，充分认识到绩效管理工作的重要意义，树立清晰的绩效管理理念，强化领导责任，把绩效管理工作放在重要地位，为绩效管理工作顺利实施打下坚实基础。</w:t>
      </w:r>
    </w:p>
    <w:p w14:paraId="7151DE66">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2、科学设置指标，注重细节，为全面推进绩效管理奠定基础。</w:t>
      </w:r>
    </w:p>
    <w:p w14:paraId="6CCDDE3F">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设置项目绩效指标首先根据上级下达的目标，合理设置本单位年度目标。各业务科室根据单位全年目标，结合本科室工作内容，在预算资金内，合理细化绩效目标，确保绩效目标的一致性、精准性。</w:t>
      </w:r>
    </w:p>
    <w:p w14:paraId="30D40602">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3、建立合理的绩效监测、考评制度，是绩效管理工作持续有效的开展。</w:t>
      </w:r>
    </w:p>
    <w:p w14:paraId="50F73C96">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绩效管理工作是动态长效的工作，根据单位实际情况，将绩效管理工作落实到人，及时进行季度监测，跟进监测结果，根据监测结果动态调整绩效目标，对绩效管理工作进行考评，确保绩效管理工作持续有效的开展。</w:t>
      </w:r>
    </w:p>
    <w:p w14:paraId="37DC39BC">
      <w:pPr>
        <w:pStyle w:val="3"/>
        <w:spacing w:before="0" w:after="0" w:line="560" w:lineRule="exact"/>
        <w:ind w:firstLine="643"/>
        <w:rPr>
          <w:rFonts w:ascii="Times New Roman" w:hAnsi="Times New Roman" w:eastAsia="楷体" w:cs="Times New Roman"/>
          <w:color w:val="000000"/>
          <w:kern w:val="0"/>
        </w:rPr>
      </w:pPr>
      <w:r>
        <w:rPr>
          <w:rFonts w:ascii="Times New Roman" w:hAnsi="Times New Roman" w:eastAsia="楷体" w:cs="Times New Roman"/>
          <w:color w:val="000000"/>
          <w:kern w:val="0"/>
        </w:rPr>
        <w:t>（二）存在的问题及原因分析</w:t>
      </w:r>
    </w:p>
    <w:p w14:paraId="169FA2B6">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1、单位对项目绩效的重视度较低，需加强对项目绩效的重视度。</w:t>
      </w:r>
    </w:p>
    <w:p w14:paraId="0531E98D">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加强项目管理，提高单位管理层及项目组对项目绩效的重视程度，造成此问题的主要原因为绩效工作开展时间较短，工作人员对项目绩效的认知较为模糊，今后加强培训，提高工作人员对项目绩效工作的认识及重视程度。</w:t>
      </w:r>
    </w:p>
    <w:bookmarkEnd w:id="68"/>
    <w:p w14:paraId="66D979FF">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69" w:name="_Toc67911620"/>
      <w:bookmarkStart w:id="70" w:name="_Toc13493"/>
      <w:bookmarkStart w:id="71" w:name="_Toc67911619"/>
      <w:r>
        <w:rPr>
          <w:rFonts w:ascii="Times New Roman" w:hAnsi="Times New Roman" w:eastAsia="黑体" w:cs="Times New Roman"/>
          <w:b w:val="0"/>
          <w:bCs w:val="0"/>
          <w:color w:val="000000"/>
          <w:spacing w:val="8"/>
          <w:kern w:val="0"/>
          <w:sz w:val="32"/>
          <w:szCs w:val="32"/>
        </w:rPr>
        <w:t>六、有关建议</w:t>
      </w:r>
      <w:bookmarkEnd w:id="69"/>
      <w:bookmarkEnd w:id="70"/>
    </w:p>
    <w:bookmarkEnd w:id="71"/>
    <w:p w14:paraId="2A14E8FB">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一）细化预算编制工作，认真做好预算的编制。进一步加强单位内部机构各科室的预算管理意识，严格按照预算编制的相关制度和要求进行预算编制，尽量压缩变动性的、有控制空间的费用项目，进一步提高预算编制的科学性、严谨性和可控性。</w:t>
      </w:r>
    </w:p>
    <w:p w14:paraId="0A3B0C50">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二）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16541F6C">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（三）加强领导对绩效工作的重视度，配备并培养专业人员从事绩效相关工作，领导起领头羊作用，督促并安排单位各项目人员积极认真参与到项目绩效管理工作，促进项目绩效管理工作有序高效的完成。</w:t>
      </w:r>
    </w:p>
    <w:p w14:paraId="34463B37">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72" w:name="_Toc17626"/>
      <w:r>
        <w:rPr>
          <w:rFonts w:ascii="Times New Roman" w:hAnsi="Times New Roman" w:eastAsia="黑体" w:cs="Times New Roman"/>
          <w:b w:val="0"/>
          <w:bCs w:val="0"/>
          <w:color w:val="000000"/>
          <w:spacing w:val="8"/>
          <w:kern w:val="0"/>
          <w:sz w:val="32"/>
          <w:szCs w:val="32"/>
        </w:rPr>
        <w:t>七、其他需要说明的问题</w:t>
      </w:r>
      <w:bookmarkEnd w:id="72"/>
    </w:p>
    <w:p w14:paraId="055A83AD">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14:paraId="7C7A3D64">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14:paraId="78921258">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14:paraId="16D6C543">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（四）未发现虚假行为和骗取财政资金的问题。</w:t>
      </w:r>
    </w:p>
    <w:p w14:paraId="485A6897">
      <w:pPr>
        <w:spacing w:line="560" w:lineRule="exact"/>
        <w:ind w:firstLine="640"/>
        <w:rPr>
          <w:rFonts w:ascii="Times New Roman" w:hAnsi="Times New Roman" w:cs="Times New Roman"/>
          <w:kern w:val="0"/>
          <w:sz w:val="32"/>
          <w:szCs w:val="32"/>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3E9E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24E79">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4176F">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171EF95E">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sdtContent>
  </w:sdt>
  <w:p w14:paraId="1A5159FA">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4A862543">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17505063">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1720C899">
      <w:pPr>
        <w:pStyle w:val="12"/>
        <w:ind w:firstLine="0" w:firstLineChars="0"/>
      </w:pPr>
      <w:r>
        <w:rPr>
          <w:rStyle w:val="20"/>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5FBC6381">
      <w:pPr>
        <w:pStyle w:val="12"/>
        <w:ind w:firstLine="0" w:firstLineChars="0"/>
      </w:pPr>
      <w:r>
        <w:rPr>
          <w:rStyle w:val="20"/>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73F61">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698C2">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78365">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9DB40">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A065C">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A43A0A"/>
    <w:rsid w:val="00031A7F"/>
    <w:rsid w:val="00042151"/>
    <w:rsid w:val="000438A0"/>
    <w:rsid w:val="0007002C"/>
    <w:rsid w:val="00071C0F"/>
    <w:rsid w:val="00086724"/>
    <w:rsid w:val="0009112C"/>
    <w:rsid w:val="0009747F"/>
    <w:rsid w:val="000A2B58"/>
    <w:rsid w:val="000A43E8"/>
    <w:rsid w:val="000B520E"/>
    <w:rsid w:val="000B5C7D"/>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D6C91"/>
    <w:rsid w:val="001E754D"/>
    <w:rsid w:val="001E7E9F"/>
    <w:rsid w:val="001F6AC4"/>
    <w:rsid w:val="00201C55"/>
    <w:rsid w:val="00212817"/>
    <w:rsid w:val="00213964"/>
    <w:rsid w:val="00220DC6"/>
    <w:rsid w:val="0022245F"/>
    <w:rsid w:val="0022294C"/>
    <w:rsid w:val="00225A82"/>
    <w:rsid w:val="002351CA"/>
    <w:rsid w:val="00247354"/>
    <w:rsid w:val="00250131"/>
    <w:rsid w:val="00261F2F"/>
    <w:rsid w:val="00262533"/>
    <w:rsid w:val="00262B75"/>
    <w:rsid w:val="002767C9"/>
    <w:rsid w:val="002810AA"/>
    <w:rsid w:val="002A3AE4"/>
    <w:rsid w:val="002A6E59"/>
    <w:rsid w:val="002B7C09"/>
    <w:rsid w:val="002E1E67"/>
    <w:rsid w:val="002E2767"/>
    <w:rsid w:val="002E608B"/>
    <w:rsid w:val="00302E15"/>
    <w:rsid w:val="0032183D"/>
    <w:rsid w:val="0032329D"/>
    <w:rsid w:val="003328FE"/>
    <w:rsid w:val="00332C71"/>
    <w:rsid w:val="00333EA5"/>
    <w:rsid w:val="00340CED"/>
    <w:rsid w:val="00343485"/>
    <w:rsid w:val="00350839"/>
    <w:rsid w:val="003766AB"/>
    <w:rsid w:val="00377BA7"/>
    <w:rsid w:val="00396AD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05036"/>
    <w:rsid w:val="00527878"/>
    <w:rsid w:val="00532308"/>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2E6"/>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84318"/>
    <w:rsid w:val="00790A2D"/>
    <w:rsid w:val="00794639"/>
    <w:rsid w:val="007A772C"/>
    <w:rsid w:val="007C3F63"/>
    <w:rsid w:val="007F185A"/>
    <w:rsid w:val="007F6051"/>
    <w:rsid w:val="007F6745"/>
    <w:rsid w:val="007F77F3"/>
    <w:rsid w:val="008123C5"/>
    <w:rsid w:val="00831695"/>
    <w:rsid w:val="008327EB"/>
    <w:rsid w:val="00835535"/>
    <w:rsid w:val="00845BE2"/>
    <w:rsid w:val="00853F99"/>
    <w:rsid w:val="00863F65"/>
    <w:rsid w:val="00866FB0"/>
    <w:rsid w:val="00884C5F"/>
    <w:rsid w:val="00894E2C"/>
    <w:rsid w:val="008A3394"/>
    <w:rsid w:val="008A476A"/>
    <w:rsid w:val="008C4803"/>
    <w:rsid w:val="008D3FFC"/>
    <w:rsid w:val="008D6D96"/>
    <w:rsid w:val="008E6E9B"/>
    <w:rsid w:val="009068E0"/>
    <w:rsid w:val="00907B15"/>
    <w:rsid w:val="00917C57"/>
    <w:rsid w:val="009214DF"/>
    <w:rsid w:val="00923604"/>
    <w:rsid w:val="009258BD"/>
    <w:rsid w:val="00933961"/>
    <w:rsid w:val="009546FE"/>
    <w:rsid w:val="0095473C"/>
    <w:rsid w:val="00954936"/>
    <w:rsid w:val="00963948"/>
    <w:rsid w:val="00981879"/>
    <w:rsid w:val="00983BCC"/>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6471"/>
    <w:rsid w:val="00AB7184"/>
    <w:rsid w:val="00AD5430"/>
    <w:rsid w:val="00AE1DCD"/>
    <w:rsid w:val="00AE6C31"/>
    <w:rsid w:val="00AF6308"/>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D1452"/>
    <w:rsid w:val="00CE6337"/>
    <w:rsid w:val="00CE7A4C"/>
    <w:rsid w:val="00CF640C"/>
    <w:rsid w:val="00D04E2D"/>
    <w:rsid w:val="00D152B1"/>
    <w:rsid w:val="00D2172F"/>
    <w:rsid w:val="00D23DCB"/>
    <w:rsid w:val="00D3320C"/>
    <w:rsid w:val="00D34E4F"/>
    <w:rsid w:val="00D435A3"/>
    <w:rsid w:val="00D4562E"/>
    <w:rsid w:val="00D84293"/>
    <w:rsid w:val="00D9228E"/>
    <w:rsid w:val="00DA1CA2"/>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D37"/>
    <w:rsid w:val="00EA7E72"/>
    <w:rsid w:val="00EB0442"/>
    <w:rsid w:val="00EC5F03"/>
    <w:rsid w:val="00EE20A2"/>
    <w:rsid w:val="00EF3B51"/>
    <w:rsid w:val="00F06D23"/>
    <w:rsid w:val="00F1342A"/>
    <w:rsid w:val="00F36E98"/>
    <w:rsid w:val="00F52C6D"/>
    <w:rsid w:val="00F55451"/>
    <w:rsid w:val="00F63D74"/>
    <w:rsid w:val="00F73710"/>
    <w:rsid w:val="00F872E7"/>
    <w:rsid w:val="00FA4373"/>
    <w:rsid w:val="00FB09C6"/>
    <w:rsid w:val="00FB2BBD"/>
    <w:rsid w:val="00FD7A36"/>
    <w:rsid w:val="00FD7C5F"/>
    <w:rsid w:val="00FE193C"/>
    <w:rsid w:val="00FE7DCA"/>
    <w:rsid w:val="00FF0452"/>
    <w:rsid w:val="014D29E7"/>
    <w:rsid w:val="0245434E"/>
    <w:rsid w:val="06E33873"/>
    <w:rsid w:val="099E4753"/>
    <w:rsid w:val="0C3E44F2"/>
    <w:rsid w:val="0C8E404B"/>
    <w:rsid w:val="123B3FA2"/>
    <w:rsid w:val="1BEA0A4D"/>
    <w:rsid w:val="1C0F6300"/>
    <w:rsid w:val="1D8E39D3"/>
    <w:rsid w:val="1DEB0305"/>
    <w:rsid w:val="1E19186F"/>
    <w:rsid w:val="208C1E42"/>
    <w:rsid w:val="240D2378"/>
    <w:rsid w:val="2B336405"/>
    <w:rsid w:val="2C0145CF"/>
    <w:rsid w:val="2DEC5B4F"/>
    <w:rsid w:val="2E157630"/>
    <w:rsid w:val="315707F7"/>
    <w:rsid w:val="35F03669"/>
    <w:rsid w:val="3BB7618D"/>
    <w:rsid w:val="3E79672F"/>
    <w:rsid w:val="3F3500CE"/>
    <w:rsid w:val="4EFC5684"/>
    <w:rsid w:val="58BB6476"/>
    <w:rsid w:val="5A0963E4"/>
    <w:rsid w:val="5F1479A7"/>
    <w:rsid w:val="61AF2AB6"/>
    <w:rsid w:val="644B215C"/>
    <w:rsid w:val="65BB4B67"/>
    <w:rsid w:val="675C21DB"/>
    <w:rsid w:val="6E8667D4"/>
    <w:rsid w:val="724732FB"/>
    <w:rsid w:val="72607BA7"/>
    <w:rsid w:val="732953B5"/>
    <w:rsid w:val="7A1F1D83"/>
    <w:rsid w:val="7BD054CC"/>
    <w:rsid w:val="7E781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10795-8EFB-4F12-A62B-16CCD9BF6B94}">
  <ds:schemaRefs/>
</ds:datastoreItem>
</file>

<file path=docProps/app.xml><?xml version="1.0" encoding="utf-8"?>
<Properties xmlns="http://schemas.openxmlformats.org/officeDocument/2006/extended-properties" xmlns:vt="http://schemas.openxmlformats.org/officeDocument/2006/docPropsVTypes">
  <Template>Normal</Template>
  <Pages>26</Pages>
  <Words>7223</Words>
  <Characters>7535</Characters>
  <Lines>96</Lines>
  <Paragraphs>27</Paragraphs>
  <TotalTime>74</TotalTime>
  <ScaleCrop>false</ScaleCrop>
  <LinksUpToDate>false</LinksUpToDate>
  <CharactersWithSpaces>7696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2024-05-07T04:46:00Z</dcterms:created>
  <dc:creator>张 宇</dc:creator>
  <cp:lastModifiedBy>U</cp:lastModifiedBy>
  <cp:lastPrinted>2024-05-31T04:56:00Z</cp:lastPrinted>
  <dcterms:modified xsi:type="dcterms:W3CDTF">2024-11-16T07:32:32Z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FB94C726BC4B42189B58D99CAFCF1D3C_13</vt:lpwstr>
  </property>
</Properties>
</file>