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left"/>
        <w:rPr>
          <w:rFonts w:ascii="Times New Roman" w:hAnsi="Times New Roman" w:eastAsia="黑体" w:cs="Times New Roman"/>
          <w:kern w:val="0"/>
          <w:sz w:val="32"/>
          <w:szCs w:val="32"/>
          <w:lang w:bidi="en-US"/>
        </w:rPr>
      </w:pPr>
    </w:p>
    <w:p>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bidi="en-US"/>
        </w:rPr>
        <w:t>消化2022年暂付款项</w:t>
      </w:r>
    </w:p>
    <w:p>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bidi="en-US"/>
        </w:rPr>
        <w:t>乌鲁木齐市水磨沟区总工会</w:t>
      </w:r>
    </w:p>
    <w:p>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bidi="en-US"/>
        </w:rPr>
        <w:t>乌鲁木齐市水磨沟区总工会</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2023年04月</w:t>
      </w:r>
    </w:p>
    <w:sdt>
      <w:sdtPr>
        <w:rPr>
          <w:rFonts w:ascii="Times New Roman" w:hAnsi="Times New Roman" w:cs="Times New Roman"/>
          <w:lang w:val="zh-CN"/>
        </w:rPr>
        <w:id w:val="-1822651860"/>
      </w:sdtPr>
      <w:sdtEndPr>
        <w:rPr>
          <w:rFonts w:ascii="Times New Roman" w:hAnsi="Times New Roman" w:cs="Times New Roman"/>
          <w:b/>
          <w:bCs/>
          <w:lang w:val="zh-CN"/>
        </w:rPr>
      </w:sdtEndPr>
      <w:sdtContent>
        <w:p>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pPr>
            <w:pStyle w:val="13"/>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ascii="仿宋_GB2312" w:hAnsi="仿宋_GB2312" w:cs="仿宋_GB2312"/>
              <w:sz w:val="32"/>
              <w:szCs w:val="32"/>
            </w:rPr>
            <w:t>12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ascii="仿宋_GB2312" w:hAnsi="仿宋_GB2312" w:cs="仿宋_GB2312"/>
              <w:sz w:val="32"/>
              <w:szCs w:val="32"/>
            </w:rPr>
            <w:t>12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ascii="仿宋_GB2312" w:hAnsi="仿宋_GB2312" w:cs="仿宋_GB2312"/>
              <w:sz w:val="32"/>
              <w:szCs w:val="32"/>
            </w:rPr>
            <w:t>1</w:t>
          </w:r>
          <w:r>
            <w:rPr>
              <w:rFonts w:hint="eastAsia" w:ascii="仿宋_GB2312" w:hAnsi="仿宋_GB2312" w:cs="仿宋_GB2312"/>
              <w:sz w:val="32"/>
              <w:szCs w:val="32"/>
              <w:lang w:val="en-US" w:eastAsia="zh-CN"/>
            </w:rPr>
            <w:t>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0</w:t>
          </w:r>
        </w:p>
        <w:p>
          <w:pPr>
            <w:pStyle w:val="15"/>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0</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0</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1</w:t>
          </w:r>
        </w:p>
        <w:p>
          <w:pPr>
            <w:pStyle w:val="15"/>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2</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2</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2</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2</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2</w:t>
          </w:r>
        </w:p>
        <w:p>
          <w:pPr>
            <w:pStyle w:val="15"/>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3</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3</w:t>
          </w:r>
        </w:p>
        <w:p>
          <w:pPr>
            <w:pStyle w:val="8"/>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3</w:t>
          </w:r>
        </w:p>
        <w:p>
          <w:pPr>
            <w:pStyle w:val="13"/>
            <w:tabs>
              <w:tab w:val="right" w:leader="dot" w:pos="8306"/>
            </w:tabs>
            <w:spacing w:line="560" w:lineRule="exact"/>
            <w:ind w:firstLine="560"/>
            <w:rPr>
              <w:rFonts w:hint="eastAsia" w:ascii="仿宋_GB2312" w:hAnsi="仿宋_GB2312" w:eastAsia="仿宋_GB2312" w:cs="仿宋_GB2312"/>
              <w:sz w:val="32"/>
              <w:szCs w:val="32"/>
              <w:lang w:val="en-US" w:eastAsia="zh-CN"/>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4</w:t>
          </w:r>
        </w:p>
        <w:p>
          <w:pPr>
            <w:pStyle w:val="15"/>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4</w:t>
          </w:r>
        </w:p>
        <w:p>
          <w:pPr>
            <w:pStyle w:val="15"/>
            <w:tabs>
              <w:tab w:val="right" w:leader="dot" w:pos="8306"/>
            </w:tabs>
            <w:spacing w:line="560" w:lineRule="exact"/>
            <w:ind w:left="0" w:leftChars="0" w:firstLine="560"/>
            <w:rPr>
              <w:rFonts w:hint="eastAsia" w:ascii="仿宋_GB2312" w:hAnsi="仿宋_GB2312" w:eastAsia="仿宋_GB2312" w:cs="仿宋_GB2312"/>
              <w:sz w:val="32"/>
              <w:szCs w:val="32"/>
              <w:lang w:val="en-US" w:eastAsia="zh-CN"/>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4</w:t>
          </w:r>
        </w:p>
        <w:p>
          <w:pPr>
            <w:pStyle w:val="13"/>
            <w:tabs>
              <w:tab w:val="right" w:leader="dot" w:pos="8306"/>
            </w:tabs>
            <w:spacing w:line="560" w:lineRule="exact"/>
            <w:ind w:firstLine="560"/>
            <w:rPr>
              <w:rFonts w:hint="eastAsia" w:ascii="仿宋_GB2312" w:hAnsi="仿宋_GB2312" w:eastAsia="仿宋_GB2312" w:cs="仿宋_GB2312"/>
              <w:sz w:val="32"/>
              <w:szCs w:val="32"/>
              <w:lang w:val="en-US" w:eastAsia="zh-CN"/>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lang w:val="en-US" w:eastAsia="zh-CN"/>
            </w:rPr>
            <w:t>2</w:t>
          </w:r>
          <w:r>
            <w:rPr>
              <w:rFonts w:hint="eastAsia" w:ascii="仿宋_GB2312" w:hAnsi="仿宋_GB2312" w:cs="仿宋_GB2312"/>
              <w:sz w:val="32"/>
              <w:szCs w:val="32"/>
            </w:rPr>
            <w:fldChar w:fldCharType="end"/>
          </w:r>
          <w:r>
            <w:rPr>
              <w:rFonts w:hint="eastAsia" w:ascii="仿宋_GB2312" w:hAnsi="仿宋_GB2312" w:cs="仿宋_GB2312"/>
              <w:sz w:val="32"/>
              <w:szCs w:val="32"/>
              <w:lang w:val="en-US" w:eastAsia="zh-CN"/>
            </w:rPr>
            <w:t>5</w:t>
          </w:r>
        </w:p>
        <w:p>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ascii="仿宋_GB2312" w:hAnsi="仿宋_GB2312" w:cs="仿宋_GB2312"/>
              <w:sz w:val="32"/>
              <w:szCs w:val="32"/>
            </w:rPr>
            <w:t>2</w:t>
          </w:r>
          <w:r>
            <w:rPr>
              <w:rFonts w:hint="eastAsia" w:ascii="仿宋_GB2312" w:hAnsi="仿宋_GB2312" w:cs="仿宋_GB2312"/>
              <w:sz w:val="32"/>
              <w:szCs w:val="32"/>
              <w:lang w:val="en-US" w:eastAsia="zh-CN"/>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pPr>
        <w:ind w:firstLine="598" w:firstLineChars="187"/>
        <w:rPr>
          <w:rFonts w:ascii="Times New Roman" w:hAnsi="Times New Roman" w:cs="Times New Roman"/>
          <w:sz w:val="32"/>
          <w:szCs w:val="32"/>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3"/>
        <w:spacing w:before="0" w:after="0" w:line="560" w:lineRule="exact"/>
        <w:ind w:firstLine="640"/>
        <w:jc w:val="left"/>
        <w:rPr>
          <w:rFonts w:ascii="Times New Roman" w:hAnsi="Times New Roman" w:eastAsia="黑体" w:cs="Times New Roman"/>
          <w:b w:val="0"/>
          <w:bCs w:val="0"/>
          <w:kern w:val="2"/>
          <w:sz w:val="32"/>
          <w:szCs w:val="32"/>
        </w:rPr>
      </w:pPr>
      <w:bookmarkStart w:id="0" w:name="_Toc8841"/>
      <w:bookmarkStart w:id="1" w:name="_Toc67911601"/>
      <w:r>
        <w:rPr>
          <w:rFonts w:ascii="Times New Roman" w:hAnsi="Times New Roman" w:eastAsia="黑体" w:cs="Times New Roman"/>
          <w:b w:val="0"/>
          <w:bCs w:val="0"/>
          <w:kern w:val="2"/>
          <w:sz w:val="32"/>
          <w:szCs w:val="32"/>
        </w:rPr>
        <w:t>一、基本情况</w:t>
      </w:r>
      <w:bookmarkEnd w:id="0"/>
      <w:bookmarkEnd w:id="1"/>
    </w:p>
    <w:p>
      <w:pPr>
        <w:pStyle w:val="4"/>
        <w:spacing w:before="0" w:after="0" w:line="560" w:lineRule="exact"/>
        <w:ind w:firstLine="643"/>
        <w:rPr>
          <w:rFonts w:ascii="Times New Roman" w:hAnsi="Times New Roman" w:eastAsia="楷体" w:cs="Times New Roman"/>
          <w:bCs w:val="0"/>
        </w:rPr>
      </w:pPr>
      <w:bookmarkStart w:id="2" w:name="_Toc22935"/>
      <w:bookmarkStart w:id="3" w:name="_Toc67911602"/>
      <w:r>
        <w:rPr>
          <w:rFonts w:ascii="Times New Roman" w:hAnsi="Times New Roman" w:eastAsia="楷体" w:cs="Times New Roman"/>
          <w:bCs w:val="0"/>
        </w:rPr>
        <w:t>（一）项目概况</w:t>
      </w:r>
      <w:bookmarkEnd w:id="2"/>
      <w:bookmarkEnd w:id="3"/>
    </w:p>
    <w:p>
      <w:pPr>
        <w:pStyle w:val="5"/>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该项目实施背景：</w:t>
      </w:r>
    </w:p>
    <w:p>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财政暂付款是政府部门根据法定权限，满足短期资金需求,向财政部门提出申请，依法授权后由财政部门暂时垫付的款项。按照2023年项目绩效评价要求，选取资金支出占比超过20%项目，按全口径部门支出决算金额计算，消化2022年暂付款项目资金占支出%，因此选择该项目做绩效评价。该项目包含3个子项目，均于2022年完成，资金支付做往来账处理，2023年按区财政局《关于消化2022年新增暂付性款项的通知》要求，将该款项做账务处理列入当年收支，项目明细如下：</w:t>
      </w:r>
    </w:p>
    <w:tbl>
      <w:tblPr>
        <w:tblStyle w:val="22"/>
        <w:tblW w:w="80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874"/>
        <w:gridCol w:w="2589"/>
        <w:gridCol w:w="1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spacing w:line="560" w:lineRule="exact"/>
              <w:ind w:firstLine="0" w:firstLineChars="0"/>
              <w:rPr>
                <w:rFonts w:ascii="Times New Roman" w:hAnsi="Times New Roman" w:cs="Times New Roman"/>
                <w:spacing w:val="8"/>
                <w:sz w:val="18"/>
                <w:szCs w:val="18"/>
              </w:rPr>
            </w:pPr>
            <w:r>
              <w:rPr>
                <w:rFonts w:hint="eastAsia" w:ascii="Times New Roman" w:hAnsi="Times New Roman" w:cs="Times New Roman"/>
                <w:spacing w:val="8"/>
                <w:sz w:val="18"/>
                <w:szCs w:val="18"/>
              </w:rPr>
              <w:t>序号</w:t>
            </w:r>
          </w:p>
        </w:tc>
        <w:tc>
          <w:tcPr>
            <w:tcW w:w="2874" w:type="dxa"/>
          </w:tcPr>
          <w:p>
            <w:pPr>
              <w:spacing w:line="560" w:lineRule="exact"/>
              <w:ind w:firstLine="0" w:firstLineChars="0"/>
              <w:rPr>
                <w:rFonts w:ascii="Times New Roman" w:hAnsi="Times New Roman" w:cs="Times New Roman"/>
                <w:spacing w:val="8"/>
                <w:sz w:val="18"/>
                <w:szCs w:val="18"/>
              </w:rPr>
            </w:pPr>
            <w:r>
              <w:rPr>
                <w:rFonts w:hint="eastAsia" w:ascii="Times New Roman" w:hAnsi="Times New Roman" w:cs="Times New Roman"/>
                <w:spacing w:val="8"/>
                <w:sz w:val="18"/>
                <w:szCs w:val="18"/>
              </w:rPr>
              <w:t>项目编码</w:t>
            </w:r>
          </w:p>
        </w:tc>
        <w:tc>
          <w:tcPr>
            <w:tcW w:w="2589"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项目名称</w:t>
            </w:r>
          </w:p>
        </w:tc>
        <w:tc>
          <w:tcPr>
            <w:tcW w:w="1756"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vMerge w:val="restart"/>
            <w:vAlign w:val="center"/>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1</w:t>
            </w:r>
          </w:p>
        </w:tc>
        <w:tc>
          <w:tcPr>
            <w:tcW w:w="2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65010522d40495508E17E</w:t>
            </w:r>
          </w:p>
        </w:tc>
        <w:tc>
          <w:tcPr>
            <w:tcW w:w="2589"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2022年临聘人员经费</w:t>
            </w:r>
          </w:p>
        </w:tc>
        <w:tc>
          <w:tcPr>
            <w:tcW w:w="1756"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134400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874" w:type="dxa"/>
            <w:vMerge w:val="continue"/>
          </w:tcPr>
          <w:p>
            <w:pPr>
              <w:spacing w:line="560" w:lineRule="exact"/>
              <w:ind w:firstLine="392"/>
              <w:rPr>
                <w:rFonts w:ascii="Times New Roman" w:hAnsi="Times New Roman" w:cs="Times New Roman"/>
                <w:spacing w:val="8"/>
                <w:sz w:val="18"/>
                <w:szCs w:val="18"/>
              </w:rPr>
            </w:pPr>
          </w:p>
        </w:tc>
        <w:tc>
          <w:tcPr>
            <w:tcW w:w="2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65010522X000070000095</w:t>
            </w:r>
          </w:p>
        </w:tc>
        <w:tc>
          <w:tcPr>
            <w:tcW w:w="2589"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2022年临聘人员经费</w:t>
            </w:r>
          </w:p>
        </w:tc>
        <w:tc>
          <w:tcPr>
            <w:tcW w:w="1756"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13800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2</w:t>
            </w:r>
          </w:p>
        </w:tc>
        <w:tc>
          <w:tcPr>
            <w:tcW w:w="2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65010522X000070000021</w:t>
            </w:r>
          </w:p>
        </w:tc>
        <w:tc>
          <w:tcPr>
            <w:tcW w:w="2589"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工会经费</w:t>
            </w:r>
          </w:p>
        </w:tc>
        <w:tc>
          <w:tcPr>
            <w:tcW w:w="1756"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5819100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3</w:t>
            </w:r>
          </w:p>
        </w:tc>
        <w:tc>
          <w:tcPr>
            <w:tcW w:w="2874"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65010522S000004000001</w:t>
            </w:r>
          </w:p>
        </w:tc>
        <w:tc>
          <w:tcPr>
            <w:tcW w:w="2589"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人员类项目</w:t>
            </w:r>
          </w:p>
        </w:tc>
        <w:tc>
          <w:tcPr>
            <w:tcW w:w="1756" w:type="dxa"/>
          </w:tcPr>
          <w:p>
            <w:pPr>
              <w:spacing w:line="560" w:lineRule="exact"/>
              <w:ind w:firstLine="392"/>
              <w:rPr>
                <w:rFonts w:ascii="Times New Roman" w:hAnsi="Times New Roman" w:cs="Times New Roman"/>
                <w:spacing w:val="8"/>
                <w:sz w:val="18"/>
                <w:szCs w:val="18"/>
              </w:rPr>
            </w:pPr>
            <w:r>
              <w:rPr>
                <w:rFonts w:hint="eastAsia" w:ascii="Times New Roman" w:hAnsi="Times New Roman" w:cs="Times New Roman"/>
                <w:spacing w:val="8"/>
                <w:sz w:val="18"/>
                <w:szCs w:val="18"/>
              </w:rPr>
              <w:t>53000</w:t>
            </w:r>
          </w:p>
        </w:tc>
      </w:tr>
    </w:tbl>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项目2023年的主要实施内容：①</w:t>
      </w:r>
      <w:r>
        <w:rPr>
          <w:rFonts w:hint="eastAsia" w:ascii="Times New Roman" w:hAnsi="Times New Roman" w:cs="Times New Roman"/>
          <w:spacing w:val="8"/>
          <w:sz w:val="32"/>
          <w:szCs w:val="32"/>
        </w:rPr>
        <w:t>保障雇员和临聘人员工资足额及时发放</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通过上级部门工作安排，开展各项活动，保质保量的完成经费工作；</w:t>
      </w:r>
      <w:r>
        <w:rPr>
          <w:rFonts w:hint="eastAsia" w:ascii="宋体" w:hAnsi="宋体" w:eastAsia="宋体" w:cs="宋体"/>
          <w:spacing w:val="8"/>
          <w:sz w:val="32"/>
          <w:szCs w:val="32"/>
        </w:rPr>
        <w:t>③</w:t>
      </w:r>
      <w:r>
        <w:rPr>
          <w:rFonts w:hint="eastAsia" w:ascii="Times New Roman" w:hAnsi="Times New Roman" w:cs="Times New Roman"/>
          <w:spacing w:val="8"/>
          <w:sz w:val="32"/>
          <w:szCs w:val="32"/>
        </w:rPr>
        <w:t>保障行政运行其他工资福利（社保）支出及时。</w:t>
      </w:r>
    </w:p>
    <w:p>
      <w:pPr>
        <w:spacing w:line="560" w:lineRule="exact"/>
        <w:ind w:firstLine="1008" w:firstLineChars="300"/>
        <w:rPr>
          <w:rFonts w:ascii="Times New Roman" w:hAnsi="Times New Roman" w:cs="Times New Roman"/>
          <w:spacing w:val="8"/>
          <w:sz w:val="32"/>
          <w:szCs w:val="32"/>
        </w:rPr>
      </w:pPr>
      <w:r>
        <w:rPr>
          <w:rFonts w:hint="eastAsia" w:ascii="Times New Roman" w:hAnsi="Times New Roman" w:cs="Times New Roman"/>
          <w:spacing w:val="8"/>
          <w:sz w:val="32"/>
          <w:szCs w:val="32"/>
        </w:rPr>
        <w:t>项目实际完成情况：</w:t>
      </w:r>
      <w:r>
        <w:rPr>
          <w:rFonts w:ascii="Times New Roman" w:hAnsi="Times New Roman" w:cs="Times New Roman"/>
          <w:spacing w:val="8"/>
          <w:sz w:val="32"/>
          <w:szCs w:val="32"/>
        </w:rPr>
        <w:t>①</w:t>
      </w:r>
      <w:r>
        <w:rPr>
          <w:rFonts w:hint="eastAsia" w:ascii="Times New Roman" w:hAnsi="Times New Roman" w:cs="Times New Roman"/>
          <w:spacing w:val="8"/>
          <w:sz w:val="32"/>
          <w:szCs w:val="32"/>
        </w:rPr>
        <w:t>及时准确保障雇员和临聘人员工资足额及时发放</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通过上级部门工作安排，开展职工活动</w:t>
      </w:r>
      <w:r>
        <w:rPr>
          <w:rFonts w:hint="eastAsia" w:ascii="宋体" w:hAnsi="宋体" w:eastAsia="宋体" w:cs="宋体"/>
          <w:spacing w:val="8"/>
          <w:sz w:val="32"/>
          <w:szCs w:val="32"/>
        </w:rPr>
        <w:t>、</w:t>
      </w:r>
      <w:r>
        <w:rPr>
          <w:rFonts w:hint="eastAsia" w:ascii="Times New Roman" w:hAnsi="Times New Roman" w:cs="Times New Roman"/>
          <w:spacing w:val="8"/>
          <w:sz w:val="32"/>
          <w:szCs w:val="32"/>
        </w:rPr>
        <w:t>文体活动</w:t>
      </w:r>
      <w:r>
        <w:rPr>
          <w:rFonts w:hint="eastAsia" w:ascii="宋体" w:hAnsi="宋体" w:eastAsia="宋体" w:cs="宋体"/>
          <w:spacing w:val="8"/>
          <w:sz w:val="32"/>
          <w:szCs w:val="32"/>
        </w:rPr>
        <w:t>、</w:t>
      </w:r>
      <w:r>
        <w:rPr>
          <w:rFonts w:hint="eastAsia" w:ascii="Times New Roman" w:hAnsi="Times New Roman" w:cs="Times New Roman"/>
          <w:spacing w:val="8"/>
          <w:sz w:val="32"/>
          <w:szCs w:val="32"/>
        </w:rPr>
        <w:t>职工集体福利活动、职工教育支出、宣传活动支出、职工疗休养补贴、维权支出、困难职工帮扶费用、助学支出、东送温暖、夏送清凉、培训费、会议费、专项业务费等，保质保量的完成经费工作；</w:t>
      </w:r>
      <w:r>
        <w:rPr>
          <w:rFonts w:hint="eastAsia" w:ascii="宋体" w:hAnsi="宋体" w:eastAsia="宋体" w:cs="宋体"/>
          <w:spacing w:val="8"/>
          <w:sz w:val="32"/>
          <w:szCs w:val="32"/>
        </w:rPr>
        <w:t>③</w:t>
      </w:r>
      <w:r>
        <w:rPr>
          <w:rFonts w:hint="eastAsia" w:ascii="Times New Roman" w:hAnsi="Times New Roman" w:cs="Times New Roman"/>
          <w:spacing w:val="8"/>
          <w:sz w:val="32"/>
          <w:szCs w:val="32"/>
        </w:rPr>
        <w:t>保障行政运行其他工资福利（社保）支出及时。</w:t>
      </w:r>
    </w:p>
    <w:p>
      <w:pPr>
        <w:spacing w:line="560" w:lineRule="exact"/>
        <w:ind w:firstLine="0" w:firstLineChars="0"/>
        <w:rPr>
          <w:rFonts w:ascii="Times New Roman" w:hAnsi="Times New Roman" w:cs="Times New Roman"/>
        </w:rPr>
      </w:pPr>
      <w:bookmarkStart w:id="5" w:name="_Toc32047"/>
      <w:r>
        <w:rPr>
          <w:rFonts w:ascii="Times New Roman" w:hAnsi="Times New Roman" w:cs="Times New Roman"/>
        </w:rPr>
        <w:t>2. 资金投入和使用情况</w:t>
      </w:r>
      <w:bookmarkEnd w:id="5"/>
    </w:p>
    <w:p>
      <w:pPr>
        <w:spacing w:line="560" w:lineRule="exact"/>
        <w:ind w:firstLine="672"/>
        <w:rPr>
          <w:rFonts w:hint="default" w:ascii="Times New Roman" w:hAnsi="Times New Roman" w:eastAsia="仿宋_GB2312" w:cs="Times New Roman"/>
          <w:spacing w:val="8"/>
          <w:sz w:val="32"/>
          <w:szCs w:val="32"/>
          <w:lang w:val="en-US" w:eastAsia="zh-CN"/>
        </w:rPr>
      </w:pPr>
      <w:r>
        <w:rPr>
          <w:rFonts w:ascii="Times New Roman" w:hAnsi="Times New Roman" w:cs="Times New Roman"/>
          <w:spacing w:val="8"/>
          <w:sz w:val="32"/>
          <w:szCs w:val="32"/>
        </w:rPr>
        <w:t>该项目资金投入情况：</w:t>
      </w:r>
      <w:r>
        <w:rPr>
          <w:rFonts w:ascii="Times New Roman" w:hAnsi="Times New Roman" w:cs="Times New Roman"/>
          <w:spacing w:val="8"/>
          <w:sz w:val="32"/>
          <w:szCs w:val="32"/>
          <w:highlight w:val="none"/>
        </w:rPr>
        <w:t>经</w:t>
      </w:r>
      <w:r>
        <w:rPr>
          <w:rFonts w:hint="eastAsia" w:ascii="Times New Roman" w:hAnsi="Times New Roman" w:cs="Times New Roman"/>
          <w:spacing w:val="8"/>
          <w:sz w:val="32"/>
          <w:szCs w:val="32"/>
          <w:highlight w:val="none"/>
          <w:lang w:val="en-US" w:eastAsia="zh-CN"/>
        </w:rPr>
        <w:t>2023年2月9日关于消化2022年新增暂付性款项得的通知，本</w:t>
      </w:r>
      <w:r>
        <w:rPr>
          <w:rFonts w:ascii="Times New Roman" w:hAnsi="Times New Roman" w:cs="Times New Roman"/>
          <w:spacing w:val="8"/>
          <w:sz w:val="32"/>
          <w:szCs w:val="32"/>
          <w:highlight w:val="none"/>
        </w:rPr>
        <w:t>项目</w:t>
      </w:r>
      <w:r>
        <w:rPr>
          <w:rFonts w:ascii="Times New Roman" w:hAnsi="Times New Roman" w:cs="Times New Roman"/>
          <w:spacing w:val="8"/>
          <w:sz w:val="32"/>
          <w:szCs w:val="32"/>
        </w:rPr>
        <w:t>系2023年本级资金，共安排预算</w:t>
      </w:r>
      <w:r>
        <w:rPr>
          <w:rFonts w:hint="eastAsia" w:ascii="Times New Roman" w:hAnsi="Times New Roman" w:cs="Times New Roman"/>
          <w:spacing w:val="8"/>
          <w:sz w:val="32"/>
          <w:szCs w:val="32"/>
          <w:highlight w:val="none"/>
          <w:lang w:val="en-US" w:eastAsia="zh-CN"/>
        </w:rPr>
        <w:t>600.65</w:t>
      </w:r>
      <w:r>
        <w:rPr>
          <w:rFonts w:ascii="Times New Roman" w:hAnsi="Times New Roman" w:cs="Times New Roman"/>
          <w:spacing w:val="8"/>
          <w:sz w:val="32"/>
          <w:szCs w:val="32"/>
          <w:highlight w:val="none"/>
        </w:rPr>
        <w:t>万元，于2023年年初部分预算批复项目，年中</w:t>
      </w:r>
      <w:r>
        <w:rPr>
          <w:rFonts w:hint="eastAsia" w:ascii="Times New Roman" w:hAnsi="Times New Roman" w:cs="Times New Roman"/>
          <w:spacing w:val="8"/>
          <w:sz w:val="32"/>
          <w:szCs w:val="32"/>
          <w:highlight w:val="none"/>
        </w:rPr>
        <w:t>追加</w:t>
      </w:r>
      <w:r>
        <w:rPr>
          <w:rFonts w:ascii="Times New Roman" w:hAnsi="Times New Roman" w:cs="Times New Roman"/>
          <w:spacing w:val="8"/>
          <w:sz w:val="32"/>
          <w:szCs w:val="32"/>
          <w:highlight w:val="none"/>
        </w:rPr>
        <w:t>资金</w:t>
      </w:r>
      <w:r>
        <w:rPr>
          <w:rFonts w:hint="eastAsia" w:ascii="Times New Roman" w:hAnsi="Times New Roman" w:cs="Times New Roman"/>
          <w:spacing w:val="8"/>
          <w:sz w:val="32"/>
          <w:szCs w:val="32"/>
          <w:highlight w:val="none"/>
          <w:lang w:val="en-US" w:eastAsia="zh-CN"/>
        </w:rPr>
        <w:t>1.38</w:t>
      </w:r>
      <w:r>
        <w:rPr>
          <w:rFonts w:hint="eastAsia" w:ascii="Times New Roman" w:hAnsi="Times New Roman" w:cs="Times New Roman"/>
          <w:spacing w:val="8"/>
          <w:sz w:val="32"/>
          <w:szCs w:val="32"/>
          <w:highlight w:val="none"/>
        </w:rPr>
        <w:t>万</w:t>
      </w:r>
      <w:r>
        <w:rPr>
          <w:rFonts w:hint="eastAsia" w:ascii="Times New Roman" w:hAnsi="Times New Roman" w:cs="Times New Roman"/>
          <w:spacing w:val="8"/>
          <w:sz w:val="32"/>
          <w:szCs w:val="32"/>
        </w:rPr>
        <w:t>元。</w:t>
      </w:r>
      <w:r>
        <w:rPr>
          <w:rFonts w:hint="eastAsia" w:ascii="Times New Roman" w:hAnsi="Times New Roman" w:cs="Times New Roman"/>
          <w:spacing w:val="8"/>
          <w:sz w:val="32"/>
          <w:szCs w:val="32"/>
          <w:lang w:val="en-US" w:eastAsia="zh-CN"/>
        </w:rPr>
        <w:t>项目资金共：602.03万元。</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该项目资金使用情况：</w:t>
      </w:r>
      <w:r>
        <w:rPr>
          <w:rFonts w:hint="eastAsia" w:ascii="Times New Roman" w:hAnsi="Times New Roman" w:cs="Times New Roman"/>
          <w:spacing w:val="8"/>
          <w:sz w:val="32"/>
          <w:szCs w:val="32"/>
        </w:rPr>
        <w:t>项目总预算安排602.03万元，执行602.03万元，预算执行率100%，其中：2022年临聘人员经费14.82万元，执行14.82万元，预算执行率100%</w:t>
      </w:r>
      <w:r>
        <w:rPr>
          <w:rFonts w:hint="eastAsia" w:ascii="宋体" w:hAnsi="宋体" w:eastAsia="宋体" w:cs="宋体"/>
          <w:spacing w:val="8"/>
          <w:sz w:val="32"/>
          <w:szCs w:val="32"/>
        </w:rPr>
        <w:t>、</w:t>
      </w:r>
      <w:r>
        <w:rPr>
          <w:rFonts w:hint="eastAsia" w:ascii="Times New Roman" w:hAnsi="Times New Roman" w:cs="Times New Roman"/>
          <w:spacing w:val="8"/>
          <w:sz w:val="32"/>
          <w:szCs w:val="32"/>
        </w:rPr>
        <w:t>工会经费581.91万元，执行581.91万元，预算执行率100%，保障行政运行其他工资福利（社保）5.3万元，执行5.3万元，执行率100%。</w:t>
      </w:r>
    </w:p>
    <w:p>
      <w:pPr>
        <w:pStyle w:val="4"/>
        <w:spacing w:before="0" w:after="0" w:line="560" w:lineRule="exact"/>
        <w:ind w:firstLine="643"/>
        <w:rPr>
          <w:rFonts w:ascii="Times New Roman" w:hAnsi="Times New Roman" w:eastAsia="楷体" w:cs="Times New Roman"/>
          <w:bCs w:val="0"/>
        </w:rPr>
      </w:pPr>
      <w:bookmarkStart w:id="6" w:name="_Toc67911603"/>
      <w:bookmarkStart w:id="7" w:name="_Toc22403"/>
      <w:r>
        <w:rPr>
          <w:rFonts w:ascii="Times New Roman" w:hAnsi="Times New Roman" w:eastAsia="楷体" w:cs="Times New Roman"/>
          <w:bCs w:val="0"/>
        </w:rPr>
        <w:t>（二）项目绩效目标</w:t>
      </w:r>
      <w:bookmarkEnd w:id="6"/>
      <w:bookmarkEnd w:id="7"/>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该项目为当年一次性项目。</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该项目总体绩效目标：①</w:t>
      </w:r>
      <w:r>
        <w:rPr>
          <w:rFonts w:hint="eastAsia" w:ascii="Times New Roman" w:hAnsi="Times New Roman" w:cs="Times New Roman"/>
          <w:spacing w:val="8"/>
          <w:sz w:val="32"/>
          <w:szCs w:val="32"/>
        </w:rPr>
        <w:t>及时准确保障雇员和临聘人员工资足额及时发放</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开展职工活动、文体活动、职工集体福利活动、职工教育支出、宣传活动支出、职工疗休养补贴、维权支出、困难职工帮扶费用、助学支出、东送温暖、夏送清凉、培训费、会议费、专项业务费等，保质保量的完成经费工作；③保障行政运行其他工资福利（社保）支出及时。</w:t>
      </w:r>
    </w:p>
    <w:p>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该项目阶段性目标为：</w:t>
      </w:r>
      <w:r>
        <w:rPr>
          <w:rFonts w:hint="eastAsia" w:ascii="Times New Roman" w:hAnsi="Times New Roman" w:cs="Times New Roman"/>
          <w:spacing w:val="8"/>
          <w:sz w:val="32"/>
          <w:szCs w:val="32"/>
        </w:rPr>
        <w:t>①及时准确保障雇员和临聘人员工资足额及时发放;保障雇员和临聘人员工资足额及时发放，</w:t>
      </w:r>
      <w:r>
        <w:rPr>
          <w:rFonts w:hint="eastAsia" w:ascii="Times New Roman" w:hAnsi="Times New Roman" w:cs="Times New Roman"/>
          <w:spacing w:val="8"/>
          <w:sz w:val="32"/>
          <w:szCs w:val="32"/>
          <w:lang w:val="en-US" w:eastAsia="zh-CN"/>
        </w:rPr>
        <w:t>稳定职工队伍。</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w:t>
      </w:r>
      <w:r>
        <w:rPr>
          <w:rFonts w:ascii="宋体" w:hAnsi="宋体" w:eastAsia="宋体" w:cs="宋体"/>
          <w:sz w:val="24"/>
          <w:szCs w:val="24"/>
        </w:rPr>
        <w:t>，保</w:t>
      </w:r>
      <w:r>
        <w:rPr>
          <w:rFonts w:hint="eastAsia" w:ascii="Times New Roman" w:hAnsi="Times New Roman" w:cs="Times New Roman"/>
          <w:spacing w:val="8"/>
          <w:sz w:val="32"/>
          <w:szCs w:val="32"/>
        </w:rPr>
        <w:t>质保量的完成工会经费工作，开展职工活动、文体活动、职工集体福利活动、职工教育支出、宣传活动支出、职工疗休养补贴、维权支出、困难职工帮扶费用、助学支出、冬送温暖、夏送清凉、培训费、会议费、专项业务费等活动。</w:t>
      </w:r>
      <w:r>
        <w:rPr>
          <w:rFonts w:hint="eastAsia" w:ascii="Times New Roman" w:hAnsi="Times New Roman" w:cs="Times New Roman"/>
          <w:spacing w:val="8"/>
          <w:sz w:val="32"/>
          <w:szCs w:val="32"/>
          <w:lang w:val="en-US" w:eastAsia="zh-CN"/>
        </w:rPr>
        <w:t>保障工会经费根据各项活动及时到位。</w:t>
      </w:r>
      <w:r>
        <w:rPr>
          <w:rFonts w:hint="eastAsia" w:ascii="Times New Roman" w:hAnsi="Times New Roman" w:cs="Times New Roman"/>
          <w:spacing w:val="8"/>
          <w:sz w:val="32"/>
          <w:szCs w:val="32"/>
        </w:rPr>
        <w:t>③保障行政运行其他工资福利（社保）支出及时。提高职工服务热情，强化职工工作积极性，加强监督工会组织的工作，为全区职工更好的服务</w:t>
      </w:r>
    </w:p>
    <w:p>
      <w:pPr>
        <w:pStyle w:val="3"/>
        <w:spacing w:before="0" w:after="0" w:line="560" w:lineRule="exact"/>
        <w:ind w:left="0" w:leftChars="0" w:firstLine="640" w:firstLineChars="200"/>
        <w:jc w:val="left"/>
        <w:rPr>
          <w:rFonts w:ascii="Times New Roman" w:hAnsi="Times New Roman" w:eastAsia="黑体" w:cs="Times New Roman"/>
          <w:b w:val="0"/>
          <w:bCs w:val="0"/>
          <w:kern w:val="2"/>
          <w:sz w:val="32"/>
          <w:szCs w:val="32"/>
        </w:rPr>
      </w:pPr>
      <w:bookmarkStart w:id="9" w:name="_Toc67911604"/>
      <w:bookmarkStart w:id="10" w:name="_Toc10640"/>
      <w:r>
        <w:rPr>
          <w:rFonts w:ascii="Times New Roman" w:hAnsi="Times New Roman" w:eastAsia="黑体" w:cs="Times New Roman"/>
          <w:b w:val="0"/>
          <w:bCs w:val="0"/>
          <w:kern w:val="2"/>
          <w:sz w:val="32"/>
          <w:szCs w:val="32"/>
        </w:rPr>
        <w:t>二、绩效评价工作开展情况</w:t>
      </w:r>
      <w:bookmarkEnd w:id="9"/>
      <w:bookmarkEnd w:id="10"/>
    </w:p>
    <w:p>
      <w:pPr>
        <w:pStyle w:val="4"/>
        <w:spacing w:before="0" w:after="0" w:line="560" w:lineRule="exact"/>
        <w:ind w:firstLine="643"/>
        <w:rPr>
          <w:rFonts w:ascii="Times New Roman" w:hAnsi="Times New Roman" w:eastAsia="楷体" w:cs="Times New Roman"/>
          <w:bCs w:val="0"/>
        </w:rPr>
      </w:pPr>
      <w:bookmarkStart w:id="11" w:name="_Toc379"/>
      <w:bookmarkStart w:id="12" w:name="_Toc67911605"/>
      <w:r>
        <w:rPr>
          <w:rFonts w:ascii="Times New Roman" w:hAnsi="Times New Roman" w:eastAsia="楷体" w:cs="Times New Roman"/>
          <w:bCs w:val="0"/>
        </w:rPr>
        <w:t>（一）绩效评价目的、对象和范围</w:t>
      </w:r>
      <w:bookmarkEnd w:id="11"/>
      <w:bookmarkEnd w:id="12"/>
    </w:p>
    <w:p>
      <w:pPr>
        <w:pStyle w:val="5"/>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消化2022年暂付款项目饱含3个子项目，根据不同项目的实际情况设置了绩效目标，例如工会经费项目，设置数量指标“工会各项活动开展场次”、质量指标“资金拨付准确率”、时效指标“资金拨付及时率”经济成本指标“工会经费”；临聘人员经费项目，设置数量指标“雇员和临聘人员发放工资人数、经济成本指标“劳务费及临聘人员经费支出”、保障行政运行其他工资福利经费，设置数量指标“其他工资和福利支出人数、成本指标“行政运行其他工资福利支出等，各项目的目标、范围和要求能够通过绩效评价指标体系完整的体现。</w:t>
      </w:r>
    </w:p>
    <w:p>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该项目中涉及的内容均于2022年完成，资金支付做往来处理，2023年根据区财政局《关于消化2022年新增暂付款项的通知》要求，将该款项做账务处理列入当年收支，项目的进展情况和完成率保持一致，与项目年度计划相对应。</w:t>
      </w:r>
    </w:p>
    <w:p>
      <w:pPr>
        <w:spacing w:line="560" w:lineRule="exact"/>
        <w:ind w:firstLine="672"/>
        <w:rPr>
          <w:rFonts w:hint="eastAsia" w:ascii="Times New Roman" w:hAnsi="Times New Roman" w:eastAsia="仿宋_GB2312" w:cs="Times New Roman"/>
          <w:spacing w:val="8"/>
          <w:sz w:val="32"/>
          <w:szCs w:val="32"/>
          <w:lang w:eastAsia="zh-CN"/>
        </w:rPr>
      </w:pPr>
      <w:r>
        <w:rPr>
          <w:rFonts w:hint="eastAsia" w:ascii="Times New Roman" w:hAnsi="Times New Roman" w:cs="Times New Roman"/>
          <w:spacing w:val="8"/>
          <w:sz w:val="32"/>
          <w:szCs w:val="32"/>
        </w:rPr>
        <w:t>评价数据来源</w:t>
      </w:r>
      <w:r>
        <w:rPr>
          <w:rFonts w:hint="eastAsia" w:ascii="Times New Roman" w:hAnsi="Times New Roman" w:cs="Times New Roman"/>
          <w:spacing w:val="8"/>
          <w:sz w:val="32"/>
          <w:szCs w:val="32"/>
          <w:highlight w:val="none"/>
        </w:rPr>
        <w:t>于会计档案中收集资金支付相关凭证</w:t>
      </w:r>
      <w:r>
        <w:rPr>
          <w:rFonts w:hint="eastAsia" w:ascii="宋体" w:hAnsi="宋体" w:eastAsia="宋体" w:cs="宋体"/>
          <w:spacing w:val="8"/>
          <w:sz w:val="32"/>
          <w:szCs w:val="32"/>
          <w:highlight w:val="none"/>
        </w:rPr>
        <w:t>、</w:t>
      </w:r>
      <w:r>
        <w:rPr>
          <w:rFonts w:hint="eastAsia" w:ascii="Times New Roman" w:hAnsi="Times New Roman" w:cs="Times New Roman"/>
          <w:spacing w:val="8"/>
          <w:sz w:val="32"/>
          <w:szCs w:val="32"/>
          <w:highlight w:val="none"/>
        </w:rPr>
        <w:t>调查问卷等资料，评价数据的来源合法合规，确保数据准确完整（资料无弄虚作假、</w:t>
      </w:r>
      <w:r>
        <w:rPr>
          <w:rFonts w:hint="eastAsia" w:ascii="Times New Roman" w:hAnsi="Times New Roman" w:cs="Times New Roman"/>
          <w:spacing w:val="8"/>
          <w:sz w:val="32"/>
          <w:szCs w:val="32"/>
          <w:highlight w:val="none"/>
          <w:lang w:val="en-US" w:eastAsia="zh-CN"/>
        </w:rPr>
        <w:t>支付资料全部是经过</w:t>
      </w:r>
      <w:r>
        <w:rPr>
          <w:rFonts w:hint="eastAsia" w:ascii="Times New Roman" w:hAnsi="Times New Roman" w:cs="Times New Roman"/>
          <w:spacing w:val="8"/>
          <w:sz w:val="32"/>
          <w:szCs w:val="32"/>
          <w:highlight w:val="none"/>
        </w:rPr>
        <w:t>上级审批通过的文件，得到领导肯定）</w:t>
      </w:r>
      <w:r>
        <w:rPr>
          <w:rFonts w:hint="eastAsia" w:ascii="Times New Roman" w:hAnsi="Times New Roman" w:cs="Times New Roman"/>
          <w:spacing w:val="8"/>
          <w:sz w:val="32"/>
          <w:szCs w:val="32"/>
          <w:highlight w:val="none"/>
          <w:lang w:eastAsia="zh-CN"/>
        </w:rPr>
        <w:t>。</w:t>
      </w:r>
    </w:p>
    <w:p>
      <w:pPr>
        <w:pStyle w:val="5"/>
        <w:spacing w:before="0" w:after="0" w:line="560" w:lineRule="exact"/>
        <w:ind w:firstLine="643"/>
        <w:rPr>
          <w:rFonts w:ascii="Times New Roman" w:hAnsi="Times New Roman" w:cs="Times New Roman"/>
        </w:rPr>
      </w:pPr>
      <w:bookmarkStart w:id="14" w:name="_Toc120"/>
      <w:r>
        <w:rPr>
          <w:rFonts w:ascii="Times New Roman" w:hAnsi="Times New Roman" w:cs="Times New Roman"/>
        </w:rPr>
        <w:t>2. 评价目的</w:t>
      </w:r>
      <w:bookmarkEnd w:id="14"/>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rPr>
        <w:t>2022年暂付款项目</w:t>
      </w:r>
      <w:r>
        <w:rPr>
          <w:rFonts w:ascii="Times New Roman" w:hAnsi="Times New Roman" w:cs="Times New Roman"/>
          <w:spacing w:val="8"/>
          <w:sz w:val="32"/>
          <w:szCs w:val="3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spacing w:before="0" w:after="0" w:line="560" w:lineRule="exact"/>
        <w:ind w:firstLine="643"/>
        <w:rPr>
          <w:rFonts w:ascii="Times New Roman" w:hAnsi="Times New Roman" w:cs="Times New Roman"/>
        </w:rPr>
      </w:pPr>
      <w:bookmarkStart w:id="15" w:name="_Toc26380"/>
      <w:r>
        <w:rPr>
          <w:rFonts w:ascii="Times New Roman" w:hAnsi="Times New Roman" w:cs="Times New Roman"/>
        </w:rPr>
        <w:t>3. 评价对象</w:t>
      </w:r>
      <w:bookmarkEnd w:id="15"/>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（1）绩效评价的对象：</w:t>
      </w:r>
      <w:r>
        <w:rPr>
          <w:rFonts w:hint="eastAsia" w:ascii="Times New Roman" w:hAnsi="Times New Roman" w:cs="Times New Roman"/>
          <w:spacing w:val="8"/>
          <w:sz w:val="32"/>
          <w:szCs w:val="32"/>
        </w:rPr>
        <w:t>消化2022年暂付款项目</w:t>
      </w:r>
    </w:p>
    <w:p>
      <w:pPr>
        <w:pStyle w:val="5"/>
        <w:spacing w:before="0" w:after="0" w:line="560" w:lineRule="exact"/>
        <w:ind w:firstLine="643"/>
        <w:rPr>
          <w:rFonts w:ascii="Times New Roman" w:hAnsi="Times New Roman" w:cs="Times New Roman"/>
        </w:rPr>
      </w:pPr>
      <w:bookmarkStart w:id="16" w:name="_Toc10044"/>
      <w:r>
        <w:rPr>
          <w:rFonts w:ascii="Times New Roman" w:hAnsi="Times New Roman" w:cs="Times New Roman"/>
        </w:rPr>
        <w:t>4. 绩效评价范围</w:t>
      </w:r>
      <w:bookmarkEnd w:id="16"/>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cs="Times New Roman"/>
          <w:spacing w:val="8"/>
          <w:sz w:val="32"/>
          <w:szCs w:val="32"/>
        </w:rPr>
      </w:pPr>
      <w:r>
        <w:rPr>
          <w:rFonts w:ascii="Times New Roman" w:hAnsi="Times New Roman" w:cs="Times New Roman"/>
          <w:spacing w:val="8"/>
          <w:sz w:val="32"/>
          <w:szCs w:val="32"/>
        </w:rPr>
        <w:t>（2）项目范围：</w:t>
      </w:r>
      <w:r>
        <w:rPr>
          <w:rFonts w:hint="eastAsia" w:ascii="Times New Roman" w:hAnsi="Times New Roman" w:cs="Times New Roman"/>
          <w:spacing w:val="8"/>
          <w:sz w:val="32"/>
          <w:szCs w:val="32"/>
        </w:rPr>
        <w:t>该项目包含3个子项目，均与2022年完成，资金往来做账务处理，2023年按区财政局《关于消化2022年新增暂付款项的通知》要求，将该款项做账务处理列入当年收支。</w:t>
      </w:r>
      <w:r>
        <w:rPr>
          <w:rFonts w:ascii="Times New Roman" w:hAnsi="Times New Roman" w:cs="Times New Roman"/>
          <w:spacing w:val="8"/>
          <w:sz w:val="32"/>
          <w:szCs w:val="32"/>
        </w:rPr>
        <w:t>①</w:t>
      </w:r>
      <w:r>
        <w:rPr>
          <w:rFonts w:hint="eastAsia" w:ascii="Times New Roman" w:hAnsi="Times New Roman" w:cs="Times New Roman"/>
          <w:spacing w:val="8"/>
          <w:sz w:val="32"/>
          <w:szCs w:val="32"/>
        </w:rPr>
        <w:t>及时准确保障雇员和临聘人员2人工资足额及时发放</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开展职工活动、文体活动、职工集体福利活动、职工教育支出、宣传活动支出、职工疗休养补贴、维权支出、困难职工帮扶费用、助学支出、东送温暖、夏送清凉、培训费、会议费、专项业务费等，保质保量的完成581.91万元经费支付工作；</w:t>
      </w:r>
      <w:r>
        <w:rPr>
          <w:rFonts w:hint="eastAsia" w:ascii="宋体" w:hAnsi="宋体" w:eastAsia="宋体" w:cs="宋体"/>
          <w:spacing w:val="8"/>
          <w:sz w:val="32"/>
          <w:szCs w:val="32"/>
        </w:rPr>
        <w:t>③</w:t>
      </w:r>
      <w:r>
        <w:rPr>
          <w:rFonts w:hint="eastAsia" w:ascii="Times New Roman" w:hAnsi="Times New Roman" w:cs="Times New Roman"/>
          <w:spacing w:val="8"/>
          <w:sz w:val="32"/>
          <w:szCs w:val="32"/>
        </w:rPr>
        <w:t>保障行政运行其他工资福利（社保）5.3万元经费支出及时。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评价工作的开展情况</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首先根据本项目的特点，资金使用情况以及绩效目标要求，提出细化的评价指标，制定绩效评价工作方案其次对项目的绩效评价基础资料进行收集</w:t>
      </w:r>
      <w:r>
        <w:rPr>
          <w:rFonts w:hint="eastAsia" w:ascii="宋体" w:hAnsi="宋体" w:eastAsia="宋体" w:cs="宋体"/>
          <w:spacing w:val="8"/>
          <w:sz w:val="32"/>
          <w:szCs w:val="32"/>
        </w:rPr>
        <w:t>、</w:t>
      </w:r>
      <w:r>
        <w:rPr>
          <w:rFonts w:hint="eastAsia" w:ascii="Times New Roman" w:hAnsi="Times New Roman" w:cs="Times New Roman"/>
          <w:spacing w:val="8"/>
          <w:sz w:val="32"/>
          <w:szCs w:val="32"/>
        </w:rPr>
        <w:t>分类整理</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对收集的绩效评价资料进行书面审查核实</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对重点项目立项</w:t>
      </w:r>
      <w:r>
        <w:rPr>
          <w:rFonts w:hint="eastAsia" w:ascii="宋体" w:hAnsi="宋体" w:eastAsia="宋体" w:cs="宋体"/>
          <w:spacing w:val="8"/>
          <w:sz w:val="32"/>
          <w:szCs w:val="32"/>
        </w:rPr>
        <w:t>、</w:t>
      </w:r>
      <w:r>
        <w:rPr>
          <w:rFonts w:hint="eastAsia" w:ascii="Times New Roman" w:hAnsi="Times New Roman" w:cs="Times New Roman"/>
          <w:spacing w:val="8"/>
          <w:sz w:val="32"/>
          <w:szCs w:val="32"/>
        </w:rPr>
        <w:t>绩效目标</w:t>
      </w:r>
      <w:r>
        <w:rPr>
          <w:rFonts w:hint="eastAsia" w:ascii="宋体" w:hAnsi="宋体" w:eastAsia="宋体" w:cs="宋体"/>
          <w:spacing w:val="8"/>
          <w:sz w:val="32"/>
          <w:szCs w:val="32"/>
        </w:rPr>
        <w:t>、</w:t>
      </w:r>
      <w:r>
        <w:rPr>
          <w:rFonts w:hint="eastAsia" w:ascii="Times New Roman" w:hAnsi="Times New Roman" w:cs="Times New Roman"/>
          <w:spacing w:val="8"/>
          <w:sz w:val="32"/>
          <w:szCs w:val="32"/>
        </w:rPr>
        <w:t>资金投入情况，项目资金管理，组织实施情况及项目产出的数量</w:t>
      </w:r>
      <w:r>
        <w:rPr>
          <w:rFonts w:hint="eastAsia" w:ascii="宋体" w:hAnsi="宋体" w:eastAsia="宋体" w:cs="宋体"/>
          <w:spacing w:val="8"/>
          <w:sz w:val="32"/>
          <w:szCs w:val="32"/>
        </w:rPr>
        <w:t>、</w:t>
      </w:r>
      <w:r>
        <w:rPr>
          <w:rFonts w:hint="eastAsia" w:ascii="Times New Roman" w:hAnsi="Times New Roman" w:cs="Times New Roman"/>
          <w:spacing w:val="8"/>
          <w:sz w:val="32"/>
          <w:szCs w:val="32"/>
        </w:rPr>
        <w:t>质量</w:t>
      </w:r>
      <w:r>
        <w:rPr>
          <w:rFonts w:hint="eastAsia" w:ascii="宋体" w:hAnsi="宋体" w:eastAsia="宋体" w:cs="宋体"/>
          <w:spacing w:val="8"/>
          <w:sz w:val="32"/>
          <w:szCs w:val="32"/>
        </w:rPr>
        <w:t>、</w:t>
      </w:r>
      <w:r>
        <w:rPr>
          <w:rFonts w:hint="eastAsia" w:ascii="Times New Roman" w:hAnsi="Times New Roman" w:cs="Times New Roman"/>
          <w:spacing w:val="8"/>
          <w:sz w:val="32"/>
          <w:szCs w:val="32"/>
        </w:rPr>
        <w:t>时效</w:t>
      </w:r>
      <w:r>
        <w:rPr>
          <w:rFonts w:hint="eastAsia" w:ascii="宋体" w:hAnsi="宋体" w:eastAsia="宋体" w:cs="宋体"/>
          <w:spacing w:val="8"/>
          <w:sz w:val="32"/>
          <w:szCs w:val="32"/>
        </w:rPr>
        <w:t>、</w:t>
      </w:r>
      <w:r>
        <w:rPr>
          <w:rFonts w:hint="eastAsia" w:ascii="Times New Roman" w:hAnsi="Times New Roman" w:cs="Times New Roman"/>
          <w:spacing w:val="8"/>
          <w:sz w:val="32"/>
          <w:szCs w:val="32"/>
        </w:rPr>
        <w:t>成本等情况进行核实</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在此基础上运用相关的指标和标准</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对自己的使用效果进行对比分析</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对项目资金使用的社会效益进行全面的评价</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最后按照项目评价要求撰写项目支出绩效评价报告</w:t>
      </w:r>
      <w:r>
        <w:rPr>
          <w:rFonts w:hint="eastAsia" w:ascii="Times New Roman" w:hAnsi="Times New Roman" w:cs="Times New Roman"/>
          <w:spacing w:val="8"/>
          <w:sz w:val="32"/>
          <w:szCs w:val="32"/>
          <w:lang w:val="en-US" w:eastAsia="zh-CN"/>
        </w:rPr>
        <w:t>,</w:t>
      </w:r>
      <w:r>
        <w:rPr>
          <w:rFonts w:hint="eastAsia" w:ascii="Times New Roman" w:hAnsi="Times New Roman" w:cs="Times New Roman"/>
          <w:spacing w:val="8"/>
          <w:sz w:val="32"/>
          <w:szCs w:val="32"/>
        </w:rPr>
        <w:t>报告</w:t>
      </w:r>
      <w:r>
        <w:rPr>
          <w:rFonts w:hint="eastAsia" w:ascii="Times New Roman" w:hAnsi="Times New Roman" w:cs="Times New Roman"/>
          <w:spacing w:val="8"/>
          <w:sz w:val="32"/>
          <w:szCs w:val="32"/>
          <w:lang w:val="en-US" w:eastAsia="zh-CN"/>
        </w:rPr>
        <w:t>内容</w:t>
      </w:r>
      <w:r>
        <w:rPr>
          <w:rFonts w:hint="eastAsia" w:ascii="Times New Roman" w:hAnsi="Times New Roman" w:cs="Times New Roman"/>
          <w:spacing w:val="8"/>
          <w:sz w:val="32"/>
          <w:szCs w:val="32"/>
        </w:rPr>
        <w:t>包括</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基本情况</w:t>
      </w:r>
      <w:r>
        <w:rPr>
          <w:rFonts w:hint="eastAsia" w:ascii="宋体" w:hAnsi="宋体" w:eastAsia="宋体" w:cs="宋体"/>
          <w:spacing w:val="8"/>
          <w:sz w:val="32"/>
          <w:szCs w:val="32"/>
        </w:rPr>
        <w:t>、</w:t>
      </w:r>
      <w:r>
        <w:rPr>
          <w:rFonts w:hint="eastAsia" w:ascii="Times New Roman" w:hAnsi="Times New Roman" w:cs="Times New Roman"/>
          <w:spacing w:val="8"/>
          <w:sz w:val="32"/>
          <w:szCs w:val="32"/>
        </w:rPr>
        <w:t>绩效评价工作开展情况</w:t>
      </w:r>
      <w:r>
        <w:rPr>
          <w:rFonts w:hint="eastAsia" w:ascii="宋体" w:hAnsi="宋体" w:eastAsia="宋体" w:cs="宋体"/>
          <w:spacing w:val="8"/>
          <w:sz w:val="32"/>
          <w:szCs w:val="32"/>
        </w:rPr>
        <w:t>、</w:t>
      </w:r>
      <w:r>
        <w:rPr>
          <w:rFonts w:hint="eastAsia" w:ascii="Times New Roman" w:hAnsi="Times New Roman" w:cs="Times New Roman"/>
          <w:spacing w:val="8"/>
          <w:sz w:val="32"/>
          <w:szCs w:val="32"/>
        </w:rPr>
        <w:t>综合评价情况及评价结论</w:t>
      </w:r>
      <w:r>
        <w:rPr>
          <w:rFonts w:hint="eastAsia" w:ascii="宋体" w:hAnsi="宋体" w:eastAsia="宋体" w:cs="宋体"/>
          <w:spacing w:val="8"/>
          <w:sz w:val="32"/>
          <w:szCs w:val="32"/>
        </w:rPr>
        <w:t>、</w:t>
      </w:r>
      <w:r>
        <w:rPr>
          <w:rFonts w:hint="eastAsia" w:ascii="Times New Roman" w:hAnsi="Times New Roman" w:cs="Times New Roman"/>
          <w:spacing w:val="8"/>
          <w:sz w:val="32"/>
          <w:szCs w:val="32"/>
        </w:rPr>
        <w:t>绩效评价指标分析</w:t>
      </w:r>
      <w:r>
        <w:rPr>
          <w:rFonts w:hint="eastAsia" w:ascii="宋体" w:hAnsi="宋体" w:eastAsia="宋体" w:cs="宋体"/>
          <w:spacing w:val="8"/>
          <w:sz w:val="32"/>
          <w:szCs w:val="32"/>
        </w:rPr>
        <w:t>、</w:t>
      </w:r>
      <w:r>
        <w:rPr>
          <w:rFonts w:hint="eastAsia" w:ascii="Times New Roman" w:hAnsi="Times New Roman" w:cs="Times New Roman"/>
          <w:spacing w:val="8"/>
          <w:sz w:val="32"/>
          <w:szCs w:val="32"/>
        </w:rPr>
        <w:t>主要经验及做法</w:t>
      </w:r>
      <w:r>
        <w:rPr>
          <w:rFonts w:hint="eastAsia" w:ascii="宋体" w:hAnsi="宋体" w:eastAsia="宋体" w:cs="宋体"/>
          <w:spacing w:val="8"/>
          <w:sz w:val="32"/>
          <w:szCs w:val="32"/>
        </w:rPr>
        <w:t>、</w:t>
      </w:r>
      <w:r>
        <w:rPr>
          <w:rFonts w:hint="eastAsia" w:ascii="Times New Roman" w:hAnsi="Times New Roman" w:cs="Times New Roman"/>
          <w:spacing w:val="8"/>
          <w:sz w:val="32"/>
          <w:szCs w:val="32"/>
        </w:rPr>
        <w:t>存在的问题及原因分析等。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pacing w:val="8"/>
          <w:sz w:val="32"/>
          <w:szCs w:val="32"/>
          <w:lang w:val="en-US" w:eastAsia="zh-CN"/>
        </w:rPr>
      </w:pPr>
      <w:bookmarkStart w:id="17" w:name="_Hlk167207260"/>
      <w:r>
        <w:rPr>
          <w:rFonts w:hint="eastAsia" w:ascii="Times New Roman" w:hAnsi="Times New Roman" w:cs="Times New Roman"/>
          <w:spacing w:val="8"/>
          <w:sz w:val="32"/>
          <w:szCs w:val="32"/>
        </w:rPr>
        <w:t>主要经验及做法</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一是强化制度保障；二是加强专项资金绩效管理；三是科学安排项目预算。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pacing w:val="8"/>
          <w:sz w:val="32"/>
          <w:szCs w:val="32"/>
          <w:lang w:val="en-US" w:eastAsia="zh-CN"/>
        </w:rPr>
      </w:pPr>
      <w:r>
        <w:rPr>
          <w:rFonts w:hint="eastAsia" w:ascii="Times New Roman" w:hAnsi="Times New Roman" w:cs="Times New Roman"/>
          <w:spacing w:val="8"/>
          <w:sz w:val="32"/>
          <w:szCs w:val="32"/>
        </w:rPr>
        <w:t>存在的问题及原因分析</w:t>
      </w:r>
      <w:bookmarkEnd w:id="17"/>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一是管理制度还不够完善；二是管理形式单一；三是预算执行率较低；四是指标体系设置因理解不够设置能力较薄弱。</w:t>
      </w:r>
    </w:p>
    <w:p>
      <w:pPr>
        <w:spacing w:line="560" w:lineRule="exact"/>
        <w:ind w:firstLine="672"/>
        <w:rPr>
          <w:rFonts w:ascii="Times New Roman" w:hAnsi="Times New Roman" w:cs="Times New Roman"/>
          <w:color w:val="auto"/>
          <w:spacing w:val="8"/>
          <w:sz w:val="32"/>
          <w:szCs w:val="32"/>
          <w:highlight w:val="none"/>
        </w:rPr>
      </w:pPr>
      <w:r>
        <w:rPr>
          <w:rFonts w:hint="eastAsia" w:ascii="Times New Roman" w:hAnsi="Times New Roman" w:cs="Times New Roman"/>
          <w:spacing w:val="8"/>
          <w:sz w:val="32"/>
          <w:szCs w:val="32"/>
        </w:rPr>
        <w:t>综合性评价结</w:t>
      </w:r>
      <w:bookmarkStart w:id="18" w:name="_Hlk167201432"/>
      <w:r>
        <w:rPr>
          <w:rFonts w:hint="eastAsia" w:ascii="Times New Roman" w:hAnsi="Times New Roman" w:cs="Times New Roman"/>
          <w:spacing w:val="8"/>
          <w:sz w:val="32"/>
          <w:szCs w:val="32"/>
        </w:rPr>
        <w:t>论：</w:t>
      </w:r>
      <w:r>
        <w:rPr>
          <w:rFonts w:ascii="Times New Roman" w:hAnsi="Times New Roman" w:cs="Times New Roman"/>
          <w:spacing w:val="8"/>
          <w:sz w:val="32"/>
          <w:szCs w:val="32"/>
        </w:rPr>
        <w:t>结合项目特点，制定符合项目实际的绩效评价指标体系及评分标准，通过数据采集、问卷调查及访谈等形式，</w:t>
      </w:r>
      <w:bookmarkEnd w:id="18"/>
      <w:r>
        <w:rPr>
          <w:rFonts w:ascii="Times New Roman" w:hAnsi="Times New Roman" w:cs="Times New Roman"/>
          <w:spacing w:val="8"/>
          <w:sz w:val="32"/>
          <w:szCs w:val="32"/>
        </w:rPr>
        <w:t>对2023年</w:t>
      </w:r>
      <w:r>
        <w:rPr>
          <w:rFonts w:hint="eastAsia" w:ascii="Times New Roman" w:hAnsi="Times New Roman" w:cs="Times New Roman"/>
          <w:spacing w:val="8"/>
          <w:sz w:val="32"/>
          <w:szCs w:val="32"/>
        </w:rPr>
        <w:t>消化2022年暂付款项目进行客观</w:t>
      </w:r>
      <w:r>
        <w:rPr>
          <w:rFonts w:ascii="Times New Roman" w:hAnsi="Times New Roman" w:cs="Times New Roman"/>
          <w:spacing w:val="8"/>
          <w:sz w:val="32"/>
          <w:szCs w:val="32"/>
        </w:rPr>
        <w:t>评价，</w:t>
      </w:r>
      <w:r>
        <w:rPr>
          <w:rFonts w:ascii="Times New Roman" w:hAnsi="Times New Roman" w:cs="Times New Roman"/>
          <w:color w:val="auto"/>
          <w:spacing w:val="8"/>
          <w:sz w:val="32"/>
          <w:szCs w:val="32"/>
          <w:highlight w:val="none"/>
        </w:rPr>
        <w:t>最终评分结果为：总分为</w:t>
      </w:r>
      <w:r>
        <w:rPr>
          <w:rFonts w:hint="eastAsia" w:ascii="Times New Roman" w:hAnsi="Times New Roman" w:cs="Times New Roman"/>
          <w:color w:val="auto"/>
          <w:spacing w:val="8"/>
          <w:sz w:val="32"/>
          <w:szCs w:val="32"/>
          <w:highlight w:val="none"/>
          <w:lang w:val="en-US" w:eastAsia="zh-CN"/>
        </w:rPr>
        <w:t>100</w:t>
      </w:r>
      <w:r>
        <w:rPr>
          <w:rFonts w:ascii="Times New Roman" w:hAnsi="Times New Roman" w:cs="Times New Roman"/>
          <w:color w:val="auto"/>
          <w:spacing w:val="8"/>
          <w:sz w:val="32"/>
          <w:szCs w:val="32"/>
          <w:highlight w:val="none"/>
        </w:rPr>
        <w:t>分，绩效评级为“</w:t>
      </w:r>
      <w:r>
        <w:rPr>
          <w:rFonts w:hint="eastAsia" w:ascii="Times New Roman" w:hAnsi="Times New Roman" w:cs="Times New Roman"/>
          <w:color w:val="auto"/>
          <w:spacing w:val="8"/>
          <w:sz w:val="32"/>
          <w:szCs w:val="32"/>
          <w:highlight w:val="none"/>
          <w:lang w:val="en-US" w:eastAsia="zh-CN"/>
        </w:rPr>
        <w:t>优</w:t>
      </w:r>
      <w:r>
        <w:rPr>
          <w:rFonts w:ascii="Times New Roman" w:hAnsi="Times New Roman" w:cs="Times New Roman"/>
          <w:color w:val="auto"/>
          <w:spacing w:val="8"/>
          <w:sz w:val="32"/>
          <w:szCs w:val="32"/>
          <w:highlight w:val="none"/>
        </w:rPr>
        <w:t>”。</w:t>
      </w:r>
    </w:p>
    <w:p>
      <w:pPr>
        <w:spacing w:line="560" w:lineRule="exact"/>
        <w:ind w:firstLine="672"/>
        <w:rPr>
          <w:rFonts w:ascii="Times New Roman" w:hAnsi="Times New Roman" w:cs="Times New Roman"/>
          <w:color w:val="auto"/>
          <w:spacing w:val="8"/>
          <w:sz w:val="32"/>
          <w:szCs w:val="32"/>
          <w:highlight w:val="none"/>
        </w:rPr>
      </w:pPr>
    </w:p>
    <w:p>
      <w:pPr>
        <w:pStyle w:val="4"/>
        <w:spacing w:before="0" w:after="0" w:line="560" w:lineRule="exact"/>
        <w:ind w:firstLine="643"/>
        <w:rPr>
          <w:rFonts w:ascii="Times New Roman" w:hAnsi="Times New Roman" w:eastAsia="楷体" w:cs="Times New Roman"/>
          <w:bCs w:val="0"/>
        </w:rPr>
      </w:pPr>
      <w:bookmarkStart w:id="19" w:name="_Toc23125"/>
      <w:bookmarkStart w:id="20" w:name="_Toc67911606"/>
      <w:bookmarkStart w:id="21" w:name="_Hlk67586765"/>
      <w:r>
        <w:rPr>
          <w:rFonts w:ascii="Times New Roman" w:hAnsi="Times New Roman" w:eastAsia="楷体" w:cs="Times New Roman"/>
          <w:bCs w:val="0"/>
        </w:rPr>
        <w:t>（二）绩效评价原则、指标体系、方法及标准</w:t>
      </w:r>
      <w:bookmarkEnd w:id="19"/>
      <w:bookmarkEnd w:id="20"/>
    </w:p>
    <w:bookmarkEnd w:id="21"/>
    <w:p>
      <w:pPr>
        <w:pStyle w:val="5"/>
        <w:spacing w:before="0" w:after="0" w:line="560" w:lineRule="exact"/>
        <w:ind w:firstLine="643"/>
        <w:rPr>
          <w:rFonts w:ascii="Times New Roman" w:hAnsi="Times New Roman" w:cs="Times New Roman"/>
        </w:rPr>
      </w:pPr>
      <w:bookmarkStart w:id="22" w:name="_Toc14270"/>
      <w:r>
        <w:rPr>
          <w:rFonts w:ascii="Times New Roman" w:hAnsi="Times New Roman" w:cs="Times New Roman"/>
        </w:rPr>
        <w:t>1. 评价原则</w:t>
      </w:r>
      <w:bookmarkEnd w:id="22"/>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pPr>
        <w:pStyle w:val="5"/>
        <w:spacing w:before="0" w:after="0" w:line="560" w:lineRule="exact"/>
        <w:ind w:firstLine="643"/>
        <w:rPr>
          <w:rFonts w:ascii="Times New Roman" w:hAnsi="Times New Roman" w:cs="Times New Roman"/>
        </w:rPr>
      </w:pPr>
      <w:bookmarkStart w:id="23" w:name="_Toc1619"/>
      <w:r>
        <w:rPr>
          <w:rFonts w:ascii="Times New Roman" w:hAnsi="Times New Roman" w:cs="Times New Roman"/>
        </w:rPr>
        <w:t>2. 评价指标体系</w:t>
      </w:r>
      <w:bookmarkEnd w:id="23"/>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（5）经济性原则：绩效评价指标设计应当通俗易懂、简便易行，数据的获得应当考虑现实条件和可操作性，符合成本效益原则。</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本项目的评价指标体系建立如表2-1所示</w:t>
      </w:r>
    </w:p>
    <w:p>
      <w:pPr>
        <w:spacing w:line="560" w:lineRule="exact"/>
        <w:ind w:firstLine="672"/>
        <w:rPr>
          <w:rFonts w:ascii="Times New Roman" w:hAnsi="Times New Roman" w:cs="Times New Roman"/>
          <w:spacing w:val="8"/>
          <w:sz w:val="32"/>
          <w:szCs w:val="32"/>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表2-1 项目支出绩效评价指标体系</w:t>
      </w:r>
    </w:p>
    <w:tbl>
      <w:tblPr>
        <w:tblStyle w:val="21"/>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00"/>
        <w:gridCol w:w="1510"/>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0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51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r>
              <w:rPr>
                <w:rFonts w:ascii="Times New Roman" w:hAnsi="Times New Roman" w:cs="Times New Roman"/>
                <w:color w:val="000000"/>
                <w:kern w:val="0"/>
                <w:sz w:val="22"/>
              </w:rPr>
              <w:t>产出</w:t>
            </w: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r>
              <w:rPr>
                <w:rFonts w:ascii="Times New Roman" w:hAnsi="Times New Roman" w:cs="Times New Roman"/>
                <w:color w:val="000000"/>
                <w:kern w:val="0"/>
                <w:sz w:val="22"/>
              </w:rPr>
              <w:t>产出数量</w:t>
            </w:r>
          </w:p>
        </w:tc>
        <w:tc>
          <w:tcPr>
            <w:tcW w:w="1510"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工会各项活动开展场次</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ind w:firstLine="44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雇员和临聘人员发放工资人数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ind w:firstLine="44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其他工资和福利支出人数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r>
              <w:rPr>
                <w:rFonts w:ascii="Times New Roman" w:hAnsi="Times New Roman" w:cs="Times New Roman"/>
                <w:color w:val="000000"/>
                <w:kern w:val="0"/>
                <w:sz w:val="22"/>
              </w:rPr>
              <w:t>产出质量</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r>
              <w:rPr>
                <w:rFonts w:hint="eastAsia" w:ascii="Times New Roman" w:hAnsi="Times New Roman" w:cs="Times New Roman"/>
                <w:color w:val="000000"/>
                <w:kern w:val="0"/>
                <w:sz w:val="22"/>
              </w:rPr>
              <w:t>资金拨付准确率</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highlight w:val="yellow"/>
              </w:rPr>
            </w:pP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资金拨付及时率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0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工会经费</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br w:type="textWrapping"/>
            </w: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00" w:type="dxa"/>
            <w:vMerge w:val="continue"/>
            <w:tcBorders>
              <w:tl2br w:val="nil"/>
              <w:tr2bl w:val="nil"/>
            </w:tcBorders>
            <w:shd w:val="clear" w:color="auto" w:fill="FFFFFF"/>
            <w:vAlign w:val="center"/>
          </w:tcPr>
          <w:p>
            <w:pPr>
              <w:widowControl/>
              <w:ind w:firstLine="0" w:firstLineChars="0"/>
              <w:jc w:val="cente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劳务费及临聘人员经费支出</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10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行政运行其他工资福利支出（社保）</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60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0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p>
            <w:pPr>
              <w:widowControl/>
              <w:ind w:firstLine="0" w:firstLineChars="0"/>
              <w:jc w:val="center"/>
              <w:rPr>
                <w:rFonts w:ascii="Times New Roman" w:hAnsi="Times New Roman" w:cs="Times New Roman"/>
                <w:color w:val="000000"/>
                <w:kern w:val="0"/>
                <w:sz w:val="22"/>
              </w:rPr>
            </w:pPr>
          </w:p>
        </w:tc>
        <w:tc>
          <w:tcPr>
            <w:tcW w:w="1510"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提高职工服务热情，强化职工工作积极性</w:t>
            </w:r>
          </w:p>
        </w:tc>
        <w:tc>
          <w:tcPr>
            <w:tcW w:w="2789" w:type="dxa"/>
            <w:tcBorders>
              <w:tl2br w:val="nil"/>
              <w:tr2bl w:val="nil"/>
            </w:tcBorders>
            <w:shd w:val="clear" w:color="auto" w:fill="FFFFFF"/>
            <w:vAlign w:val="center"/>
          </w:tcPr>
          <w:p>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spacing w:before="0" w:after="0" w:line="560" w:lineRule="exact"/>
        <w:ind w:firstLine="643"/>
        <w:rPr>
          <w:rFonts w:ascii="Times New Roman" w:hAnsi="Times New Roman" w:cs="Times New Roman"/>
        </w:rPr>
      </w:pPr>
      <w:bookmarkStart w:id="24" w:name="_Toc17754"/>
      <w:bookmarkStart w:id="25" w:name="_Hlk67586038"/>
      <w:r>
        <w:rPr>
          <w:rFonts w:ascii="Times New Roman" w:hAnsi="Times New Roman" w:cs="Times New Roman"/>
        </w:rPr>
        <w:t>3. 评价方法</w:t>
      </w:r>
      <w:bookmarkEnd w:id="24"/>
    </w:p>
    <w:bookmarkEnd w:id="25"/>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（1）成本效益分析法。是指将投入与产出、效益进行关联性分析的方法。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（2）比较法。是指将实施情况与绩效目标、历史情况、不同部门和地区同类支出情况进行比较的方法。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（3）因素分析法。是指综合分析影响绩效目标实现、实施效果的内外部因素的方法。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（4）最低成本法。是指在绩效目标确定的前提下，成本最小者为优的方法。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（5）公众评判法。是指通过专家评估、公众问卷及抽样调查等方式进行评判的方法。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（6）标杆管理法。是指以国内外同行业中较高的绩效水平为标杆进行评判的方法。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（7）其他评价方法。</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根据本项目</w:t>
      </w:r>
      <w:r>
        <w:rPr>
          <w:rFonts w:hint="eastAsia" w:ascii="Times New Roman" w:hAnsi="Times New Roman" w:cs="Times New Roman"/>
          <w:spacing w:val="8"/>
          <w:sz w:val="32"/>
          <w:szCs w:val="32"/>
        </w:rPr>
        <w:t>消化2022年暂付款项目</w:t>
      </w:r>
      <w:r>
        <w:rPr>
          <w:rFonts w:ascii="Times New Roman" w:hAnsi="Times New Roman" w:cs="Times New Roman"/>
          <w:spacing w:val="8"/>
          <w:sz w:val="32"/>
          <w:szCs w:val="32"/>
        </w:rPr>
        <w:t>的特点，本次评价主要采用</w:t>
      </w:r>
      <w:r>
        <w:rPr>
          <w:rFonts w:hint="eastAsia" w:ascii="Times New Roman" w:hAnsi="Times New Roman" w:cs="Times New Roman"/>
          <w:spacing w:val="8"/>
          <w:sz w:val="32"/>
          <w:szCs w:val="32"/>
        </w:rPr>
        <w:t>比较法和其他评价方法（工作总结），对项目</w:t>
      </w:r>
      <w:r>
        <w:rPr>
          <w:rFonts w:ascii="Times New Roman" w:hAnsi="Times New Roman" w:cs="Times New Roman"/>
          <w:spacing w:val="8"/>
          <w:sz w:val="32"/>
          <w:szCs w:val="32"/>
        </w:rPr>
        <w:t>总预算和明细预算的内容、标准、计划是否经济合理进行深入分析，以考察实际产出和效益是否达到预期。</w:t>
      </w:r>
    </w:p>
    <w:p>
      <w:pPr>
        <w:pStyle w:val="5"/>
        <w:spacing w:before="0" w:after="0" w:line="560" w:lineRule="exact"/>
        <w:ind w:firstLine="643"/>
        <w:rPr>
          <w:rFonts w:ascii="Times New Roman" w:hAnsi="Times New Roman" w:cs="Times New Roman"/>
        </w:rPr>
      </w:pPr>
      <w:bookmarkStart w:id="26" w:name="_Toc10851"/>
      <w:r>
        <w:rPr>
          <w:rFonts w:ascii="Times New Roman" w:hAnsi="Times New Roman" w:cs="Times New Roman"/>
        </w:rPr>
        <w:t>4. 评价标准</w:t>
      </w:r>
      <w:bookmarkEnd w:id="26"/>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·《项目支出绩效评价管理办法》（财预〔2020〕10号）</w:t>
      </w:r>
    </w:p>
    <w:p>
      <w:pPr>
        <w:spacing w:line="560" w:lineRule="exact"/>
        <w:ind w:firstLine="672"/>
        <w:rPr>
          <w:rFonts w:ascii="Times New Roman" w:hAnsi="Times New Roman" w:cs="Times New Roman"/>
          <w:spacing w:val="8"/>
          <w:sz w:val="32"/>
          <w:szCs w:val="32"/>
        </w:rPr>
      </w:pPr>
      <w:bookmarkStart w:id="27" w:name="_Hlk167209296"/>
      <w:bookmarkStart w:id="28" w:name="_Toc28061"/>
      <w:bookmarkStart w:id="29" w:name="_Toc67911607"/>
      <w:r>
        <w:rPr>
          <w:rFonts w:hint="eastAsia" w:ascii="Times New Roman" w:hAnsi="Times New Roman" w:cs="Times New Roman"/>
          <w:spacing w:val="8"/>
          <w:sz w:val="32"/>
          <w:szCs w:val="32"/>
        </w:rPr>
        <w:t>关于印发《新疆维吾尔自治区基层工会经费收支管理办法实施细则》的通知（新工办</w:t>
      </w:r>
      <w:r>
        <w:rPr>
          <w:rFonts w:ascii="Times New Roman" w:hAnsi="Times New Roman" w:cs="Times New Roman"/>
          <w:spacing w:val="8"/>
          <w:sz w:val="32"/>
          <w:szCs w:val="32"/>
        </w:rPr>
        <w:t>〔</w:t>
      </w:r>
      <w:r>
        <w:rPr>
          <w:rFonts w:hint="eastAsia" w:ascii="Times New Roman" w:hAnsi="Times New Roman" w:cs="Times New Roman"/>
          <w:spacing w:val="8"/>
          <w:sz w:val="32"/>
          <w:szCs w:val="32"/>
        </w:rPr>
        <w:t>2019</w:t>
      </w:r>
      <w:r>
        <w:rPr>
          <w:rFonts w:ascii="Times New Roman" w:hAnsi="Times New Roman" w:cs="Times New Roman"/>
          <w:spacing w:val="8"/>
          <w:sz w:val="32"/>
          <w:szCs w:val="32"/>
        </w:rPr>
        <w:t>〕</w:t>
      </w:r>
      <w:r>
        <w:rPr>
          <w:rFonts w:hint="eastAsia" w:ascii="Times New Roman" w:hAnsi="Times New Roman" w:cs="Times New Roman"/>
          <w:spacing w:val="8"/>
          <w:sz w:val="32"/>
          <w:szCs w:val="32"/>
        </w:rPr>
        <w:t>3</w:t>
      </w:r>
      <w:r>
        <w:rPr>
          <w:rFonts w:ascii="Times New Roman" w:hAnsi="Times New Roman" w:cs="Times New Roman"/>
          <w:spacing w:val="8"/>
          <w:sz w:val="32"/>
          <w:szCs w:val="32"/>
        </w:rPr>
        <w:t>号）</w:t>
      </w:r>
    </w:p>
    <w:p>
      <w:pPr>
        <w:spacing w:line="560" w:lineRule="exact"/>
        <w:rPr>
          <w:rFonts w:hint="eastAsia" w:ascii="Times New Roman" w:hAnsi="Times New Roman" w:cs="Times New Roman"/>
          <w:spacing w:val="8"/>
          <w:sz w:val="32"/>
          <w:szCs w:val="32"/>
          <w:highlight w:val="none"/>
          <w:lang w:val="en-US" w:eastAsia="zh-CN"/>
        </w:rPr>
      </w:pPr>
      <w:r>
        <w:rPr>
          <w:rFonts w:hint="eastAsia" w:ascii="Times New Roman" w:hAnsi="Times New Roman" w:cs="Times New Roman"/>
          <w:spacing w:val="8"/>
          <w:sz w:val="32"/>
          <w:szCs w:val="32"/>
          <w:highlight w:val="none"/>
          <w:lang w:val="en-US" w:eastAsia="zh-CN"/>
        </w:rPr>
        <w:t>聘用人员</w:t>
      </w:r>
      <w:r>
        <w:rPr>
          <w:rFonts w:hint="eastAsia" w:ascii="Times New Roman" w:hAnsi="Times New Roman" w:cs="Times New Roman"/>
          <w:spacing w:val="8"/>
          <w:sz w:val="32"/>
          <w:szCs w:val="32"/>
          <w:highlight w:val="none"/>
        </w:rPr>
        <w:t>制度</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lang w:val="en-US" w:eastAsia="zh-CN"/>
        </w:rPr>
        <w:t>2013-11-18）</w:t>
      </w:r>
    </w:p>
    <w:p>
      <w:pPr>
        <w:spacing w:line="560" w:lineRule="exact"/>
        <w:ind w:left="0" w:leftChars="0" w:firstLine="336" w:firstLineChars="100"/>
        <w:rPr>
          <w:rFonts w:hint="default" w:ascii="Times New Roman" w:hAnsi="Times New Roman" w:eastAsia="仿宋_GB2312" w:cs="Times New Roman"/>
          <w:spacing w:val="8"/>
          <w:sz w:val="32"/>
          <w:szCs w:val="32"/>
          <w:highlight w:val="none"/>
          <w:lang w:val="en-US" w:eastAsia="zh-CN"/>
        </w:rPr>
      </w:pPr>
      <w:r>
        <w:rPr>
          <w:rFonts w:hint="eastAsia" w:ascii="Times New Roman" w:hAnsi="Times New Roman" w:cs="Times New Roman"/>
          <w:spacing w:val="8"/>
          <w:sz w:val="32"/>
          <w:szCs w:val="32"/>
          <w:highlight w:val="none"/>
          <w:lang w:val="en-US" w:eastAsia="zh-CN"/>
        </w:rPr>
        <w:t>《中华人民共和国财政部令第113号-行政单位财务规则》</w:t>
      </w:r>
    </w:p>
    <w:bookmarkEnd w:id="27"/>
    <w:p>
      <w:pPr>
        <w:pStyle w:val="4"/>
        <w:spacing w:before="0" w:after="0" w:line="560" w:lineRule="exact"/>
        <w:ind w:firstLine="0" w:firstLineChars="0"/>
        <w:rPr>
          <w:rFonts w:ascii="Times New Roman" w:hAnsi="Times New Roman" w:eastAsia="楷体" w:cs="Times New Roman"/>
          <w:bCs w:val="0"/>
        </w:rPr>
      </w:pPr>
      <w:r>
        <w:rPr>
          <w:rFonts w:ascii="Times New Roman" w:hAnsi="Times New Roman" w:eastAsia="楷体" w:cs="Times New Roman"/>
          <w:bCs w:val="0"/>
        </w:rPr>
        <w:t>（三）绩效评价工作过程</w:t>
      </w:r>
      <w:bookmarkEnd w:id="28"/>
      <w:bookmarkEnd w:id="29"/>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0" w:name="_Toc735"/>
      <w:bookmarkStart w:id="31" w:name="_Toc67911608"/>
      <w:r>
        <w:rPr>
          <w:rFonts w:ascii="Times New Roman" w:hAnsi="Times New Roman" w:eastAsia="黑体" w:cs="Times New Roman"/>
          <w:b w:val="0"/>
          <w:bCs w:val="0"/>
          <w:color w:val="000000"/>
          <w:spacing w:val="8"/>
          <w:kern w:val="0"/>
          <w:sz w:val="32"/>
          <w:szCs w:val="32"/>
        </w:rPr>
        <w:t>三、综合评价情况及评价结论</w:t>
      </w:r>
      <w:bookmarkEnd w:id="30"/>
      <w:bookmarkEnd w:id="31"/>
    </w:p>
    <w:p>
      <w:pPr>
        <w:pStyle w:val="4"/>
        <w:spacing w:before="0" w:after="0" w:line="560" w:lineRule="exact"/>
        <w:ind w:firstLine="643"/>
        <w:rPr>
          <w:rFonts w:ascii="Times New Roman" w:hAnsi="Times New Roman" w:eastAsia="楷体" w:cs="Times New Roman"/>
          <w:color w:val="000000"/>
          <w:kern w:val="0"/>
        </w:rPr>
      </w:pPr>
      <w:bookmarkStart w:id="32" w:name="_Toc17524"/>
      <w:bookmarkStart w:id="33" w:name="_Toc67911609"/>
      <w:r>
        <w:rPr>
          <w:rFonts w:ascii="Times New Roman" w:hAnsi="Times New Roman" w:eastAsia="楷体" w:cs="Times New Roman"/>
          <w:color w:val="000000"/>
          <w:kern w:val="0"/>
        </w:rPr>
        <w:t>（一）评价结论</w:t>
      </w:r>
      <w:bookmarkEnd w:id="32"/>
      <w:bookmarkEnd w:id="33"/>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消化2022年暂付款项目进行客观评价</w:t>
      </w:r>
      <w:r>
        <w:rPr>
          <w:rFonts w:ascii="Times New Roman" w:hAnsi="Times New Roman" w:cs="Times New Roman"/>
          <w:spacing w:val="8"/>
          <w:sz w:val="32"/>
          <w:szCs w:val="32"/>
        </w:rPr>
        <w:t>，最终评分结果为：</w:t>
      </w:r>
      <w:r>
        <w:rPr>
          <w:rFonts w:ascii="Times New Roman" w:hAnsi="Times New Roman" w:cs="Times New Roman"/>
          <w:spacing w:val="8"/>
          <w:sz w:val="32"/>
          <w:szCs w:val="32"/>
          <w:highlight w:val="none"/>
        </w:rPr>
        <w:t>总分为</w:t>
      </w:r>
      <w:r>
        <w:rPr>
          <w:rFonts w:hint="eastAsia" w:ascii="Times New Roman" w:hAnsi="Times New Roman" w:cs="Times New Roman"/>
          <w:spacing w:val="8"/>
          <w:sz w:val="32"/>
          <w:szCs w:val="32"/>
          <w:highlight w:val="none"/>
          <w:lang w:val="en-US" w:eastAsia="zh-CN"/>
        </w:rPr>
        <w:t>100</w:t>
      </w:r>
      <w:r>
        <w:rPr>
          <w:rFonts w:ascii="Times New Roman" w:hAnsi="Times New Roman" w:cs="Times New Roman"/>
          <w:spacing w:val="8"/>
          <w:sz w:val="32"/>
          <w:szCs w:val="32"/>
          <w:highlight w:val="none"/>
        </w:rPr>
        <w:t>分，绩效评级为“</w:t>
      </w:r>
      <w:r>
        <w:rPr>
          <w:rFonts w:hint="eastAsia" w:ascii="Times New Roman" w:hAnsi="Times New Roman" w:cs="Times New Roman"/>
          <w:spacing w:val="8"/>
          <w:sz w:val="32"/>
          <w:szCs w:val="32"/>
          <w:highlight w:val="none"/>
          <w:lang w:val="en-US" w:eastAsia="zh-CN"/>
        </w:rPr>
        <w:t xml:space="preserve"> 优</w:t>
      </w:r>
      <w:r>
        <w:rPr>
          <w:rFonts w:ascii="Times New Roman" w:hAnsi="Times New Roman" w:cs="Times New Roman"/>
          <w:spacing w:val="8"/>
          <w:sz w:val="32"/>
          <w:szCs w:val="32"/>
          <w:highlight w:val="none"/>
        </w:rPr>
        <w:t>”。</w:t>
      </w:r>
    </w:p>
    <w:p>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项目各部分权重和绩效分值如表3-1所示：</w:t>
      </w:r>
    </w:p>
    <w:p>
      <w:pPr>
        <w:adjustRightInd w:val="0"/>
        <w:spacing w:line="560" w:lineRule="exact"/>
        <w:ind w:firstLine="0" w:firstLineChars="0"/>
        <w:jc w:val="center"/>
        <w:rPr>
          <w:rFonts w:ascii="Times New Roman" w:hAnsi="Times New Roman" w:cs="Times New Roman"/>
          <w:b/>
          <w:bCs/>
          <w:sz w:val="24"/>
          <w:szCs w:val="24"/>
        </w:rPr>
      </w:pPr>
      <w:bookmarkStart w:id="67" w:name="_GoBack"/>
      <w:r>
        <w:rPr>
          <w:rFonts w:ascii="Times New Roman" w:hAnsi="Times New Roman" w:cs="Times New Roman"/>
          <w:b/>
          <w:bCs/>
          <w:sz w:val="24"/>
          <w:szCs w:val="24"/>
        </w:rPr>
        <w:t>表3-1 项目各部分权重和绩效分值</w:t>
      </w:r>
    </w:p>
    <w:bookmarkEnd w:id="67"/>
    <w:tbl>
      <w:tblPr>
        <w:tblStyle w:val="21"/>
        <w:tblW w:w="852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工会各项活动开展场次</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highlight w:val="yellow"/>
              </w:rPr>
            </w:pPr>
            <w:r>
              <w:rPr>
                <w:rFonts w:hint="eastAsia" w:ascii="Times New Roman" w:hAnsi="Times New Roman" w:cs="Times New Roman"/>
                <w:kern w:val="0"/>
                <w:sz w:val="22"/>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雇员和临聘人员发放工资人数</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其他工资和福利支出人数</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color w:val="000000"/>
                <w:kern w:val="0"/>
                <w:sz w:val="22"/>
              </w:rPr>
              <w:t>资金拨付准确率</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3" w:hRule="atLeast"/>
          <w:jc w:val="center"/>
        </w:trPr>
        <w:tc>
          <w:tcPr>
            <w:tcW w:w="1458"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pPr>
              <w:ind w:firstLine="0" w:firstLineChars="0"/>
              <w:jc w:val="center"/>
              <w:rPr>
                <w:rFonts w:ascii="Times New Roman" w:hAnsi="Times New Roman" w:cs="Times New Roman"/>
                <w:kern w:val="0"/>
                <w:sz w:val="22"/>
              </w:rPr>
            </w:pPr>
            <w:r>
              <w:rPr>
                <w:rFonts w:ascii="Times New Roman" w:hAnsi="Times New Roman" w:cs="Times New Roman"/>
                <w:kern w:val="0"/>
                <w:sz w:val="22"/>
              </w:rPr>
              <w:t>产出时效</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资金拨付及时率</w:t>
            </w:r>
          </w:p>
          <w:p>
            <w:pPr>
              <w:widowControl/>
              <w:ind w:firstLine="0" w:firstLineChars="0"/>
              <w:jc w:val="center"/>
              <w:rPr>
                <w:rFonts w:ascii="Times New Roman" w:hAnsi="Times New Roman" w:cs="Times New Roman"/>
                <w:kern w:val="0"/>
                <w:sz w:val="22"/>
              </w:rPr>
            </w:pP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产出成本</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工会经费</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劳务费及临聘人员经费支出</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行政运行其他工资福利支出（社保）</w:t>
            </w:r>
          </w:p>
        </w:tc>
        <w:tc>
          <w:tcPr>
            <w:tcW w:w="844"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社会效益指标</w:t>
            </w:r>
          </w:p>
        </w:tc>
        <w:tc>
          <w:tcPr>
            <w:tcW w:w="253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color w:val="000000"/>
                <w:kern w:val="0"/>
                <w:sz w:val="22"/>
              </w:rPr>
              <w:t>提高职工服务热情，强化职工工作积极性</w:t>
            </w:r>
          </w:p>
        </w:tc>
        <w:tc>
          <w:tcPr>
            <w:tcW w:w="844" w:type="dxa"/>
            <w:tcBorders>
              <w:tl2br w:val="nil"/>
              <w:tr2bl w:val="nil"/>
            </w:tcBorders>
            <w:shd w:val="clear" w:color="auto" w:fill="FFFFFF"/>
            <w:vAlign w:val="center"/>
          </w:tcPr>
          <w:p>
            <w:pPr>
              <w:ind w:firstLine="220" w:firstLineChars="100"/>
              <w:rPr>
                <w:rFonts w:ascii="Times New Roman" w:hAnsi="Times New Roman" w:cs="Times New Roman"/>
                <w:kern w:val="0"/>
                <w:sz w:val="22"/>
              </w:rPr>
            </w:pPr>
            <w:r>
              <w:rPr>
                <w:rFonts w:ascii="Times New Roman" w:hAnsi="Times New Roman" w:cs="Times New Roman"/>
                <w:kern w:val="0"/>
                <w:sz w:val="22"/>
              </w:rPr>
              <w:t>1</w:t>
            </w:r>
            <w:r>
              <w:rPr>
                <w:rFonts w:hint="eastAsia" w:ascii="Times New Roman" w:hAnsi="Times New Roman" w:cs="Times New Roman"/>
                <w:kern w:val="0"/>
                <w:sz w:val="22"/>
              </w:rPr>
              <w:t>0</w:t>
            </w:r>
          </w:p>
        </w:tc>
        <w:tc>
          <w:tcPr>
            <w:tcW w:w="845"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bl>
    <w:p>
      <w:pPr>
        <w:pStyle w:val="4"/>
        <w:spacing w:before="0" w:after="0" w:line="560" w:lineRule="exact"/>
        <w:ind w:firstLine="643"/>
        <w:rPr>
          <w:rFonts w:ascii="Times New Roman" w:hAnsi="Times New Roman" w:eastAsia="楷体" w:cs="Times New Roman"/>
          <w:color w:val="000000"/>
          <w:kern w:val="0"/>
        </w:rPr>
      </w:pPr>
      <w:bookmarkStart w:id="34" w:name="_Toc24854"/>
      <w:bookmarkStart w:id="35" w:name="_Toc67911610"/>
      <w:r>
        <w:rPr>
          <w:rFonts w:ascii="Times New Roman" w:hAnsi="Times New Roman" w:eastAsia="楷体" w:cs="Times New Roman"/>
          <w:color w:val="000000"/>
          <w:kern w:val="0"/>
        </w:rPr>
        <w:t>（二）主要绩效</w:t>
      </w:r>
      <w:bookmarkEnd w:id="34"/>
      <w:bookmarkEnd w:id="35"/>
    </w:p>
    <w:p>
      <w:pPr>
        <w:spacing w:line="560" w:lineRule="exact"/>
        <w:ind w:firstLine="672"/>
        <w:rPr>
          <w:rFonts w:hint="eastAsia" w:ascii="Times New Roman" w:hAnsi="Times New Roman" w:cs="Times New Roman"/>
          <w:spacing w:val="8"/>
          <w:sz w:val="32"/>
          <w:szCs w:val="32"/>
        </w:rPr>
      </w:pPr>
      <w:r>
        <w:rPr>
          <w:rFonts w:ascii="Times New Roman" w:hAnsi="Times New Roman" w:cs="Times New Roman"/>
          <w:color w:val="000000"/>
          <w:kern w:val="0"/>
          <w:sz w:val="32"/>
          <w:szCs w:val="32"/>
        </w:rPr>
        <w:t>该项目资金区财政及时拨</w:t>
      </w:r>
      <w:r>
        <w:rPr>
          <w:rFonts w:hint="eastAsia" w:ascii="Times New Roman" w:hAnsi="Times New Roman" w:cs="Times New Roman"/>
          <w:spacing w:val="8"/>
          <w:sz w:val="32"/>
          <w:szCs w:val="32"/>
        </w:rPr>
        <w:t>付，单位在此评价期间内，有序完成设定目标的部分工作任务，①及时准确保障雇员和临聘人员</w:t>
      </w:r>
      <w:r>
        <w:rPr>
          <w:rFonts w:hint="eastAsia" w:ascii="Times New Roman" w:hAnsi="Times New Roman" w:cs="Times New Roman"/>
          <w:spacing w:val="8"/>
          <w:sz w:val="32"/>
          <w:szCs w:val="32"/>
          <w:lang w:val="en-US" w:eastAsia="zh-CN"/>
        </w:rPr>
        <w:t>2人</w:t>
      </w:r>
      <w:r>
        <w:rPr>
          <w:rFonts w:hint="eastAsia" w:ascii="Times New Roman" w:hAnsi="Times New Roman" w:cs="Times New Roman"/>
          <w:spacing w:val="8"/>
          <w:sz w:val="32"/>
          <w:szCs w:val="32"/>
        </w:rPr>
        <w:t>工资足额及时发放;</w:t>
      </w:r>
      <w:r>
        <w:rPr>
          <w:rFonts w:hint="eastAsia" w:ascii="Times New Roman" w:hAnsi="Times New Roman" w:cs="Times New Roman"/>
          <w:spacing w:val="8"/>
          <w:sz w:val="32"/>
          <w:szCs w:val="32"/>
          <w:lang w:val="en-US" w:eastAsia="zh-CN"/>
        </w:rPr>
        <w:t>因</w:t>
      </w:r>
      <w:r>
        <w:rPr>
          <w:rFonts w:hint="eastAsia" w:ascii="Times New Roman" w:hAnsi="Times New Roman" w:cs="Times New Roman"/>
          <w:spacing w:val="8"/>
          <w:sz w:val="32"/>
          <w:szCs w:val="32"/>
          <w:u w:val="none"/>
        </w:rPr>
        <w:t>保障雇员和临聘人员工资足额及时发放，</w:t>
      </w:r>
      <w:r>
        <w:rPr>
          <w:rFonts w:hint="eastAsia" w:ascii="Times New Roman" w:hAnsi="Times New Roman" w:cs="Times New Roman"/>
          <w:spacing w:val="8"/>
          <w:sz w:val="32"/>
          <w:szCs w:val="32"/>
          <w:u w:val="none"/>
          <w:lang w:val="en-US" w:eastAsia="zh-CN"/>
        </w:rPr>
        <w:t>稳定了职工队伍。使工作有序进行</w:t>
      </w:r>
      <w:r>
        <w:rPr>
          <w:rFonts w:ascii="Times New Roman" w:hAnsi="Times New Roman" w:cs="Times New Roman"/>
          <w:spacing w:val="8"/>
          <w:sz w:val="32"/>
          <w:szCs w:val="32"/>
        </w:rPr>
        <w:t>②</w:t>
      </w:r>
      <w:r>
        <w:rPr>
          <w:rFonts w:hint="eastAsia" w:ascii="Times New Roman" w:hAnsi="Times New Roman" w:cs="Times New Roman"/>
          <w:spacing w:val="8"/>
          <w:sz w:val="32"/>
          <w:szCs w:val="32"/>
        </w:rPr>
        <w:t>通过上级部门工作安排</w:t>
      </w:r>
      <w:r>
        <w:rPr>
          <w:rFonts w:ascii="宋体" w:hAnsi="宋体" w:eastAsia="宋体" w:cs="宋体"/>
          <w:sz w:val="24"/>
          <w:szCs w:val="24"/>
        </w:rPr>
        <w:t>，</w:t>
      </w:r>
      <w:r>
        <w:rPr>
          <w:rFonts w:hint="eastAsia" w:ascii="Times New Roman" w:hAnsi="Times New Roman" w:cs="Times New Roman"/>
          <w:spacing w:val="8"/>
          <w:sz w:val="32"/>
          <w:szCs w:val="32"/>
          <w:lang w:val="en-US" w:eastAsia="zh-CN"/>
        </w:rPr>
        <w:t>依据</w:t>
      </w:r>
      <w:r>
        <w:rPr>
          <w:rFonts w:hint="eastAsia" w:ascii="Times New Roman" w:hAnsi="Times New Roman" w:cs="Times New Roman"/>
          <w:spacing w:val="8"/>
          <w:sz w:val="32"/>
          <w:szCs w:val="32"/>
        </w:rPr>
        <w:t>关于印发《新疆维吾尔自治区基层工会经费收支管理办法实施细则》的通知、</w:t>
      </w:r>
      <w:r>
        <w:rPr>
          <w:rFonts w:hint="eastAsia" w:ascii="Times New Roman" w:hAnsi="Times New Roman" w:cs="Times New Roman"/>
          <w:spacing w:val="8"/>
          <w:sz w:val="32"/>
          <w:szCs w:val="32"/>
          <w:lang w:val="en-US" w:eastAsia="zh-CN"/>
        </w:rPr>
        <w:t>和《新疆工会送温暖资金使用过管理实施细则（试行）的通知》要求</w:t>
      </w:r>
      <w:r>
        <w:rPr>
          <w:rFonts w:hint="eastAsia" w:ascii="Times New Roman" w:hAnsi="Times New Roman" w:cs="Times New Roman"/>
          <w:spacing w:val="8"/>
          <w:sz w:val="32"/>
          <w:szCs w:val="32"/>
        </w:rPr>
        <w:t>保质保量的完成工会经费工作，开展职工活动、文体活动、职工集体福利活动、职工教育支出、宣传活动支出、职工疗休养补贴、维权支出、困难职工帮扶费用、助学支出、冬送温暖、夏送清凉、培训费、会议费、专项业务费等活动。</w:t>
      </w:r>
      <w:r>
        <w:rPr>
          <w:rFonts w:hint="eastAsia" w:ascii="Times New Roman" w:hAnsi="Times New Roman" w:cs="Times New Roman"/>
          <w:spacing w:val="8"/>
          <w:sz w:val="32"/>
          <w:szCs w:val="32"/>
          <w:lang w:val="en-US" w:eastAsia="zh-CN"/>
        </w:rPr>
        <w:t>保障工会经费根据各项活动及时到位。丰富了职工生活、让职工感受到政府的关心</w:t>
      </w:r>
      <w:r>
        <w:rPr>
          <w:rFonts w:hint="eastAsia" w:ascii="Times New Roman" w:hAnsi="Times New Roman" w:cs="Times New Roman"/>
          <w:spacing w:val="8"/>
          <w:sz w:val="32"/>
          <w:szCs w:val="32"/>
        </w:rPr>
        <w:t>③</w:t>
      </w:r>
      <w:r>
        <w:rPr>
          <w:rFonts w:hint="eastAsia" w:ascii="Times New Roman" w:hAnsi="Times New Roman" w:cs="Times New Roman"/>
          <w:spacing w:val="8"/>
          <w:sz w:val="32"/>
          <w:szCs w:val="32"/>
          <w:lang w:val="en-US" w:eastAsia="zh-CN"/>
        </w:rPr>
        <w:t>根据财政要求</w:t>
      </w:r>
      <w:r>
        <w:rPr>
          <w:rFonts w:hint="eastAsia" w:ascii="Times New Roman" w:hAnsi="Times New Roman" w:cs="Times New Roman"/>
          <w:spacing w:val="8"/>
          <w:sz w:val="32"/>
          <w:szCs w:val="32"/>
        </w:rPr>
        <w:t>保障行政运行其他工资福利（社保）支出及时。提高职工服务热情，强化职工工作积极性，加强监督工会组织的工作，为全区职工更好的服务</w:t>
      </w:r>
    </w:p>
    <w:p>
      <w:pPr>
        <w:pStyle w:val="3"/>
        <w:spacing w:before="0" w:after="0" w:line="560" w:lineRule="exact"/>
        <w:ind w:left="0" w:leftChars="0" w:firstLine="336" w:firstLineChars="100"/>
        <w:jc w:val="left"/>
        <w:rPr>
          <w:rFonts w:ascii="Times New Roman" w:hAnsi="Times New Roman" w:eastAsia="黑体" w:cs="Times New Roman"/>
          <w:b w:val="0"/>
          <w:bCs w:val="0"/>
          <w:color w:val="000000"/>
          <w:spacing w:val="8"/>
          <w:kern w:val="0"/>
          <w:sz w:val="32"/>
          <w:szCs w:val="32"/>
        </w:rPr>
      </w:pPr>
      <w:bookmarkStart w:id="36" w:name="_Toc67911611"/>
      <w:bookmarkStart w:id="37" w:name="_Toc30399"/>
      <w:r>
        <w:rPr>
          <w:rFonts w:ascii="Times New Roman" w:hAnsi="Times New Roman" w:eastAsia="黑体" w:cs="Times New Roman"/>
          <w:b w:val="0"/>
          <w:bCs w:val="0"/>
          <w:color w:val="000000"/>
          <w:spacing w:val="8"/>
          <w:kern w:val="0"/>
          <w:sz w:val="32"/>
          <w:szCs w:val="32"/>
        </w:rPr>
        <w:t>四、绩效评价指标分析</w:t>
      </w:r>
      <w:bookmarkEnd w:id="36"/>
      <w:bookmarkEnd w:id="37"/>
    </w:p>
    <w:p>
      <w:pPr>
        <w:pStyle w:val="4"/>
        <w:spacing w:before="0" w:after="0" w:line="560" w:lineRule="exact"/>
        <w:ind w:firstLine="643"/>
        <w:rPr>
          <w:rFonts w:ascii="Times New Roman" w:hAnsi="Times New Roman" w:eastAsia="楷体" w:cs="Times New Roman"/>
          <w:color w:val="000000"/>
          <w:kern w:val="0"/>
        </w:rPr>
      </w:pPr>
      <w:bookmarkStart w:id="38" w:name="_Toc1030"/>
      <w:bookmarkStart w:id="39" w:name="_Toc67911612"/>
      <w:r>
        <w:rPr>
          <w:rFonts w:ascii="Times New Roman" w:hAnsi="Times New Roman" w:eastAsia="楷体" w:cs="Times New Roman"/>
          <w:color w:val="000000"/>
          <w:kern w:val="0"/>
        </w:rPr>
        <w:t>（一）项目决策情况</w:t>
      </w:r>
      <w:bookmarkEnd w:id="38"/>
      <w:bookmarkEnd w:id="39"/>
    </w:p>
    <w:p>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项目决算指标由3个二级指标和6个三级指标构成，权重为20分，实际得分</w:t>
      </w:r>
      <w:r>
        <w:rPr>
          <w:rFonts w:hint="eastAsia" w:ascii="Times New Roman" w:hAnsi="Times New Roman" w:cs="Times New Roman"/>
          <w:color w:val="000000"/>
          <w:kern w:val="0"/>
          <w:sz w:val="32"/>
          <w:szCs w:val="32"/>
          <w:lang w:val="en-US" w:eastAsia="zh-CN"/>
        </w:rPr>
        <w:t>20</w:t>
      </w:r>
      <w:r>
        <w:rPr>
          <w:rFonts w:ascii="Times New Roman" w:hAnsi="Times New Roman" w:cs="Times New Roman"/>
          <w:color w:val="000000"/>
          <w:kern w:val="0"/>
          <w:sz w:val="32"/>
          <w:szCs w:val="32"/>
        </w:rPr>
        <w:t>分。</w:t>
      </w:r>
    </w:p>
    <w:p>
      <w:pPr>
        <w:pStyle w:val="5"/>
        <w:spacing w:before="0" w:after="0" w:line="560" w:lineRule="exact"/>
        <w:ind w:firstLine="643"/>
        <w:rPr>
          <w:rFonts w:ascii="Times New Roman" w:hAnsi="Times New Roman" w:cs="Times New Roman"/>
        </w:rPr>
      </w:pPr>
      <w:bookmarkStart w:id="40" w:name="_Toc32411"/>
      <w:r>
        <w:rPr>
          <w:rFonts w:ascii="Times New Roman" w:hAnsi="Times New Roman" w:cs="Times New Roman"/>
        </w:rPr>
        <w:t>1. 项目立项</w:t>
      </w:r>
      <w:bookmarkEnd w:id="40"/>
    </w:p>
    <w:p>
      <w:pPr>
        <w:spacing w:line="560" w:lineRule="exact"/>
        <w:ind w:firstLine="672"/>
        <w:rPr>
          <w:rFonts w:ascii="Times New Roman" w:hAnsi="Times New Roman" w:cs="Times New Roman"/>
          <w:sz w:val="32"/>
          <w:szCs w:val="32"/>
        </w:rPr>
      </w:pPr>
      <w:r>
        <w:rPr>
          <w:rFonts w:ascii="Times New Roman" w:hAnsi="Times New Roman" w:cs="Times New Roman"/>
          <w:b/>
          <w:bCs/>
          <w:sz w:val="32"/>
          <w:szCs w:val="32"/>
        </w:rPr>
        <w:t>立项依据充分性：</w:t>
      </w:r>
      <w:r>
        <w:rPr>
          <w:rFonts w:ascii="Times New Roman" w:hAnsi="Times New Roman" w:cs="Times New Roman"/>
          <w:sz w:val="32"/>
          <w:szCs w:val="32"/>
        </w:rPr>
        <w:t>项目立项符合国家法律法规、政策要求。</w:t>
      </w:r>
      <w:r>
        <w:rPr>
          <w:rFonts w:hint="eastAsia" w:ascii="Times New Roman" w:hAnsi="Times New Roman" w:cs="Times New Roman"/>
          <w:sz w:val="32"/>
          <w:szCs w:val="32"/>
          <w:lang w:val="en-US" w:eastAsia="zh-CN"/>
        </w:rPr>
        <w:t>根据</w:t>
      </w:r>
      <w:r>
        <w:rPr>
          <w:rFonts w:hint="eastAsia" w:ascii="Times New Roman" w:hAnsi="Times New Roman" w:cs="Times New Roman"/>
          <w:spacing w:val="8"/>
          <w:sz w:val="32"/>
          <w:szCs w:val="32"/>
        </w:rPr>
        <w:t>关于印发《新疆维吾尔自治区基层工会经费收支管理办法实施细则》的通知（新工办</w:t>
      </w:r>
      <w:r>
        <w:rPr>
          <w:rFonts w:ascii="Times New Roman" w:hAnsi="Times New Roman" w:cs="Times New Roman"/>
          <w:spacing w:val="8"/>
          <w:sz w:val="32"/>
          <w:szCs w:val="32"/>
        </w:rPr>
        <w:t>〔</w:t>
      </w:r>
      <w:r>
        <w:rPr>
          <w:rFonts w:hint="eastAsia" w:ascii="Times New Roman" w:hAnsi="Times New Roman" w:cs="Times New Roman"/>
          <w:spacing w:val="8"/>
          <w:sz w:val="32"/>
          <w:szCs w:val="32"/>
        </w:rPr>
        <w:t>2019</w:t>
      </w:r>
      <w:r>
        <w:rPr>
          <w:rFonts w:ascii="Times New Roman" w:hAnsi="Times New Roman" w:cs="Times New Roman"/>
          <w:spacing w:val="8"/>
          <w:sz w:val="32"/>
          <w:szCs w:val="32"/>
        </w:rPr>
        <w:t>〕</w:t>
      </w:r>
      <w:r>
        <w:rPr>
          <w:rFonts w:hint="eastAsia" w:ascii="Times New Roman" w:hAnsi="Times New Roman" w:cs="Times New Roman"/>
          <w:spacing w:val="8"/>
          <w:sz w:val="32"/>
          <w:szCs w:val="32"/>
        </w:rPr>
        <w:t>3</w:t>
      </w:r>
      <w:r>
        <w:rPr>
          <w:rFonts w:ascii="Times New Roman" w:hAnsi="Times New Roman" w:cs="Times New Roman"/>
          <w:spacing w:val="8"/>
          <w:sz w:val="32"/>
          <w:szCs w:val="32"/>
        </w:rPr>
        <w:t>号）</w:t>
      </w:r>
      <w:r>
        <w:rPr>
          <w:rFonts w:hint="eastAsia" w:ascii="Times New Roman" w:hAnsi="Times New Roman" w:cs="Times New Roman"/>
          <w:spacing w:val="8"/>
          <w:sz w:val="32"/>
          <w:szCs w:val="32"/>
          <w:highlight w:val="none"/>
          <w:lang w:val="en-US" w:eastAsia="zh-CN"/>
        </w:rPr>
        <w:t>和聘用人员</w:t>
      </w:r>
      <w:r>
        <w:rPr>
          <w:rFonts w:hint="eastAsia" w:ascii="Times New Roman" w:hAnsi="Times New Roman" w:cs="Times New Roman"/>
          <w:spacing w:val="8"/>
          <w:sz w:val="32"/>
          <w:szCs w:val="32"/>
          <w:highlight w:val="none"/>
        </w:rPr>
        <w:t>制度</w:t>
      </w:r>
      <w:r>
        <w:rPr>
          <w:rFonts w:hint="eastAsia" w:ascii="Times New Roman" w:hAnsi="Times New Roman" w:cs="Times New Roman"/>
          <w:spacing w:val="8"/>
          <w:sz w:val="32"/>
          <w:szCs w:val="32"/>
          <w:highlight w:val="none"/>
          <w:lang w:eastAsia="zh-CN"/>
        </w:rPr>
        <w:t>（</w:t>
      </w:r>
      <w:r>
        <w:rPr>
          <w:rFonts w:hint="eastAsia" w:ascii="Times New Roman" w:hAnsi="Times New Roman" w:cs="Times New Roman"/>
          <w:spacing w:val="8"/>
          <w:sz w:val="32"/>
          <w:szCs w:val="32"/>
          <w:highlight w:val="none"/>
          <w:lang w:val="en-US" w:eastAsia="zh-CN"/>
        </w:rPr>
        <w:t>2013-11-18）的相关规定使用资金和人员管理，</w:t>
      </w:r>
      <w:r>
        <w:rPr>
          <w:rFonts w:ascii="Times New Roman" w:hAnsi="Times New Roman" w:cs="Times New Roman"/>
          <w:sz w:val="32"/>
          <w:szCs w:val="32"/>
        </w:rPr>
        <w:t>同时，项目与部门职责范围相符，属于部门履职所需。此外，本项目属于公共财政支持范围，符合中央、地方事权支出责任划分原则。因此，立项依据充分，得4分。</w:t>
      </w:r>
    </w:p>
    <w:p>
      <w:pPr>
        <w:spacing w:line="560" w:lineRule="exact"/>
        <w:ind w:firstLine="643"/>
        <w:rPr>
          <w:rFonts w:ascii="Times New Roman" w:hAnsi="Times New Roman" w:cs="Times New Roman"/>
          <w:szCs w:val="28"/>
        </w:rPr>
      </w:pPr>
      <w:r>
        <w:rPr>
          <w:rFonts w:ascii="Times New Roman" w:hAnsi="Times New Roman" w:cs="Times New Roman"/>
          <w:b/>
          <w:bCs/>
          <w:sz w:val="32"/>
          <w:szCs w:val="32"/>
        </w:rPr>
        <w:t>立项程序规范性:</w:t>
      </w:r>
      <w:r>
        <w:rPr>
          <w:rFonts w:ascii="Times New Roman" w:hAnsi="Times New Roman" w:cs="Times New Roman"/>
          <w:sz w:val="32"/>
          <w:szCs w:val="32"/>
        </w:rPr>
        <w:t>项目按照规定的程序申请设立，审批文件、材料符合相关要求，故立项程序规范，得4分。</w:t>
      </w:r>
    </w:p>
    <w:p>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lang w:val="en-US" w:eastAsia="zh-CN"/>
        </w:rPr>
        <w:t>8</w:t>
      </w:r>
      <w:r>
        <w:rPr>
          <w:rFonts w:ascii="Times New Roman" w:hAnsi="Times New Roman" w:cs="Times New Roman"/>
          <w:b/>
          <w:bCs/>
          <w:sz w:val="32"/>
          <w:szCs w:val="32"/>
        </w:rPr>
        <w:t>分。</w:t>
      </w:r>
    </w:p>
    <w:p>
      <w:pPr>
        <w:pStyle w:val="5"/>
        <w:spacing w:before="0" w:after="0" w:line="560" w:lineRule="exact"/>
        <w:ind w:firstLine="643"/>
        <w:rPr>
          <w:rFonts w:ascii="Times New Roman" w:hAnsi="Times New Roman" w:cs="Times New Roman"/>
        </w:rPr>
      </w:pPr>
      <w:bookmarkStart w:id="41" w:name="_Toc16395"/>
      <w:r>
        <w:rPr>
          <w:rFonts w:ascii="Times New Roman" w:hAnsi="Times New Roman" w:cs="Times New Roman"/>
        </w:rPr>
        <w:t>2. 绩效目标</w:t>
      </w:r>
      <w:bookmarkEnd w:id="41"/>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本项目的绩效目标按照产出、效益构建绩效评价指标，且具有明确性、可衡量性、可实现性、相关性和时限性等特点，</w:t>
      </w:r>
      <w:r>
        <w:rPr>
          <w:rFonts w:hint="eastAsia" w:ascii="Times New Roman" w:hAnsi="Times New Roman" w:cs="Times New Roman"/>
          <w:sz w:val="32"/>
          <w:szCs w:val="32"/>
          <w:lang w:val="en-US" w:eastAsia="zh-CN"/>
        </w:rPr>
        <w:t>本项目绩效目标与实际工作内容有相关性，预期产出效益和效果符合正常的业绩水平，项目与预算确定的金额和资金相匹配，</w:t>
      </w:r>
      <w:r>
        <w:rPr>
          <w:rFonts w:ascii="Times New Roman" w:hAnsi="Times New Roman" w:cs="Times New Roman"/>
          <w:sz w:val="32"/>
          <w:szCs w:val="32"/>
        </w:rPr>
        <w:t>能较为全面地反映本项目的产出和效益，故绩效目标合理性指标得分3分。</w:t>
      </w:r>
    </w:p>
    <w:p>
      <w:pPr>
        <w:spacing w:line="560" w:lineRule="exact"/>
        <w:ind w:firstLine="672"/>
        <w:rPr>
          <w:rFonts w:ascii="Times New Roman" w:hAnsi="Times New Roman" w:cs="Times New Roman"/>
          <w:kern w:val="0"/>
          <w:sz w:val="32"/>
          <w:szCs w:val="32"/>
        </w:rPr>
      </w:pPr>
      <w:r>
        <w:rPr>
          <w:rFonts w:ascii="Times New Roman" w:hAnsi="Times New Roman" w:cs="Times New Roman"/>
          <w:b/>
          <w:kern w:val="0"/>
          <w:sz w:val="32"/>
          <w:szCs w:val="32"/>
        </w:rPr>
        <w:t>绩效目标明确性：</w:t>
      </w:r>
      <w:r>
        <w:rPr>
          <w:rFonts w:hint="eastAsia" w:ascii="Times New Roman" w:hAnsi="Times New Roman" w:cs="Times New Roman"/>
          <w:spacing w:val="8"/>
          <w:sz w:val="32"/>
          <w:szCs w:val="32"/>
          <w:u w:val="none"/>
          <w:lang w:val="en-US" w:eastAsia="zh-CN"/>
        </w:rPr>
        <w:t>本项目及</w:t>
      </w:r>
      <w:r>
        <w:rPr>
          <w:rFonts w:hint="eastAsia" w:ascii="Times New Roman" w:hAnsi="Times New Roman" w:cs="Times New Roman"/>
          <w:spacing w:val="8"/>
          <w:sz w:val="32"/>
          <w:szCs w:val="32"/>
        </w:rPr>
        <w:t>时准确保障雇员和临聘人员工资足额及时发放</w:t>
      </w:r>
      <w:r>
        <w:rPr>
          <w:rFonts w:hint="eastAsia" w:ascii="Times New Roman" w:hAnsi="Times New Roman" w:cs="Times New Roman"/>
          <w:spacing w:val="8"/>
          <w:sz w:val="32"/>
          <w:szCs w:val="32"/>
          <w:u w:val="none"/>
          <w:lang w:val="en-US" w:eastAsia="zh-CN"/>
        </w:rPr>
        <w:t>稳定了职工队伍。使部门工作有序进行</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同时</w:t>
      </w:r>
      <w:r>
        <w:rPr>
          <w:rFonts w:hint="eastAsia" w:ascii="Times New Roman" w:hAnsi="Times New Roman" w:cs="Times New Roman"/>
          <w:spacing w:val="8"/>
          <w:sz w:val="32"/>
          <w:szCs w:val="32"/>
        </w:rPr>
        <w:t>通过上级部门工作安排</w:t>
      </w:r>
      <w:r>
        <w:rPr>
          <w:rFonts w:ascii="宋体" w:hAnsi="宋体" w:eastAsia="宋体" w:cs="宋体"/>
          <w:sz w:val="24"/>
          <w:szCs w:val="24"/>
        </w:rPr>
        <w:t>，</w:t>
      </w:r>
      <w:r>
        <w:rPr>
          <w:rFonts w:hint="eastAsia" w:ascii="Times New Roman" w:hAnsi="Times New Roman" w:cs="Times New Roman"/>
          <w:spacing w:val="8"/>
          <w:sz w:val="32"/>
          <w:szCs w:val="32"/>
        </w:rPr>
        <w:t>保质保量的完成工会经费工作，开展职工活动、文体活动、职工集体福利活动、职工教育支出、宣传活动支出、职工疗休养补贴、维权支出、困难职工帮扶费用、助学支出、冬送温暖、夏送清凉、培训费、会议费、专项业务费等活动。</w:t>
      </w:r>
      <w:r>
        <w:rPr>
          <w:rFonts w:hint="eastAsia" w:ascii="Times New Roman" w:hAnsi="Times New Roman" w:cs="Times New Roman"/>
          <w:spacing w:val="8"/>
          <w:sz w:val="32"/>
          <w:szCs w:val="32"/>
          <w:lang w:val="en-US" w:eastAsia="zh-CN"/>
        </w:rPr>
        <w:t>丰富了职工生活、让职工感受到政府的关心，</w:t>
      </w:r>
      <w:r>
        <w:rPr>
          <w:rFonts w:hint="eastAsia" w:ascii="Times New Roman" w:hAnsi="Times New Roman" w:cs="Times New Roman"/>
          <w:spacing w:val="8"/>
          <w:sz w:val="32"/>
          <w:szCs w:val="32"/>
        </w:rPr>
        <w:t>保障行政运行其他工资福利（社保）支出及时</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提高职工服务热情，强化职工工作积极性，加强监督工会组织的工作，为全区职工更好的服务</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以上均可通过数量指标质量指标时效指标和成本指标予以量化，并具有确切的评价标准，且指标设定均与目标相关。各项指标均能在现实条件下收集到相关数据进行佐证，列如财务部门的资金支付相关凭证工作总结等，并与当年项目计划相对应，故绩效目标明确性指标的分3分。</w:t>
      </w:r>
    </w:p>
    <w:p>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lang w:val="en-US" w:eastAsia="zh-CN"/>
        </w:rPr>
        <w:t>6</w:t>
      </w:r>
      <w:r>
        <w:rPr>
          <w:rFonts w:ascii="Times New Roman" w:hAnsi="Times New Roman" w:cs="Times New Roman"/>
          <w:b/>
          <w:kern w:val="0"/>
          <w:sz w:val="32"/>
          <w:szCs w:val="32"/>
        </w:rPr>
        <w:t>分。</w:t>
      </w:r>
    </w:p>
    <w:p>
      <w:pPr>
        <w:pStyle w:val="5"/>
        <w:spacing w:before="0" w:after="0" w:line="560" w:lineRule="exact"/>
        <w:ind w:firstLine="643"/>
        <w:rPr>
          <w:rFonts w:ascii="Times New Roman" w:hAnsi="Times New Roman" w:cs="Times New Roman"/>
        </w:rPr>
      </w:pPr>
      <w:bookmarkStart w:id="42" w:name="_Toc24290"/>
      <w:r>
        <w:rPr>
          <w:rFonts w:ascii="Times New Roman" w:hAnsi="Times New Roman" w:cs="Times New Roman"/>
        </w:rPr>
        <w:t>3. 资金投入</w:t>
      </w:r>
      <w:bookmarkEnd w:id="42"/>
    </w:p>
    <w:p>
      <w:pPr>
        <w:spacing w:line="560" w:lineRule="exact"/>
        <w:ind w:firstLine="643"/>
        <w:rPr>
          <w:rFonts w:ascii="Times New Roman" w:hAnsi="Times New Roman" w:cs="Times New Roman"/>
          <w:kern w:val="0"/>
          <w:sz w:val="32"/>
          <w:szCs w:val="32"/>
        </w:rPr>
      </w:pPr>
      <w:r>
        <w:rPr>
          <w:rFonts w:ascii="Times New Roman" w:hAnsi="Times New Roman" w:cs="Times New Roman"/>
          <w:b/>
          <w:kern w:val="0"/>
          <w:sz w:val="32"/>
          <w:szCs w:val="32"/>
        </w:rPr>
        <w:t>预算编制科学性：</w:t>
      </w:r>
      <w:r>
        <w:rPr>
          <w:rFonts w:hint="eastAsia" w:ascii="Times New Roman" w:hAnsi="Times New Roman" w:cs="Times New Roman"/>
          <w:kern w:val="0"/>
          <w:sz w:val="32"/>
          <w:szCs w:val="32"/>
          <w:lang w:val="en-US" w:eastAsia="zh-CN"/>
        </w:rPr>
        <w:t>项目资金预算科学，项目预算编制经过科学论证，预算内容与项目内容匹配，预算额度测算依据充分，按照标准编制，预算确定的项目资金额或资金量与工作内容相匹配；预算资金分配依据充分，资金分配额度合理。顾预算编制科学性指标得分3分</w:t>
      </w:r>
      <w:r>
        <w:rPr>
          <w:rFonts w:ascii="Times New Roman" w:hAnsi="Times New Roman" w:cs="Times New Roman"/>
          <w:kern w:val="0"/>
          <w:sz w:val="32"/>
          <w:szCs w:val="32"/>
        </w:rPr>
        <w:t>。</w:t>
      </w:r>
    </w:p>
    <w:p>
      <w:pPr>
        <w:spacing w:line="560" w:lineRule="exact"/>
        <w:ind w:firstLine="643"/>
        <w:rPr>
          <w:rFonts w:ascii="Times New Roman" w:hAnsi="Times New Roman" w:cs="Times New Roman"/>
          <w:kern w:val="0"/>
          <w:sz w:val="32"/>
          <w:szCs w:val="32"/>
        </w:rPr>
      </w:pPr>
      <w:r>
        <w:rPr>
          <w:rFonts w:ascii="Times New Roman" w:hAnsi="Times New Roman" w:cs="Times New Roman"/>
          <w:b/>
          <w:bCs/>
          <w:sz w:val="32"/>
          <w:szCs w:val="32"/>
        </w:rPr>
        <w:t>资金分配合理性</w:t>
      </w:r>
      <w:r>
        <w:rPr>
          <w:rFonts w:ascii="Times New Roman" w:hAnsi="Times New Roman" w:cs="Times New Roman"/>
          <w:sz w:val="32"/>
          <w:szCs w:val="32"/>
        </w:rPr>
        <w:t xml:space="preserve">： </w:t>
      </w:r>
      <w:r>
        <w:rPr>
          <w:rFonts w:hint="eastAsia" w:ascii="Times New Roman" w:hAnsi="Times New Roman" w:cs="Times New Roman"/>
          <w:kern w:val="0"/>
          <w:sz w:val="32"/>
          <w:szCs w:val="32"/>
          <w:lang w:val="en-US" w:eastAsia="zh-CN"/>
        </w:rPr>
        <w:t>资金预算内容与项目内容匹配，预算额度测算依据充分，按照标准编制，预算确定的项目资金额或资金量与工作内容相匹配；预算资金分配依据充分，资金分配额度合理。顾预算编制科学性指标得分3分</w:t>
      </w:r>
      <w:r>
        <w:rPr>
          <w:rFonts w:ascii="Times New Roman" w:hAnsi="Times New Roman" w:cs="Times New Roman"/>
          <w:kern w:val="0"/>
          <w:sz w:val="32"/>
          <w:szCs w:val="32"/>
        </w:rPr>
        <w:t>。</w:t>
      </w:r>
    </w:p>
    <w:p>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lang w:val="en-US" w:eastAsia="zh-CN"/>
        </w:rPr>
        <w:t>6</w:t>
      </w:r>
      <w:r>
        <w:rPr>
          <w:rFonts w:ascii="Times New Roman" w:hAnsi="Times New Roman" w:cs="Times New Roman"/>
          <w:b/>
          <w:kern w:val="0"/>
          <w:sz w:val="32"/>
          <w:szCs w:val="32"/>
        </w:rPr>
        <w:t>分。</w:t>
      </w:r>
    </w:p>
    <w:p>
      <w:pPr>
        <w:pStyle w:val="4"/>
        <w:spacing w:before="0" w:after="0" w:line="560" w:lineRule="exact"/>
        <w:ind w:firstLine="643"/>
        <w:rPr>
          <w:rFonts w:ascii="Times New Roman" w:hAnsi="Times New Roman" w:eastAsia="楷体" w:cs="Times New Roman"/>
          <w:color w:val="000000"/>
          <w:kern w:val="0"/>
        </w:rPr>
      </w:pPr>
      <w:bookmarkStart w:id="43" w:name="_Toc13530"/>
      <w:bookmarkStart w:id="44" w:name="_Toc67911613"/>
      <w:r>
        <w:rPr>
          <w:rFonts w:ascii="Times New Roman" w:hAnsi="Times New Roman" w:eastAsia="楷体" w:cs="Times New Roman"/>
          <w:color w:val="000000"/>
          <w:kern w:val="0"/>
        </w:rPr>
        <w:t>（二）项目过程情况</w:t>
      </w:r>
      <w:bookmarkEnd w:id="43"/>
      <w:bookmarkEnd w:id="44"/>
    </w:p>
    <w:p>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lang w:val="en-US" w:eastAsia="zh-CN"/>
        </w:rPr>
        <w:t>20</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45" w:name="_Toc18346"/>
      <w:r>
        <w:rPr>
          <w:rFonts w:ascii="Times New Roman" w:hAnsi="Times New Roman" w:cs="Times New Roman"/>
        </w:rPr>
        <w:t>1. 资金管理</w:t>
      </w:r>
      <w:bookmarkEnd w:id="45"/>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资金到位率：</w:t>
      </w:r>
      <w:r>
        <w:rPr>
          <w:rFonts w:hint="eastAsia" w:ascii="Times New Roman" w:hAnsi="Times New Roman" w:cs="Times New Roman"/>
          <w:spacing w:val="8"/>
          <w:sz w:val="32"/>
          <w:szCs w:val="32"/>
        </w:rPr>
        <w:t>按区财政局《关于消化2022年新增暂付款项的通知》要求，</w:t>
      </w:r>
      <w:r>
        <w:rPr>
          <w:rFonts w:hint="eastAsia" w:ascii="Times New Roman" w:hAnsi="Times New Roman" w:cs="Times New Roman"/>
          <w:spacing w:val="8"/>
          <w:sz w:val="32"/>
          <w:szCs w:val="32"/>
          <w:lang w:val="en-US" w:eastAsia="zh-CN"/>
        </w:rPr>
        <w:t>于2023年初财政安排预算资金602.03万元，资金到位602.03万元，资金到位率100%</w:t>
      </w:r>
      <w:r>
        <w:rPr>
          <w:rFonts w:ascii="Times New Roman" w:hAnsi="Times New Roman" w:cs="Times New Roman"/>
          <w:b/>
          <w:kern w:val="0"/>
          <w:sz w:val="32"/>
          <w:szCs w:val="32"/>
        </w:rPr>
        <w:t>。</w:t>
      </w:r>
      <w:r>
        <w:rPr>
          <w:rFonts w:hint="eastAsia" w:ascii="Times New Roman" w:hAnsi="Times New Roman" w:cs="Times New Roman"/>
          <w:spacing w:val="8"/>
          <w:sz w:val="32"/>
          <w:szCs w:val="32"/>
          <w:lang w:val="en-US" w:eastAsia="zh-CN"/>
        </w:rPr>
        <w:t>本项目的所有子项目资金均于2022年支付完成，资金做往来账处理，按照通知要求，2023年将该款项做账务处理列入当年收支，且年中无资金调整情况。故资金到位率指标得分5分</w:t>
      </w:r>
      <w:r>
        <w:rPr>
          <w:rFonts w:ascii="Times New Roman" w:hAnsi="Times New Roman" w:cs="Times New Roman"/>
          <w:kern w:val="0"/>
          <w:sz w:val="32"/>
          <w:szCs w:val="32"/>
        </w:rPr>
        <w:t>。</w:t>
      </w:r>
    </w:p>
    <w:p>
      <w:pPr>
        <w:spacing w:line="560" w:lineRule="exact"/>
        <w:ind w:firstLine="640"/>
        <w:rPr>
          <w:rFonts w:ascii="Times New Roman" w:hAnsi="Times New Roman" w:cs="Times New Roman"/>
          <w:sz w:val="32"/>
          <w:szCs w:val="32"/>
        </w:rPr>
      </w:pP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预算执行率：</w:t>
      </w:r>
      <w:r>
        <w:rPr>
          <w:rFonts w:hint="eastAsia" w:ascii="Times New Roman" w:hAnsi="Times New Roman" w:cs="Times New Roman"/>
          <w:spacing w:val="8"/>
          <w:sz w:val="32"/>
          <w:szCs w:val="32"/>
          <w:lang w:val="en-US" w:eastAsia="zh-CN"/>
        </w:rPr>
        <w:t>2023年年初部分预算批复，共安排预算602.03万元，资金执行率602.03万元，资金执行率100%，本项目内所有。子项目资金均于2022年支付完成，资金做往来账处理，按照通知要求，2023年6月将该款项做账务处理列入当年收支，</w:t>
      </w:r>
      <w:r>
        <w:rPr>
          <w:rFonts w:ascii="Times New Roman" w:hAnsi="Times New Roman" w:cs="Times New Roman"/>
          <w:sz w:val="32"/>
          <w:szCs w:val="32"/>
        </w:rPr>
        <w:t>故预算执行率得分为</w:t>
      </w:r>
      <w:r>
        <w:rPr>
          <w:rFonts w:hint="eastAsia" w:ascii="Times New Roman" w:hAnsi="Times New Roman" w:cs="Times New Roman"/>
          <w:sz w:val="32"/>
          <w:szCs w:val="32"/>
          <w:lang w:val="en-US" w:eastAsia="zh-CN"/>
        </w:rPr>
        <w:t>5</w:t>
      </w:r>
      <w:r>
        <w:rPr>
          <w:rFonts w:ascii="Times New Roman" w:hAnsi="Times New Roman" w:cs="Times New Roman"/>
          <w:sz w:val="32"/>
          <w:szCs w:val="32"/>
        </w:rPr>
        <w:t>分。</w:t>
      </w:r>
    </w:p>
    <w:p>
      <w:pPr>
        <w:spacing w:line="560" w:lineRule="exact"/>
        <w:ind w:firstLine="643"/>
        <w:rPr>
          <w:rFonts w:ascii="Times New Roman" w:hAnsi="Times New Roman" w:cs="Times New Roman"/>
          <w:b/>
          <w:bCs/>
          <w:sz w:val="32"/>
          <w:szCs w:val="32"/>
        </w:rPr>
      </w:pP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资金使用合规性：</w:t>
      </w:r>
      <w:r>
        <w:rPr>
          <w:rFonts w:ascii="Times New Roman" w:hAnsi="Times New Roman" w:cs="Times New Roman"/>
          <w:sz w:val="32"/>
          <w:szCs w:val="32"/>
        </w:rPr>
        <w:t>本项目资金的使用符合</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中华人民共和国财政部令第113号-行政单位财务规则》及其他国家财经法规和财务管理制度以及有关专项资金管理办法的规定。同时资金的拨付有完整的审批程序，需要提供相关资金支付申请，发票合同等手续，</w:t>
      </w:r>
      <w:r>
        <w:rPr>
          <w:rFonts w:ascii="Times New Roman" w:hAnsi="Times New Roman" w:cs="Times New Roman"/>
          <w:sz w:val="32"/>
          <w:szCs w:val="32"/>
        </w:rPr>
        <w:t>符合项目预算批复或合同规定的用途，不存在截留、挤占、挪用、虚列支出等情况。故资金使用合规性得分为3分。</w:t>
      </w:r>
    </w:p>
    <w:p>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lang w:val="en-US" w:eastAsia="zh-CN"/>
        </w:rPr>
        <w:t>13</w:t>
      </w:r>
      <w:r>
        <w:rPr>
          <w:rFonts w:ascii="Times New Roman" w:hAnsi="Times New Roman" w:cs="Times New Roman"/>
          <w:b/>
          <w:kern w:val="0"/>
          <w:sz w:val="32"/>
          <w:szCs w:val="32"/>
        </w:rPr>
        <w:t>分。</w:t>
      </w:r>
    </w:p>
    <w:p>
      <w:pPr>
        <w:pStyle w:val="5"/>
        <w:spacing w:before="0" w:after="0" w:line="560" w:lineRule="exact"/>
        <w:ind w:firstLine="643"/>
        <w:rPr>
          <w:rFonts w:ascii="Times New Roman" w:hAnsi="Times New Roman" w:cs="Times New Roman"/>
        </w:rPr>
      </w:pPr>
      <w:bookmarkStart w:id="46" w:name="_Toc3203"/>
      <w:r>
        <w:rPr>
          <w:rFonts w:ascii="Times New Roman" w:hAnsi="Times New Roman" w:cs="Times New Roman"/>
        </w:rPr>
        <w:t>2. 组织实施</w:t>
      </w:r>
      <w:bookmarkEnd w:id="46"/>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z w:val="32"/>
          <w:szCs w:val="32"/>
          <w:lang w:val="en-US" w:eastAsia="zh-CN"/>
        </w:rPr>
        <w:t>我单位</w:t>
      </w:r>
      <w:r>
        <w:rPr>
          <w:rFonts w:ascii="Times New Roman" w:hAnsi="Times New Roman" w:cs="Times New Roman"/>
          <w:sz w:val="32"/>
          <w:szCs w:val="32"/>
        </w:rPr>
        <w:t>已制定相应的</w:t>
      </w:r>
      <w:r>
        <w:rPr>
          <w:rFonts w:hint="eastAsia" w:ascii="Times New Roman" w:hAnsi="Times New Roman" w:cs="Times New Roman"/>
          <w:sz w:val="32"/>
          <w:szCs w:val="32"/>
          <w:lang w:val="en-US" w:eastAsia="zh-CN"/>
        </w:rPr>
        <w:t>项目管理制度</w:t>
      </w:r>
      <w:r>
        <w:rPr>
          <w:rFonts w:ascii="Times New Roman" w:hAnsi="Times New Roman" w:cs="Times New Roman"/>
          <w:sz w:val="32"/>
          <w:szCs w:val="32"/>
        </w:rPr>
        <w:t>和</w:t>
      </w:r>
      <w:r>
        <w:rPr>
          <w:rFonts w:hint="eastAsia" w:ascii="Times New Roman" w:hAnsi="Times New Roman" w:cs="Times New Roman"/>
          <w:sz w:val="32"/>
          <w:szCs w:val="32"/>
          <w:lang w:val="en-US" w:eastAsia="zh-CN"/>
        </w:rPr>
        <w:t>财务</w:t>
      </w:r>
      <w:r>
        <w:rPr>
          <w:rFonts w:ascii="Times New Roman" w:hAnsi="Times New Roman" w:cs="Times New Roman"/>
          <w:sz w:val="32"/>
          <w:szCs w:val="32"/>
        </w:rPr>
        <w:t>管理制度，且制度合法、合规、完整，为项目顺利实施提供重要保障。故管理制度健全性得分为3分。</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制度执行有效性：</w:t>
      </w:r>
      <w:r>
        <w:rPr>
          <w:rFonts w:ascii="Times New Roman" w:hAnsi="Times New Roman" w:cs="Times New Roman"/>
          <w:sz w:val="32"/>
          <w:szCs w:val="32"/>
        </w:rPr>
        <w:t>根据评价小组核查情况，</w:t>
      </w:r>
      <w:r>
        <w:rPr>
          <w:rFonts w:hint="eastAsia" w:ascii="Times New Roman" w:hAnsi="Times New Roman" w:cs="Times New Roman"/>
          <w:sz w:val="32"/>
          <w:szCs w:val="32"/>
          <w:lang w:val="en-US" w:eastAsia="zh-CN"/>
        </w:rPr>
        <w:t>我单位</w:t>
      </w:r>
      <w:r>
        <w:rPr>
          <w:rFonts w:ascii="Times New Roman" w:hAnsi="Times New Roman" w:cs="Times New Roman"/>
          <w:sz w:val="32"/>
          <w:szCs w:val="32"/>
        </w:rPr>
        <w:t>严格遵守相关法律法规和相关管理规定，项目调整及支出调整手续完备，整体管理合理有序，项目完成后，及时将会计凭证、</w:t>
      </w:r>
      <w:r>
        <w:rPr>
          <w:rStyle w:val="19"/>
          <w:rFonts w:hint="eastAsia" w:ascii="Times New Roman" w:hAnsi="Times New Roman" w:cs="Times New Roman"/>
          <w:sz w:val="32"/>
          <w:szCs w:val="32"/>
          <w:lang w:val="en-US" w:eastAsia="zh-CN"/>
        </w:rPr>
        <w:t>活动项目信息和采购合同等及时归档</w:t>
      </w:r>
      <w:r>
        <w:rPr>
          <w:rFonts w:ascii="Times New Roman" w:hAnsi="Times New Roman" w:cs="Times New Roman"/>
          <w:sz w:val="32"/>
          <w:szCs w:val="32"/>
        </w:rPr>
        <w:t>，制度执行有效。故制度执行有效性指标得分4分。</w:t>
      </w:r>
    </w:p>
    <w:p>
      <w:pPr>
        <w:autoSpaceDE w:val="0"/>
        <w:spacing w:line="560" w:lineRule="exact"/>
        <w:ind w:firstLine="643"/>
        <w:rPr>
          <w:rFonts w:ascii="Times New Roman" w:hAnsi="Times New Roman" w:cs="Times New Roman"/>
          <w:b/>
          <w:kern w:val="0"/>
          <w:sz w:val="32"/>
          <w:szCs w:val="32"/>
        </w:rPr>
      </w:pPr>
      <w:bookmarkStart w:id="47" w:name="_Hlk67670213"/>
      <w:r>
        <w:rPr>
          <w:rFonts w:ascii="Times New Roman" w:hAnsi="Times New Roman" w:cs="Times New Roman"/>
          <w:b/>
          <w:kern w:val="0"/>
          <w:sz w:val="32"/>
          <w:szCs w:val="32"/>
        </w:rPr>
        <w:t>综上，该指标满分7分，得分7分。</w:t>
      </w:r>
    </w:p>
    <w:bookmarkEnd w:id="47"/>
    <w:p>
      <w:pPr>
        <w:pStyle w:val="4"/>
        <w:spacing w:before="0" w:after="0" w:line="560" w:lineRule="exact"/>
        <w:ind w:firstLine="643"/>
        <w:rPr>
          <w:rFonts w:ascii="Times New Roman" w:hAnsi="Times New Roman" w:eastAsia="楷体" w:cs="Times New Roman"/>
          <w:color w:val="000000"/>
          <w:kern w:val="0"/>
        </w:rPr>
      </w:pPr>
      <w:bookmarkStart w:id="48" w:name="_Toc21456"/>
      <w:bookmarkStart w:id="49" w:name="_Toc67911614"/>
      <w:r>
        <w:rPr>
          <w:rFonts w:ascii="Times New Roman" w:hAnsi="Times New Roman" w:eastAsia="楷体" w:cs="Times New Roman"/>
          <w:color w:val="000000"/>
          <w:kern w:val="0"/>
        </w:rPr>
        <w:t>（三）项目产出情况</w:t>
      </w:r>
      <w:bookmarkEnd w:id="48"/>
      <w:bookmarkEnd w:id="49"/>
    </w:p>
    <w:p>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项目产出指标由4个二级指标和</w:t>
      </w:r>
      <w:r>
        <w:rPr>
          <w:rFonts w:hint="eastAsia" w:ascii="Times New Roman" w:hAnsi="Times New Roman" w:cs="Times New Roman"/>
          <w:sz w:val="32"/>
          <w:szCs w:val="32"/>
          <w:lang w:val="en-US" w:eastAsia="zh-CN"/>
        </w:rPr>
        <w:t>8</w:t>
      </w:r>
      <w:r>
        <w:rPr>
          <w:rFonts w:ascii="Times New Roman" w:hAnsi="Times New Roman" w:cs="Times New Roman"/>
          <w:sz w:val="32"/>
          <w:szCs w:val="32"/>
        </w:rPr>
        <w:t>个三级指标构成，权重为</w:t>
      </w:r>
      <w:r>
        <w:rPr>
          <w:rFonts w:hint="eastAsia" w:ascii="Times New Roman" w:hAnsi="Times New Roman" w:cs="Times New Roman"/>
          <w:sz w:val="32"/>
          <w:szCs w:val="32"/>
          <w:lang w:val="en-US" w:eastAsia="zh-CN"/>
        </w:rPr>
        <w:t>50</w:t>
      </w:r>
      <w:r>
        <w:rPr>
          <w:rFonts w:ascii="Times New Roman" w:hAnsi="Times New Roman" w:cs="Times New Roman"/>
          <w:sz w:val="32"/>
          <w:szCs w:val="32"/>
        </w:rPr>
        <w:t>分，实际得分</w:t>
      </w:r>
      <w:r>
        <w:rPr>
          <w:rFonts w:hint="eastAsia" w:ascii="Times New Roman" w:hAnsi="Times New Roman" w:cs="Times New Roman"/>
          <w:sz w:val="32"/>
          <w:szCs w:val="32"/>
          <w:lang w:val="en-US" w:eastAsia="zh-CN"/>
        </w:rPr>
        <w:t>50</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50"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50"/>
    </w:p>
    <w:p>
      <w:pPr>
        <w:spacing w:line="560" w:lineRule="exact"/>
        <w:ind w:firstLine="640"/>
        <w:rPr>
          <w:rFonts w:hint="eastAsia" w:ascii="Times New Roman" w:hAnsi="Times New Roman" w:eastAsia="仿宋_GB2312" w:cs="Times New Roman"/>
          <w:bCs/>
          <w:sz w:val="32"/>
          <w:szCs w:val="32"/>
          <w:lang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工会各项活动开展场次”</w:t>
      </w:r>
      <w:r>
        <w:rPr>
          <w:rFonts w:ascii="Times New Roman" w:hAnsi="Times New Roman" w:cs="Times New Roman"/>
          <w:bCs/>
          <w:sz w:val="32"/>
          <w:szCs w:val="32"/>
        </w:rPr>
        <w:t>的目标值是</w:t>
      </w:r>
      <w:r>
        <w:rPr>
          <w:rFonts w:hint="default" w:ascii="Arial" w:hAnsi="Arial" w:cs="Arial"/>
          <w:bCs/>
          <w:sz w:val="32"/>
          <w:szCs w:val="32"/>
        </w:rPr>
        <w:t>≥</w:t>
      </w:r>
      <w:r>
        <w:rPr>
          <w:rFonts w:hint="eastAsia" w:ascii="Times New Roman" w:hAnsi="Times New Roman" w:cs="Times New Roman"/>
          <w:bCs/>
          <w:sz w:val="32"/>
          <w:szCs w:val="32"/>
          <w:lang w:val="en-US" w:eastAsia="zh-CN"/>
        </w:rPr>
        <w:t>10次</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lang w:val="en-US" w:eastAsia="zh-CN"/>
        </w:rPr>
        <w:t>10次</w:t>
      </w:r>
      <w:r>
        <w:rPr>
          <w:rFonts w:hint="eastAsia" w:ascii="Times New Roman" w:hAnsi="Times New Roman" w:cs="Times New Roman"/>
          <w:bCs/>
          <w:sz w:val="32"/>
          <w:szCs w:val="32"/>
          <w:lang w:eastAsia="zh-CN"/>
        </w:rPr>
        <w:t>；</w:t>
      </w:r>
    </w:p>
    <w:p>
      <w:pPr>
        <w:spacing w:line="560" w:lineRule="exact"/>
        <w:ind w:firstLine="640"/>
        <w:rPr>
          <w:rFonts w:hint="default" w:ascii="Times New Roman" w:hAnsi="Times New Roman" w:eastAsia="仿宋_GB2312" w:cs="Times New Roman"/>
          <w:bCs/>
          <w:sz w:val="32"/>
          <w:szCs w:val="32"/>
          <w:lang w:val="en-US"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lang w:val="en-US" w:eastAsia="zh-CN"/>
        </w:rPr>
        <w:t>雇员和临聘人员发放工资人数</w:t>
      </w:r>
      <w:r>
        <w:rPr>
          <w:rFonts w:ascii="Times New Roman" w:hAnsi="Times New Roman" w:cs="Times New Roman"/>
          <w:bCs/>
          <w:sz w:val="32"/>
          <w:szCs w:val="32"/>
        </w:rPr>
        <w:t>”的目标值是</w:t>
      </w:r>
      <w:r>
        <w:rPr>
          <w:rFonts w:hint="eastAsia" w:ascii="Times New Roman" w:hAnsi="Times New Roman" w:cs="Times New Roman"/>
          <w:bCs/>
          <w:sz w:val="32"/>
          <w:szCs w:val="32"/>
          <w:lang w:val="en-US" w:eastAsia="zh-CN"/>
        </w:rPr>
        <w:t>=2人</w:t>
      </w:r>
      <w:r>
        <w:rPr>
          <w:rFonts w:ascii="Times New Roman" w:hAnsi="Times New Roman" w:cs="Times New Roman"/>
          <w:bCs/>
          <w:sz w:val="32"/>
          <w:szCs w:val="32"/>
        </w:rPr>
        <w:t>，2023年度我单位</w:t>
      </w:r>
      <w:r>
        <w:rPr>
          <w:rFonts w:hint="eastAsia" w:ascii="Times New Roman" w:hAnsi="Times New Roman" w:cs="Times New Roman"/>
          <w:bCs/>
          <w:sz w:val="32"/>
          <w:szCs w:val="32"/>
          <w:lang w:val="en-US" w:eastAsia="zh-CN"/>
        </w:rPr>
        <w:t>实际完成2人；</w:t>
      </w:r>
    </w:p>
    <w:p>
      <w:pPr>
        <w:spacing w:line="560" w:lineRule="exact"/>
        <w:ind w:firstLine="640"/>
        <w:rPr>
          <w:rFonts w:hint="default" w:ascii="Times New Roman" w:hAnsi="Times New Roman" w:eastAsia="仿宋_GB2312" w:cs="Times New Roman"/>
          <w:bCs/>
          <w:sz w:val="32"/>
          <w:szCs w:val="32"/>
          <w:lang w:val="en-US"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lang w:val="en-US" w:eastAsia="zh-CN"/>
        </w:rPr>
        <w:t>其他工资和福利支出人数</w:t>
      </w:r>
      <w:r>
        <w:rPr>
          <w:rFonts w:ascii="Times New Roman" w:hAnsi="Times New Roman" w:cs="Times New Roman"/>
          <w:bCs/>
          <w:sz w:val="32"/>
          <w:szCs w:val="32"/>
        </w:rPr>
        <w:t>”的目标值是</w:t>
      </w:r>
      <w:r>
        <w:rPr>
          <w:rFonts w:hint="eastAsia" w:ascii="Times New Roman" w:hAnsi="Times New Roman" w:cs="Times New Roman"/>
          <w:bCs/>
          <w:sz w:val="32"/>
          <w:szCs w:val="32"/>
          <w:lang w:val="en-US" w:eastAsia="zh-CN"/>
        </w:rPr>
        <w:t>=3人</w:t>
      </w:r>
      <w:r>
        <w:rPr>
          <w:rFonts w:ascii="Times New Roman" w:hAnsi="Times New Roman" w:cs="Times New Roman"/>
          <w:bCs/>
          <w:sz w:val="32"/>
          <w:szCs w:val="32"/>
        </w:rPr>
        <w:t>，2023年度我单位</w:t>
      </w:r>
      <w:r>
        <w:rPr>
          <w:rFonts w:hint="eastAsia" w:ascii="Times New Roman" w:hAnsi="Times New Roman" w:cs="Times New Roman"/>
          <w:bCs/>
          <w:sz w:val="32"/>
          <w:szCs w:val="32"/>
          <w:lang w:val="en-US" w:eastAsia="zh-CN"/>
        </w:rPr>
        <w:t>实际完成3人</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实际完成率：</w:t>
      </w:r>
      <w:r>
        <w:rPr>
          <w:rFonts w:hint="eastAsia" w:ascii="Times New Roman" w:hAnsi="Times New Roman" w:cs="Times New Roman"/>
          <w:sz w:val="32"/>
          <w:szCs w:val="32"/>
          <w:lang w:val="en-US" w:eastAsia="zh-CN"/>
        </w:rPr>
        <w:t>100%</w:t>
      </w:r>
      <w:r>
        <w:rPr>
          <w:rFonts w:ascii="Times New Roman" w:hAnsi="Times New Roman" w:cs="Times New Roman"/>
          <w:sz w:val="32"/>
          <w:szCs w:val="32"/>
        </w:rPr>
        <w:t>，故实际完成率得分为</w:t>
      </w:r>
      <w:r>
        <w:rPr>
          <w:rFonts w:hint="eastAsia" w:ascii="Times New Roman" w:hAnsi="Times New Roman" w:cs="Times New Roman"/>
          <w:sz w:val="32"/>
          <w:szCs w:val="32"/>
          <w:lang w:val="en-US" w:eastAsia="zh-CN"/>
        </w:rPr>
        <w:t>8</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51" w:name="_Toc20437"/>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产出质量</w:t>
      </w:r>
      <w:bookmarkEnd w:id="51"/>
    </w:p>
    <w:p>
      <w:pPr>
        <w:spacing w:line="560" w:lineRule="exact"/>
        <w:ind w:firstLine="640"/>
        <w:rPr>
          <w:rFonts w:hint="default" w:ascii="Times New Roman" w:hAnsi="Times New Roman" w:eastAsia="仿宋_GB2312" w:cs="Times New Roman"/>
          <w:bCs/>
          <w:sz w:val="32"/>
          <w:szCs w:val="32"/>
          <w:lang w:val="en-US" w:eastAsia="zh-CN"/>
        </w:rPr>
      </w:pPr>
      <w:r>
        <w:rPr>
          <w:rFonts w:hint="eastAsia" w:ascii="Times New Roman" w:hAnsi="Times New Roman" w:cs="Times New Roman"/>
          <w:bCs/>
          <w:sz w:val="32"/>
          <w:szCs w:val="32"/>
          <w:lang w:val="en-US" w:eastAsia="zh-CN"/>
        </w:rPr>
        <w:t>质量</w:t>
      </w:r>
      <w:r>
        <w:rPr>
          <w:rFonts w:ascii="Times New Roman" w:hAnsi="Times New Roman" w:cs="Times New Roman"/>
          <w:bCs/>
          <w:sz w:val="32"/>
          <w:szCs w:val="32"/>
        </w:rPr>
        <w:t>指标</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资金拨付准确率”</w:t>
      </w:r>
      <w:r>
        <w:rPr>
          <w:rFonts w:ascii="Times New Roman" w:hAnsi="Times New Roman" w:cs="Times New Roman"/>
          <w:bCs/>
          <w:sz w:val="32"/>
          <w:szCs w:val="32"/>
        </w:rPr>
        <w:t>的目标值是</w:t>
      </w:r>
      <w:r>
        <w:rPr>
          <w:rFonts w:hint="default" w:ascii="Arial" w:hAnsi="Arial" w:cs="Arial"/>
          <w:bCs/>
          <w:sz w:val="32"/>
          <w:szCs w:val="32"/>
        </w:rPr>
        <w:t>≥</w:t>
      </w:r>
      <w:r>
        <w:rPr>
          <w:rFonts w:hint="eastAsia" w:ascii="Times New Roman" w:hAnsi="Times New Roman" w:cs="Times New Roman"/>
          <w:bCs/>
          <w:sz w:val="32"/>
          <w:szCs w:val="32"/>
          <w:lang w:val="en-US" w:eastAsia="zh-CN"/>
        </w:rPr>
        <w:t>95%</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lang w:val="en-US" w:eastAsia="zh-CN"/>
        </w:rPr>
        <w:t>值</w:t>
      </w:r>
      <w:r>
        <w:rPr>
          <w:rFonts w:hint="default" w:ascii="Arial" w:hAnsi="Arial" w:cs="Arial"/>
          <w:bCs/>
          <w:sz w:val="32"/>
          <w:szCs w:val="32"/>
        </w:rPr>
        <w:t>≥</w:t>
      </w:r>
      <w:r>
        <w:rPr>
          <w:rFonts w:hint="eastAsia" w:ascii="Times New Roman" w:hAnsi="Times New Roman" w:cs="Times New Roman"/>
          <w:bCs/>
          <w:sz w:val="32"/>
          <w:szCs w:val="32"/>
          <w:lang w:val="en-US" w:eastAsia="zh-CN"/>
        </w:rPr>
        <w:t>95%</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资金按财务要求准时准确发放到位；</w:t>
      </w:r>
    </w:p>
    <w:p>
      <w:pPr>
        <w:spacing w:line="560" w:lineRule="exact"/>
        <w:ind w:firstLine="643"/>
        <w:rPr>
          <w:rFonts w:ascii="Times New Roman" w:hAnsi="Times New Roman" w:cs="Times New Roman"/>
          <w:sz w:val="32"/>
          <w:szCs w:val="32"/>
        </w:rPr>
      </w:pPr>
      <w:r>
        <w:rPr>
          <w:rFonts w:hint="eastAsia" w:ascii="Times New Roman" w:hAnsi="Times New Roman" w:cs="Times New Roman"/>
          <w:sz w:val="32"/>
          <w:szCs w:val="32"/>
          <w:lang w:val="en-US" w:eastAsia="zh-CN"/>
        </w:rPr>
        <w:t>实际完成率100%，故</w:t>
      </w:r>
      <w:r>
        <w:rPr>
          <w:rFonts w:ascii="Times New Roman" w:hAnsi="Times New Roman" w:cs="Times New Roman"/>
          <w:sz w:val="32"/>
          <w:szCs w:val="32"/>
        </w:rPr>
        <w:t>质量达标率得分为</w:t>
      </w:r>
      <w:r>
        <w:rPr>
          <w:rFonts w:hint="eastAsia" w:ascii="Times New Roman" w:hAnsi="Times New Roman" w:cs="Times New Roman"/>
          <w:sz w:val="32"/>
          <w:szCs w:val="32"/>
          <w:lang w:val="en-US" w:eastAsia="zh-CN"/>
        </w:rPr>
        <w:t>6</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52" w:name="_Toc14252"/>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52"/>
    </w:p>
    <w:p>
      <w:pPr>
        <w:spacing w:line="560" w:lineRule="exact"/>
        <w:ind w:firstLine="640"/>
        <w:rPr>
          <w:rFonts w:hint="default" w:ascii="Times New Roman" w:hAnsi="Times New Roman" w:eastAsia="仿宋_GB2312" w:cs="Times New Roman"/>
          <w:bCs/>
          <w:sz w:val="32"/>
          <w:szCs w:val="32"/>
          <w:lang w:val="en-US" w:eastAsia="zh-CN"/>
        </w:rPr>
      </w:pPr>
      <w:r>
        <w:rPr>
          <w:rFonts w:hint="eastAsia" w:ascii="Times New Roman" w:hAnsi="Times New Roman" w:cs="Times New Roman"/>
          <w:bCs/>
          <w:sz w:val="32"/>
          <w:szCs w:val="32"/>
          <w:lang w:val="en-US" w:eastAsia="zh-CN"/>
        </w:rPr>
        <w:t>质量</w:t>
      </w:r>
      <w:r>
        <w:rPr>
          <w:rFonts w:ascii="Times New Roman" w:hAnsi="Times New Roman" w:cs="Times New Roman"/>
          <w:bCs/>
          <w:sz w:val="32"/>
          <w:szCs w:val="32"/>
        </w:rPr>
        <w:t>指标</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资金拨付及时率”</w:t>
      </w:r>
      <w:r>
        <w:rPr>
          <w:rFonts w:ascii="Times New Roman" w:hAnsi="Times New Roman" w:cs="Times New Roman"/>
          <w:bCs/>
          <w:sz w:val="32"/>
          <w:szCs w:val="32"/>
        </w:rPr>
        <w:t>的目标值是</w:t>
      </w:r>
      <w:r>
        <w:rPr>
          <w:rFonts w:hint="default" w:ascii="Arial" w:hAnsi="Arial" w:cs="Arial"/>
          <w:bCs/>
          <w:sz w:val="32"/>
          <w:szCs w:val="32"/>
        </w:rPr>
        <w:t>≥</w:t>
      </w:r>
      <w:r>
        <w:rPr>
          <w:rFonts w:hint="eastAsia" w:ascii="Times New Roman" w:hAnsi="Times New Roman" w:cs="Times New Roman"/>
          <w:bCs/>
          <w:sz w:val="32"/>
          <w:szCs w:val="32"/>
          <w:lang w:val="en-US" w:eastAsia="zh-CN"/>
        </w:rPr>
        <w:t>95%</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lang w:val="en-US" w:eastAsia="zh-CN"/>
        </w:rPr>
        <w:t>值</w:t>
      </w:r>
      <w:r>
        <w:rPr>
          <w:rFonts w:hint="default" w:ascii="Arial" w:hAnsi="Arial" w:cs="Arial"/>
          <w:bCs/>
          <w:sz w:val="32"/>
          <w:szCs w:val="32"/>
        </w:rPr>
        <w:t>≥</w:t>
      </w:r>
      <w:r>
        <w:rPr>
          <w:rFonts w:hint="eastAsia" w:ascii="Times New Roman" w:hAnsi="Times New Roman" w:cs="Times New Roman"/>
          <w:bCs/>
          <w:sz w:val="32"/>
          <w:szCs w:val="32"/>
          <w:lang w:val="en-US" w:eastAsia="zh-CN"/>
        </w:rPr>
        <w:t>95%</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资金按财务要求及时准确发放到位；</w:t>
      </w:r>
    </w:p>
    <w:p>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lang w:val="en-US" w:eastAsia="zh-CN"/>
        </w:rPr>
        <w:t>实际完成率100%，</w:t>
      </w:r>
      <w:r>
        <w:rPr>
          <w:rFonts w:ascii="Times New Roman" w:hAnsi="Times New Roman" w:cs="Times New Roman"/>
          <w:sz w:val="32"/>
          <w:szCs w:val="32"/>
        </w:rPr>
        <w:t>故完成及时性得分为</w:t>
      </w:r>
      <w:r>
        <w:rPr>
          <w:rFonts w:hint="eastAsia" w:ascii="Times New Roman" w:hAnsi="Times New Roman" w:cs="Times New Roman"/>
          <w:sz w:val="32"/>
          <w:szCs w:val="32"/>
          <w:lang w:val="en-US" w:eastAsia="zh-CN"/>
        </w:rPr>
        <w:t>6</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53" w:name="_Toc15505"/>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53"/>
    </w:p>
    <w:p>
      <w:pPr>
        <w:spacing w:line="560" w:lineRule="exact"/>
        <w:ind w:firstLine="640"/>
        <w:rPr>
          <w:rFonts w:hint="eastAsia" w:ascii="Times New Roman" w:hAnsi="Times New Roman" w:eastAsia="仿宋_GB2312" w:cs="Times New Roman"/>
          <w:bCs/>
          <w:sz w:val="32"/>
          <w:szCs w:val="32"/>
          <w:lang w:eastAsia="zh-CN"/>
        </w:rPr>
      </w:pPr>
      <w:r>
        <w:rPr>
          <w:rFonts w:hint="eastAsia" w:ascii="Times New Roman" w:hAnsi="Times New Roman" w:cs="Times New Roman"/>
          <w:bCs/>
          <w:sz w:val="32"/>
          <w:szCs w:val="32"/>
          <w:lang w:val="en-US" w:eastAsia="zh-CN"/>
        </w:rPr>
        <w:t>成本</w:t>
      </w:r>
      <w:r>
        <w:rPr>
          <w:rFonts w:ascii="Times New Roman" w:hAnsi="Times New Roman" w:cs="Times New Roman"/>
          <w:bCs/>
          <w:sz w:val="32"/>
          <w:szCs w:val="32"/>
        </w:rPr>
        <w:t>指标</w:t>
      </w:r>
      <w:r>
        <w:rPr>
          <w:rFonts w:hint="eastAsia" w:ascii="Times New Roman" w:hAnsi="Times New Roman" w:cs="Times New Roman"/>
          <w:bCs/>
          <w:sz w:val="32"/>
          <w:szCs w:val="32"/>
          <w:lang w:eastAsia="zh-CN"/>
        </w:rPr>
        <w:t>“</w:t>
      </w:r>
      <w:r>
        <w:rPr>
          <w:rFonts w:hint="eastAsia" w:ascii="Times New Roman" w:hAnsi="Times New Roman" w:cs="Times New Roman"/>
          <w:bCs/>
          <w:sz w:val="32"/>
          <w:szCs w:val="32"/>
          <w:lang w:val="en-US" w:eastAsia="zh-CN"/>
        </w:rPr>
        <w:t>工会经费”</w:t>
      </w:r>
      <w:r>
        <w:rPr>
          <w:rFonts w:ascii="Times New Roman" w:hAnsi="Times New Roman" w:cs="Times New Roman"/>
          <w:bCs/>
          <w:sz w:val="32"/>
          <w:szCs w:val="32"/>
        </w:rPr>
        <w:t>的目标值是</w:t>
      </w:r>
      <w:r>
        <w:rPr>
          <w:rFonts w:hint="eastAsia" w:ascii="Arial" w:hAnsi="Arial" w:cs="Arial"/>
          <w:bCs/>
          <w:sz w:val="32"/>
          <w:szCs w:val="32"/>
          <w:lang w:val="en-US" w:eastAsia="zh-CN"/>
        </w:rPr>
        <w:t>=581.91万元</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lang w:val="en-US" w:eastAsia="zh-CN"/>
        </w:rPr>
        <w:t>581.91万元，已经按照文件要求上缴和下拨活动经费</w:t>
      </w:r>
      <w:r>
        <w:rPr>
          <w:rFonts w:hint="eastAsia" w:ascii="Times New Roman" w:hAnsi="Times New Roman" w:cs="Times New Roman"/>
          <w:bCs/>
          <w:sz w:val="32"/>
          <w:szCs w:val="32"/>
          <w:lang w:eastAsia="zh-CN"/>
        </w:rPr>
        <w:t>；</w:t>
      </w:r>
    </w:p>
    <w:p>
      <w:pPr>
        <w:spacing w:line="560" w:lineRule="exact"/>
        <w:ind w:firstLine="640"/>
        <w:rPr>
          <w:rFonts w:hint="default" w:ascii="Times New Roman" w:hAnsi="Times New Roman" w:eastAsia="仿宋_GB2312" w:cs="Times New Roman"/>
          <w:bCs/>
          <w:sz w:val="32"/>
          <w:szCs w:val="32"/>
          <w:lang w:val="en-US" w:eastAsia="zh-CN"/>
        </w:rPr>
      </w:pPr>
      <w:r>
        <w:rPr>
          <w:rFonts w:hint="eastAsia" w:ascii="Times New Roman" w:hAnsi="Times New Roman" w:cs="Times New Roman"/>
          <w:bCs/>
          <w:sz w:val="32"/>
          <w:szCs w:val="32"/>
          <w:lang w:val="en-US" w:eastAsia="zh-CN"/>
        </w:rPr>
        <w:t>成本</w:t>
      </w:r>
      <w:r>
        <w:rPr>
          <w:rFonts w:ascii="Times New Roman" w:hAnsi="Times New Roman" w:cs="Times New Roman"/>
          <w:bCs/>
          <w:sz w:val="32"/>
          <w:szCs w:val="32"/>
        </w:rPr>
        <w:t>指标“</w:t>
      </w:r>
      <w:r>
        <w:rPr>
          <w:rFonts w:hint="eastAsia" w:ascii="Times New Roman" w:hAnsi="Times New Roman" w:cs="Times New Roman"/>
          <w:bCs/>
          <w:sz w:val="32"/>
          <w:szCs w:val="32"/>
          <w:lang w:val="en-US" w:eastAsia="zh-CN"/>
        </w:rPr>
        <w:t>劳务费及临聘人员经费支出</w:t>
      </w:r>
      <w:r>
        <w:rPr>
          <w:rFonts w:ascii="Times New Roman" w:hAnsi="Times New Roman" w:cs="Times New Roman"/>
          <w:bCs/>
          <w:sz w:val="32"/>
          <w:szCs w:val="32"/>
        </w:rPr>
        <w:t>”的目标值是</w:t>
      </w:r>
      <w:r>
        <w:rPr>
          <w:rFonts w:hint="eastAsia" w:ascii="Times New Roman" w:hAnsi="Times New Roman" w:cs="Times New Roman"/>
          <w:bCs/>
          <w:sz w:val="32"/>
          <w:szCs w:val="32"/>
          <w:lang w:val="en-US" w:eastAsia="zh-CN"/>
        </w:rPr>
        <w:t>=14.82万元</w:t>
      </w:r>
      <w:r>
        <w:rPr>
          <w:rFonts w:ascii="Times New Roman" w:hAnsi="Times New Roman" w:cs="Times New Roman"/>
          <w:bCs/>
          <w:sz w:val="32"/>
          <w:szCs w:val="32"/>
        </w:rPr>
        <w:t>，2023年度我单位</w:t>
      </w:r>
      <w:r>
        <w:rPr>
          <w:rFonts w:hint="eastAsia" w:ascii="Times New Roman" w:hAnsi="Times New Roman" w:cs="Times New Roman"/>
          <w:bCs/>
          <w:sz w:val="32"/>
          <w:szCs w:val="32"/>
          <w:lang w:val="en-US" w:eastAsia="zh-CN"/>
        </w:rPr>
        <w:t>实际完成14.82万元，已经按月足额准确支付劳务派遣公司；</w:t>
      </w:r>
    </w:p>
    <w:p>
      <w:pPr>
        <w:spacing w:line="560" w:lineRule="exact"/>
        <w:ind w:firstLine="640"/>
        <w:rPr>
          <w:rFonts w:hint="default" w:ascii="Times New Roman" w:hAnsi="Times New Roman" w:eastAsia="仿宋_GB2312" w:cs="Times New Roman"/>
          <w:bCs/>
          <w:sz w:val="32"/>
          <w:szCs w:val="32"/>
          <w:lang w:val="en-US" w:eastAsia="zh-CN"/>
        </w:rPr>
      </w:pPr>
      <w:r>
        <w:rPr>
          <w:rFonts w:hint="eastAsia" w:ascii="Times New Roman" w:hAnsi="Times New Roman" w:cs="Times New Roman"/>
          <w:bCs/>
          <w:sz w:val="32"/>
          <w:szCs w:val="32"/>
          <w:lang w:val="en-US" w:eastAsia="zh-CN"/>
        </w:rPr>
        <w:t>成本</w:t>
      </w:r>
      <w:r>
        <w:rPr>
          <w:rFonts w:ascii="Times New Roman" w:hAnsi="Times New Roman" w:cs="Times New Roman"/>
          <w:bCs/>
          <w:sz w:val="32"/>
          <w:szCs w:val="32"/>
        </w:rPr>
        <w:t>指标“</w:t>
      </w:r>
      <w:r>
        <w:rPr>
          <w:rFonts w:hint="eastAsia" w:ascii="Times New Roman" w:hAnsi="Times New Roman" w:cs="Times New Roman"/>
          <w:bCs/>
          <w:sz w:val="32"/>
          <w:szCs w:val="32"/>
          <w:lang w:val="en-US" w:eastAsia="zh-CN"/>
        </w:rPr>
        <w:t>行政运行其他工资福利支出（社保）</w:t>
      </w:r>
      <w:r>
        <w:rPr>
          <w:rFonts w:ascii="Times New Roman" w:hAnsi="Times New Roman" w:cs="Times New Roman"/>
          <w:bCs/>
          <w:sz w:val="32"/>
          <w:szCs w:val="32"/>
        </w:rPr>
        <w:t>”的目标值是</w:t>
      </w:r>
      <w:r>
        <w:rPr>
          <w:rFonts w:hint="eastAsia" w:ascii="Times New Roman" w:hAnsi="Times New Roman" w:cs="Times New Roman"/>
          <w:bCs/>
          <w:sz w:val="32"/>
          <w:szCs w:val="32"/>
          <w:lang w:val="en-US" w:eastAsia="zh-CN"/>
        </w:rPr>
        <w:t>=5.3万元</w:t>
      </w:r>
      <w:r>
        <w:rPr>
          <w:rFonts w:ascii="Times New Roman" w:hAnsi="Times New Roman" w:cs="Times New Roman"/>
          <w:bCs/>
          <w:sz w:val="32"/>
          <w:szCs w:val="32"/>
        </w:rPr>
        <w:t>，2023年度我单位</w:t>
      </w:r>
      <w:r>
        <w:rPr>
          <w:rFonts w:hint="eastAsia" w:ascii="Times New Roman" w:hAnsi="Times New Roman" w:cs="Times New Roman"/>
          <w:bCs/>
          <w:sz w:val="32"/>
          <w:szCs w:val="32"/>
          <w:lang w:val="en-US" w:eastAsia="zh-CN"/>
        </w:rPr>
        <w:t>实际完成5.3万元，已经零余额转基本户代缴行政人员社保费用；</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实际完成率：</w:t>
      </w:r>
      <w:r>
        <w:rPr>
          <w:rFonts w:hint="eastAsia" w:ascii="Times New Roman" w:hAnsi="Times New Roman" w:cs="Times New Roman"/>
          <w:sz w:val="32"/>
          <w:szCs w:val="32"/>
          <w:lang w:val="en-US" w:eastAsia="zh-CN"/>
        </w:rPr>
        <w:t>100%</w:t>
      </w:r>
      <w:r>
        <w:rPr>
          <w:rFonts w:ascii="Times New Roman" w:hAnsi="Times New Roman" w:cs="Times New Roman"/>
          <w:sz w:val="32"/>
          <w:szCs w:val="32"/>
        </w:rPr>
        <w:t>，故实际完成率得分为</w:t>
      </w:r>
      <w:r>
        <w:rPr>
          <w:rFonts w:hint="eastAsia" w:ascii="Times New Roman" w:hAnsi="Times New Roman" w:cs="Times New Roman"/>
          <w:sz w:val="32"/>
          <w:szCs w:val="32"/>
          <w:lang w:val="en-US" w:eastAsia="zh-CN"/>
        </w:rPr>
        <w:t>30</w:t>
      </w:r>
      <w:r>
        <w:rPr>
          <w:rFonts w:ascii="Times New Roman" w:hAnsi="Times New Roman" w:cs="Times New Roman"/>
          <w:sz w:val="32"/>
          <w:szCs w:val="32"/>
        </w:rPr>
        <w:t>分。</w:t>
      </w:r>
    </w:p>
    <w:p>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w:t>
      </w:r>
      <w:r>
        <w:rPr>
          <w:rFonts w:hint="eastAsia" w:ascii="Times New Roman" w:hAnsi="Times New Roman" w:cs="Times New Roman"/>
          <w:b/>
          <w:kern w:val="0"/>
          <w:sz w:val="32"/>
          <w:szCs w:val="32"/>
          <w:lang w:val="en-US" w:eastAsia="zh-CN"/>
        </w:rPr>
        <w:t>50</w:t>
      </w:r>
      <w:r>
        <w:rPr>
          <w:rFonts w:ascii="Times New Roman" w:hAnsi="Times New Roman" w:cs="Times New Roman"/>
          <w:b/>
          <w:kern w:val="0"/>
          <w:sz w:val="32"/>
          <w:szCs w:val="32"/>
        </w:rPr>
        <w:t>分，得分</w:t>
      </w:r>
      <w:r>
        <w:rPr>
          <w:rFonts w:hint="eastAsia" w:ascii="Times New Roman" w:hAnsi="Times New Roman" w:cs="Times New Roman"/>
          <w:sz w:val="32"/>
          <w:szCs w:val="32"/>
          <w:lang w:val="en-US" w:eastAsia="zh-CN"/>
        </w:rPr>
        <w:t>50</w:t>
      </w:r>
      <w:r>
        <w:rPr>
          <w:rFonts w:ascii="Times New Roman" w:hAnsi="Times New Roman" w:cs="Times New Roman"/>
          <w:b/>
          <w:kern w:val="0"/>
          <w:sz w:val="32"/>
          <w:szCs w:val="32"/>
        </w:rPr>
        <w:t>分。</w:t>
      </w:r>
    </w:p>
    <w:p>
      <w:pPr>
        <w:pStyle w:val="4"/>
        <w:spacing w:before="0" w:after="0" w:line="560" w:lineRule="exact"/>
        <w:ind w:firstLine="643"/>
        <w:rPr>
          <w:rFonts w:ascii="Times New Roman" w:hAnsi="Times New Roman" w:eastAsia="楷体" w:cs="Times New Roman"/>
          <w:color w:val="000000"/>
          <w:kern w:val="0"/>
        </w:rPr>
      </w:pPr>
      <w:bookmarkStart w:id="54" w:name="_Toc67911615"/>
      <w:bookmarkStart w:id="55" w:name="_Toc15002"/>
      <w:r>
        <w:rPr>
          <w:rFonts w:ascii="Times New Roman" w:hAnsi="Times New Roman" w:eastAsia="楷体" w:cs="Times New Roman"/>
          <w:color w:val="000000"/>
          <w:kern w:val="0"/>
        </w:rPr>
        <w:t>（四）项目效益情况</w:t>
      </w:r>
      <w:bookmarkEnd w:id="54"/>
      <w:bookmarkEnd w:id="55"/>
    </w:p>
    <w:p>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项目效益指标由1个二级指标和</w:t>
      </w:r>
      <w:r>
        <w:rPr>
          <w:rFonts w:hint="eastAsia" w:ascii="Times New Roman" w:hAnsi="Times New Roman" w:cs="Times New Roman"/>
          <w:sz w:val="32"/>
          <w:szCs w:val="32"/>
          <w:lang w:val="en-US" w:eastAsia="zh-CN"/>
        </w:rPr>
        <w:t>1</w:t>
      </w:r>
      <w:r>
        <w:rPr>
          <w:rFonts w:ascii="Times New Roman" w:hAnsi="Times New Roman" w:cs="Times New Roman"/>
          <w:sz w:val="32"/>
          <w:szCs w:val="32"/>
        </w:rPr>
        <w:t>个三级指标构成，权重为</w:t>
      </w:r>
      <w:r>
        <w:rPr>
          <w:rFonts w:hint="eastAsia" w:ascii="Times New Roman" w:hAnsi="Times New Roman" w:cs="Times New Roman"/>
          <w:sz w:val="32"/>
          <w:szCs w:val="32"/>
          <w:lang w:val="en-US" w:eastAsia="zh-CN"/>
        </w:rPr>
        <w:t>10</w:t>
      </w:r>
      <w:r>
        <w:rPr>
          <w:rFonts w:ascii="Times New Roman" w:hAnsi="Times New Roman" w:cs="Times New Roman"/>
          <w:sz w:val="32"/>
          <w:szCs w:val="32"/>
        </w:rPr>
        <w:t>分，实际得分</w:t>
      </w:r>
      <w:r>
        <w:rPr>
          <w:rFonts w:hint="eastAsia" w:ascii="Times New Roman" w:hAnsi="Times New Roman" w:cs="Times New Roman"/>
          <w:sz w:val="32"/>
          <w:szCs w:val="32"/>
          <w:lang w:val="en-US" w:eastAsia="zh-CN"/>
        </w:rPr>
        <w:t>10</w:t>
      </w:r>
      <w:r>
        <w:rPr>
          <w:rFonts w:ascii="Times New Roman" w:hAnsi="Times New Roman" w:cs="Times New Roman"/>
          <w:sz w:val="32"/>
          <w:szCs w:val="32"/>
        </w:rPr>
        <w:t>分。</w:t>
      </w:r>
    </w:p>
    <w:p>
      <w:pPr>
        <w:pStyle w:val="5"/>
        <w:spacing w:before="0" w:after="0" w:line="560" w:lineRule="exact"/>
        <w:ind w:firstLine="643"/>
        <w:rPr>
          <w:rFonts w:ascii="Times New Roman" w:hAnsi="Times New Roman" w:cs="Times New Roman"/>
        </w:rPr>
      </w:pPr>
      <w:bookmarkStart w:id="56"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56"/>
    </w:p>
    <w:p>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ascii="Times New Roman" w:hAnsi="Times New Roman" w:cs="Times New Roman"/>
          <w:sz w:val="32"/>
          <w:szCs w:val="32"/>
        </w:rPr>
        <w:t>不适用。</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社会效益指标</w:t>
      </w:r>
      <w:r>
        <w:rPr>
          <w:rFonts w:ascii="Times New Roman" w:hAnsi="Times New Roman" w:cs="Times New Roman"/>
          <w:sz w:val="32"/>
          <w:szCs w:val="32"/>
        </w:rPr>
        <w:t>：评价指标“</w:t>
      </w:r>
      <w:r>
        <w:rPr>
          <w:rFonts w:hint="eastAsia" w:ascii="Times New Roman" w:hAnsi="Times New Roman" w:cs="Times New Roman"/>
          <w:sz w:val="32"/>
          <w:szCs w:val="32"/>
          <w:lang w:val="en-US" w:eastAsia="zh-CN"/>
        </w:rPr>
        <w:t>提高职工服务热情，强化职工工作积极性</w:t>
      </w:r>
      <w:r>
        <w:rPr>
          <w:rFonts w:ascii="Times New Roman" w:hAnsi="Times New Roman" w:cs="Times New Roman"/>
          <w:sz w:val="32"/>
          <w:szCs w:val="32"/>
        </w:rPr>
        <w:t>”，指标值：</w:t>
      </w:r>
      <w:r>
        <w:rPr>
          <w:rFonts w:hint="eastAsia" w:ascii="Times New Roman" w:hAnsi="Times New Roman" w:cs="Times New Roman"/>
          <w:sz w:val="32"/>
          <w:szCs w:val="32"/>
          <w:lang w:val="en-US" w:eastAsia="zh-CN"/>
        </w:rPr>
        <w:t>有效提高</w:t>
      </w:r>
      <w:r>
        <w:rPr>
          <w:rFonts w:ascii="Times New Roman" w:hAnsi="Times New Roman" w:cs="Times New Roman"/>
          <w:sz w:val="32"/>
          <w:szCs w:val="32"/>
        </w:rPr>
        <w:t>，实际完成值：达成年度指标。本项目的实施</w:t>
      </w:r>
      <w:r>
        <w:rPr>
          <w:rFonts w:hint="eastAsia" w:ascii="Times New Roman" w:hAnsi="Times New Roman" w:cs="Times New Roman"/>
          <w:spacing w:val="8"/>
          <w:sz w:val="32"/>
          <w:szCs w:val="32"/>
          <w:lang w:val="en-US" w:eastAsia="zh-CN"/>
        </w:rPr>
        <w:t>丰富了职工生活、让职工感受到政府的关心，</w:t>
      </w:r>
      <w:r>
        <w:rPr>
          <w:rFonts w:hint="eastAsia" w:ascii="Times New Roman" w:hAnsi="Times New Roman" w:cs="Times New Roman"/>
          <w:spacing w:val="8"/>
          <w:sz w:val="32"/>
          <w:szCs w:val="32"/>
        </w:rPr>
        <w:t>提高职工服务热情，强化职工工作积极性，加强监督工会组织的工作，为全区职工更好的服务</w:t>
      </w:r>
      <w:r>
        <w:rPr>
          <w:rFonts w:hint="eastAsia" w:ascii="Times New Roman" w:hAnsi="Times New Roman" w:cs="Times New Roman"/>
          <w:spacing w:val="8"/>
          <w:sz w:val="32"/>
          <w:szCs w:val="32"/>
          <w:lang w:eastAsia="zh-CN"/>
        </w:rPr>
        <w:t>。</w:t>
      </w:r>
    </w:p>
    <w:p>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：不适用。</w:t>
      </w:r>
    </w:p>
    <w:p>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综上，该指标满分10分，得分</w:t>
      </w:r>
      <w:r>
        <w:rPr>
          <w:rFonts w:hint="eastAsia" w:ascii="Times New Roman" w:hAnsi="Times New Roman" w:cs="Times New Roman"/>
          <w:b/>
          <w:kern w:val="0"/>
          <w:sz w:val="32"/>
          <w:szCs w:val="32"/>
          <w:lang w:val="en-US" w:eastAsia="zh-CN"/>
        </w:rPr>
        <w:t>10</w:t>
      </w:r>
      <w:r>
        <w:rPr>
          <w:rFonts w:ascii="Times New Roman" w:hAnsi="Times New Roman" w:cs="Times New Roman"/>
          <w:b/>
          <w:kern w:val="0"/>
          <w:sz w:val="32"/>
          <w:szCs w:val="32"/>
        </w:rPr>
        <w:t>分。</w:t>
      </w:r>
    </w:p>
    <w:p>
      <w:pPr>
        <w:pStyle w:val="5"/>
        <w:spacing w:before="0" w:after="0" w:line="560" w:lineRule="exact"/>
        <w:ind w:firstLine="643"/>
        <w:rPr>
          <w:rFonts w:ascii="Times New Roman" w:hAnsi="Times New Roman" w:cs="Times New Roman"/>
        </w:rPr>
      </w:pPr>
      <w:bookmarkStart w:id="57" w:name="_Toc23586"/>
      <w:r>
        <w:rPr>
          <w:rFonts w:ascii="Times New Roman" w:hAnsi="Times New Roman" w:cs="Times New Roman"/>
        </w:rPr>
        <w:t>2. 满意度指标完成情况分析</w:t>
      </w:r>
      <w:bookmarkEnd w:id="57"/>
    </w:p>
    <w:p>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（1）满意度指标</w:t>
      </w:r>
    </w:p>
    <w:p>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bCs/>
          <w:sz w:val="32"/>
          <w:szCs w:val="32"/>
        </w:rPr>
        <w:t>群众满意度：</w:t>
      </w:r>
      <w:r>
        <w:rPr>
          <w:rFonts w:ascii="Times New Roman" w:hAnsi="Times New Roman" w:cs="Times New Roman"/>
          <w:sz w:val="32"/>
          <w:szCs w:val="32"/>
        </w:rPr>
        <w:t>不适用。</w:t>
      </w:r>
    </w:p>
    <w:p>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8" w:name="_Toc20703"/>
      <w:bookmarkStart w:id="59" w:name="_Toc67911617"/>
      <w:r>
        <w:rPr>
          <w:rFonts w:ascii="Times New Roman" w:hAnsi="Times New Roman" w:eastAsia="黑体" w:cs="Times New Roman"/>
          <w:b w:val="0"/>
          <w:bCs w:val="0"/>
          <w:color w:val="000000"/>
          <w:spacing w:val="8"/>
          <w:kern w:val="0"/>
          <w:sz w:val="32"/>
          <w:szCs w:val="32"/>
        </w:rPr>
        <w:t>五、主要经验及做法、存在的问题及原因分析</w:t>
      </w:r>
      <w:bookmarkEnd w:id="58"/>
      <w:bookmarkEnd w:id="59"/>
    </w:p>
    <w:p>
      <w:pPr>
        <w:pStyle w:val="4"/>
        <w:spacing w:before="0" w:after="0" w:line="560" w:lineRule="exact"/>
        <w:ind w:firstLine="643"/>
        <w:rPr>
          <w:rFonts w:ascii="Times New Roman" w:hAnsi="Times New Roman" w:eastAsia="楷体" w:cs="Times New Roman"/>
          <w:color w:val="000000"/>
          <w:kern w:val="0"/>
        </w:rPr>
      </w:pPr>
      <w:bookmarkStart w:id="60" w:name="_Toc27872"/>
      <w:bookmarkStart w:id="61" w:name="_Toc67911618"/>
      <w:r>
        <w:rPr>
          <w:rFonts w:ascii="Times New Roman" w:hAnsi="Times New Roman" w:eastAsia="楷体" w:cs="Times New Roman"/>
          <w:color w:val="000000"/>
          <w:kern w:val="0"/>
        </w:rPr>
        <w:t>（一）主要经验及做法</w:t>
      </w:r>
      <w:bookmarkEnd w:id="60"/>
      <w:bookmarkEnd w:id="61"/>
    </w:p>
    <w:p>
      <w:pPr>
        <w:autoSpaceDE w:val="0"/>
        <w:spacing w:line="560" w:lineRule="exact"/>
        <w:ind w:firstLine="640"/>
        <w:rPr>
          <w:rFonts w:hint="eastAsia" w:ascii="Times New Roman" w:hAnsi="Times New Roman" w:cs="Times New Roman"/>
          <w:kern w:val="0"/>
          <w:sz w:val="32"/>
          <w:szCs w:val="32"/>
          <w:lang w:val="en-US" w:eastAsia="zh-CN"/>
        </w:rPr>
      </w:pPr>
      <w:r>
        <w:rPr>
          <w:rFonts w:ascii="Times New Roman" w:hAnsi="Times New Roman" w:cs="Times New Roman"/>
          <w:kern w:val="0"/>
          <w:sz w:val="32"/>
          <w:szCs w:val="32"/>
        </w:rPr>
        <w:t>1.</w:t>
      </w:r>
      <w:r>
        <w:rPr>
          <w:rFonts w:hint="eastAsia" w:ascii="Times New Roman" w:hAnsi="Times New Roman" w:cs="Times New Roman"/>
          <w:kern w:val="0"/>
          <w:sz w:val="32"/>
          <w:szCs w:val="32"/>
          <w:lang w:val="en-US" w:eastAsia="zh-CN"/>
        </w:rPr>
        <w:t>强化制度保障。各项目预算资金申请及审批程序完整</w:t>
      </w:r>
      <w:r>
        <w:rPr>
          <w:rFonts w:hint="eastAsia" w:ascii="宋体" w:hAnsi="宋体" w:eastAsia="宋体" w:cs="宋体"/>
          <w:kern w:val="0"/>
          <w:sz w:val="32"/>
          <w:szCs w:val="32"/>
          <w:lang w:val="en-US" w:eastAsia="zh-CN"/>
        </w:rPr>
        <w:t>、</w:t>
      </w:r>
      <w:r>
        <w:rPr>
          <w:rFonts w:hint="eastAsia" w:ascii="Times New Roman" w:hAnsi="Times New Roman" w:cs="Times New Roman"/>
          <w:kern w:val="0"/>
          <w:sz w:val="32"/>
          <w:szCs w:val="32"/>
          <w:lang w:val="en-US" w:eastAsia="zh-CN"/>
        </w:rPr>
        <w:t>资金到位及时支付有序。严格按照财政局支付要求及本单位财务管理制度及内控制度的履新审批流程及支付程序，项目管理过程合规，整体项目预算支出进度达到预期目标。</w:t>
      </w:r>
    </w:p>
    <w:p>
      <w:pPr>
        <w:numPr>
          <w:ilvl w:val="0"/>
          <w:numId w:val="1"/>
        </w:num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加强专项资金绩效管理，通过专项资金绩效评价工作的开展，进一步加强专项支出的绩效管理，完善业务和财务管理制度，健全和落实财务监控机制，有效提高专项资金的使用效益和效率，确保财政严格按照财政法律法规使用。</w:t>
      </w:r>
    </w:p>
    <w:p>
      <w:pPr>
        <w:numPr>
          <w:ilvl w:val="0"/>
          <w:numId w:val="1"/>
        </w:numPr>
        <w:autoSpaceDE w:val="0"/>
        <w:spacing w:line="560" w:lineRule="exact"/>
        <w:ind w:firstLine="640"/>
        <w:rPr>
          <w:rFonts w:hint="default"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科学安排项目预算，根据下一年度的工作计划，提前预算</w:t>
      </w:r>
      <w:r>
        <w:rPr>
          <w:rFonts w:hint="eastAsia" w:ascii="宋体" w:hAnsi="宋体" w:eastAsia="宋体" w:cs="宋体"/>
          <w:kern w:val="0"/>
          <w:sz w:val="32"/>
          <w:szCs w:val="32"/>
          <w:lang w:val="en-US" w:eastAsia="zh-CN"/>
        </w:rPr>
        <w:t>、</w:t>
      </w:r>
      <w:r>
        <w:rPr>
          <w:rFonts w:hint="eastAsia" w:ascii="Times New Roman" w:hAnsi="Times New Roman" w:cs="Times New Roman"/>
          <w:kern w:val="0"/>
          <w:sz w:val="32"/>
          <w:szCs w:val="32"/>
          <w:lang w:val="en-US" w:eastAsia="zh-CN"/>
        </w:rPr>
        <w:t>规范操作，严格控制支付范围提高支付效率。</w:t>
      </w:r>
    </w:p>
    <w:p>
      <w:pPr>
        <w:pStyle w:val="4"/>
        <w:spacing w:before="0" w:after="0" w:line="560" w:lineRule="exact"/>
        <w:ind w:firstLine="643"/>
        <w:rPr>
          <w:rFonts w:ascii="Times New Roman" w:hAnsi="Times New Roman" w:eastAsia="楷体" w:cs="Times New Roman"/>
          <w:color w:val="000000"/>
          <w:kern w:val="0"/>
        </w:rPr>
      </w:pPr>
      <w:bookmarkStart w:id="62" w:name="_Toc21348"/>
      <w:r>
        <w:rPr>
          <w:rFonts w:ascii="Times New Roman" w:hAnsi="Times New Roman" w:eastAsia="楷体" w:cs="Times New Roman"/>
          <w:color w:val="000000"/>
          <w:kern w:val="0"/>
        </w:rPr>
        <w:t>（二）存在的问题及原因分析</w:t>
      </w:r>
      <w:bookmarkEnd w:id="62"/>
    </w:p>
    <w:p>
      <w:p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1、预算编制科学性的问题。</w:t>
      </w:r>
      <w:bookmarkStart w:id="63" w:name="_Toc67911620"/>
      <w:bookmarkStart w:id="64" w:name="_Toc13493"/>
      <w:bookmarkStart w:id="65" w:name="_Toc67911619"/>
      <w:r>
        <w:rPr>
          <w:rFonts w:hint="eastAsia" w:ascii="Times New Roman" w:hAnsi="Times New Roman" w:cs="Times New Roman"/>
          <w:kern w:val="0"/>
          <w:sz w:val="32"/>
          <w:szCs w:val="32"/>
          <w:lang w:val="en-US" w:eastAsia="zh-CN"/>
        </w:rPr>
        <w:t>绩效指标应从单位全局高度出发，围绕部门单位履职的核心任务，分析提炼部门单位年度目标，再细化为具体的三级指标，以结果性、效益性指标为主。</w:t>
      </w:r>
    </w:p>
    <w:p>
      <w:p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2、预算执行率较低。受财力影响，财政预算支出的重点在于保运转，保民生，有限财力和刚性支出日益增长的矛盾冲突，导致预算执行率较低，同时影响了预算的约束力和权威性。</w:t>
      </w:r>
    </w:p>
    <w:p>
      <w:pPr>
        <w:autoSpaceDE w:val="0"/>
        <w:spacing w:line="560" w:lineRule="exact"/>
        <w:ind w:firstLine="640"/>
        <w:rPr>
          <w:rFonts w:hint="default"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3、财务管理仍显薄弱。存在会计原始凭证附件不够齐全、财务处理欠规范等现象，主要原因是单位内控管理不够严密，财务人员业务水平还要提高。</w:t>
      </w:r>
    </w:p>
    <w:p>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r>
        <w:rPr>
          <w:rFonts w:ascii="Times New Roman" w:hAnsi="Times New Roman" w:eastAsia="黑体" w:cs="Times New Roman"/>
          <w:b w:val="0"/>
          <w:bCs w:val="0"/>
          <w:color w:val="000000"/>
          <w:spacing w:val="8"/>
          <w:kern w:val="0"/>
          <w:sz w:val="32"/>
          <w:szCs w:val="32"/>
        </w:rPr>
        <w:t>六、有关建议</w:t>
      </w:r>
      <w:bookmarkEnd w:id="63"/>
      <w:bookmarkEnd w:id="64"/>
    </w:p>
    <w:p>
      <w:p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一是构建专业、客观、独立、多样的绩效评价主体。加强对外公开的效率，促使公众参与到部门整体绩效评价执行的过程中，重视社会公众对绩效评价的监督。最后，要加强部门内部绩效评价人员的培训，提高其指标设计和绩效评价的专业技能。</w:t>
      </w:r>
    </w:p>
    <w:p>
      <w:p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二是提高部门项目支出绩效目标设定的合理性。项目绩效目标不是碎片化工作的堆叠，而是反映部门开展预算绩效管理工作的规范性和执行力。从部门的法定职能入手，围绕事业发展规划、政府重要战略等，以预算资金为主线，统筹考虑任务目标和大事要事清单，梳理集中反映部门履职效能、社会效应等效果的个性化、效益类绩效指标。</w:t>
      </w:r>
    </w:p>
    <w:p>
      <w:pPr>
        <w:autoSpaceDE w:val="0"/>
        <w:spacing w:line="560" w:lineRule="exact"/>
        <w:ind w:firstLine="640"/>
        <w:rPr>
          <w:rFonts w:hint="eastAsia" w:ascii="Times New Roman" w:hAnsi="Times New Roman" w:cs="Times New Roman"/>
          <w:kern w:val="0"/>
          <w:sz w:val="32"/>
          <w:szCs w:val="32"/>
          <w:lang w:val="en-US" w:eastAsia="zh-CN"/>
        </w:rPr>
      </w:pPr>
      <w:r>
        <w:rPr>
          <w:rFonts w:hint="eastAsia" w:ascii="Times New Roman" w:hAnsi="Times New Roman" w:cs="Times New Roman"/>
          <w:kern w:val="0"/>
          <w:sz w:val="32"/>
          <w:szCs w:val="32"/>
          <w:lang w:val="en-US" w:eastAsia="zh-CN"/>
        </w:rPr>
        <w:t>三是重视部门项目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pStyle w:val="3"/>
        <w:spacing w:before="0" w:after="0" w:line="560" w:lineRule="exact"/>
        <w:ind w:left="0" w:leftChars="0" w:firstLine="672" w:firstLineChars="200"/>
        <w:jc w:val="left"/>
        <w:rPr>
          <w:rFonts w:ascii="Times New Roman" w:hAnsi="Times New Roman" w:eastAsia="黑体" w:cs="Times New Roman"/>
          <w:b w:val="0"/>
          <w:bCs w:val="0"/>
          <w:color w:val="000000"/>
          <w:spacing w:val="8"/>
          <w:kern w:val="0"/>
          <w:sz w:val="32"/>
          <w:szCs w:val="32"/>
        </w:rPr>
      </w:pPr>
      <w:bookmarkStart w:id="66" w:name="_Toc17626"/>
      <w:r>
        <w:rPr>
          <w:rFonts w:ascii="Times New Roman" w:hAnsi="Times New Roman" w:eastAsia="黑体" w:cs="Times New Roman"/>
          <w:b w:val="0"/>
          <w:bCs w:val="0"/>
          <w:color w:val="000000"/>
          <w:spacing w:val="8"/>
          <w:kern w:val="0"/>
          <w:sz w:val="32"/>
          <w:szCs w:val="32"/>
        </w:rPr>
        <w:t>七、其他需要说明的问题</w:t>
      </w:r>
      <w:bookmarkEnd w:id="65"/>
      <w:bookmarkEnd w:id="66"/>
    </w:p>
    <w:p>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3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ind w:firstLine="0" w:firstLineChars="0"/>
      </w:pPr>
      <w:r>
        <w:rPr>
          <w:rStyle w:val="20"/>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C521C"/>
    <w:multiLevelType w:val="singleLevel"/>
    <w:tmpl w:val="653C521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0A"/>
    <w:rsid w:val="00031A7F"/>
    <w:rsid w:val="00042151"/>
    <w:rsid w:val="000438A0"/>
    <w:rsid w:val="0007002C"/>
    <w:rsid w:val="00071C0F"/>
    <w:rsid w:val="00086724"/>
    <w:rsid w:val="0009112C"/>
    <w:rsid w:val="000A2B58"/>
    <w:rsid w:val="000A43E8"/>
    <w:rsid w:val="000B520E"/>
    <w:rsid w:val="000B5C7D"/>
    <w:rsid w:val="000B6FA0"/>
    <w:rsid w:val="000C1C53"/>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51CA"/>
    <w:rsid w:val="00247354"/>
    <w:rsid w:val="00250131"/>
    <w:rsid w:val="002547BD"/>
    <w:rsid w:val="00261F2F"/>
    <w:rsid w:val="00262533"/>
    <w:rsid w:val="00262B75"/>
    <w:rsid w:val="002767C9"/>
    <w:rsid w:val="002810AA"/>
    <w:rsid w:val="002A3AE4"/>
    <w:rsid w:val="002A6E59"/>
    <w:rsid w:val="002B7C09"/>
    <w:rsid w:val="002E1E67"/>
    <w:rsid w:val="002E2767"/>
    <w:rsid w:val="002E608B"/>
    <w:rsid w:val="002F4101"/>
    <w:rsid w:val="00302E15"/>
    <w:rsid w:val="0032183D"/>
    <w:rsid w:val="0032329D"/>
    <w:rsid w:val="00332C71"/>
    <w:rsid w:val="00333EA5"/>
    <w:rsid w:val="00340CED"/>
    <w:rsid w:val="00343485"/>
    <w:rsid w:val="00350839"/>
    <w:rsid w:val="003766AB"/>
    <w:rsid w:val="00377BA7"/>
    <w:rsid w:val="00396AD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0A2D"/>
    <w:rsid w:val="00794639"/>
    <w:rsid w:val="007A772C"/>
    <w:rsid w:val="007C3F63"/>
    <w:rsid w:val="007F185A"/>
    <w:rsid w:val="007F6051"/>
    <w:rsid w:val="007F6745"/>
    <w:rsid w:val="007F77F3"/>
    <w:rsid w:val="008123C5"/>
    <w:rsid w:val="00831695"/>
    <w:rsid w:val="008327EB"/>
    <w:rsid w:val="00835535"/>
    <w:rsid w:val="00845BE2"/>
    <w:rsid w:val="00863F65"/>
    <w:rsid w:val="008666CD"/>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6471"/>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D1452"/>
    <w:rsid w:val="00CE6337"/>
    <w:rsid w:val="00CF640C"/>
    <w:rsid w:val="00D04E2D"/>
    <w:rsid w:val="00D152B1"/>
    <w:rsid w:val="00D2172F"/>
    <w:rsid w:val="00D23822"/>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1342A"/>
    <w:rsid w:val="00F36E98"/>
    <w:rsid w:val="00F52C6D"/>
    <w:rsid w:val="00F55451"/>
    <w:rsid w:val="00F73710"/>
    <w:rsid w:val="00F872E7"/>
    <w:rsid w:val="00FA4373"/>
    <w:rsid w:val="00FB09C6"/>
    <w:rsid w:val="00FB2BBD"/>
    <w:rsid w:val="00FD7A36"/>
    <w:rsid w:val="00FD7C5F"/>
    <w:rsid w:val="00FE193C"/>
    <w:rsid w:val="00FE7DCA"/>
    <w:rsid w:val="00FF0452"/>
    <w:rsid w:val="014D29E7"/>
    <w:rsid w:val="0245434E"/>
    <w:rsid w:val="056D2AE1"/>
    <w:rsid w:val="06E33873"/>
    <w:rsid w:val="099E4753"/>
    <w:rsid w:val="0C3E44F2"/>
    <w:rsid w:val="0C8E404B"/>
    <w:rsid w:val="0D354B96"/>
    <w:rsid w:val="10826533"/>
    <w:rsid w:val="11A728DD"/>
    <w:rsid w:val="123B3FA2"/>
    <w:rsid w:val="14E81380"/>
    <w:rsid w:val="16477FF3"/>
    <w:rsid w:val="18537DA5"/>
    <w:rsid w:val="19C60EF7"/>
    <w:rsid w:val="1BEA0A4D"/>
    <w:rsid w:val="1C0F6300"/>
    <w:rsid w:val="1DEB0305"/>
    <w:rsid w:val="1E19186F"/>
    <w:rsid w:val="208C1E42"/>
    <w:rsid w:val="22035195"/>
    <w:rsid w:val="23495532"/>
    <w:rsid w:val="240D2378"/>
    <w:rsid w:val="2B336405"/>
    <w:rsid w:val="2C0145CF"/>
    <w:rsid w:val="2DEC5B4F"/>
    <w:rsid w:val="2E157630"/>
    <w:rsid w:val="315707F7"/>
    <w:rsid w:val="35F03669"/>
    <w:rsid w:val="36F46695"/>
    <w:rsid w:val="37ED75D1"/>
    <w:rsid w:val="3B883E7C"/>
    <w:rsid w:val="3BB7618D"/>
    <w:rsid w:val="3E79672F"/>
    <w:rsid w:val="3F3500CE"/>
    <w:rsid w:val="41842585"/>
    <w:rsid w:val="487818F9"/>
    <w:rsid w:val="4BC72F02"/>
    <w:rsid w:val="4EFC5684"/>
    <w:rsid w:val="514B566F"/>
    <w:rsid w:val="58BB6476"/>
    <w:rsid w:val="5A0963E4"/>
    <w:rsid w:val="5DDA059A"/>
    <w:rsid w:val="61AF2AB6"/>
    <w:rsid w:val="644B215C"/>
    <w:rsid w:val="65BB4B67"/>
    <w:rsid w:val="65CB3CB6"/>
    <w:rsid w:val="65E90F38"/>
    <w:rsid w:val="675C21DB"/>
    <w:rsid w:val="693B7234"/>
    <w:rsid w:val="6E8667D4"/>
    <w:rsid w:val="724732FB"/>
    <w:rsid w:val="72607BA7"/>
    <w:rsid w:val="732953B5"/>
    <w:rsid w:val="772C0914"/>
    <w:rsid w:val="78F4106A"/>
    <w:rsid w:val="7A1E1FC5"/>
    <w:rsid w:val="7A1F1D83"/>
    <w:rsid w:val="7BD054C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uiPriority w:val="1"/>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520" w:lineRule="exact"/>
    </w:pPr>
    <w:rPr>
      <w:rFonts w:eastAsia="仿宋_GB2312"/>
      <w:kern w:val="0"/>
      <w:szCs w:val="24"/>
    </w:rPr>
  </w:style>
  <w:style w:type="paragraph" w:styleId="6">
    <w:name w:val="annotation subject"/>
    <w:basedOn w:val="7"/>
    <w:next w:val="7"/>
    <w:link w:val="33"/>
    <w:unhideWhenUsed/>
    <w:qFormat/>
    <w:uiPriority w:val="99"/>
    <w:rPr>
      <w:b/>
      <w:bCs/>
    </w:rPr>
  </w:style>
  <w:style w:type="paragraph" w:styleId="7">
    <w:name w:val="annotation text"/>
    <w:basedOn w:val="1"/>
    <w:link w:val="32"/>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5"/>
    <w:unhideWhenUsed/>
    <w:qFormat/>
    <w:uiPriority w:val="99"/>
    <w:pPr>
      <w:ind w:left="100" w:leftChars="2500"/>
    </w:pPr>
  </w:style>
  <w:style w:type="paragraph" w:styleId="10">
    <w:name w:val="Balloon Text"/>
    <w:basedOn w:val="1"/>
    <w:link w:val="34"/>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7"/>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character" w:styleId="17">
    <w:name w:val="Strong"/>
    <w:qFormat/>
    <w:uiPriority w:val="0"/>
    <w:rPr>
      <w:b/>
      <w:bCs/>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unhideWhenUsed/>
    <w:qFormat/>
    <w:uiPriority w:val="99"/>
    <w:rPr>
      <w:sz w:val="21"/>
      <w:szCs w:val="21"/>
    </w:rPr>
  </w:style>
  <w:style w:type="character" w:styleId="20">
    <w:name w:val="footnote reference"/>
    <w:basedOn w:val="16"/>
    <w:unhideWhenUsed/>
    <w:qFormat/>
    <w:uiPriority w:val="99"/>
    <w:rPr>
      <w:vertAlign w:val="superscript"/>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页眉 字符"/>
    <w:basedOn w:val="16"/>
    <w:link w:val="12"/>
    <w:qFormat/>
    <w:uiPriority w:val="99"/>
    <w:rPr>
      <w:sz w:val="18"/>
      <w:szCs w:val="18"/>
    </w:rPr>
  </w:style>
  <w:style w:type="character" w:customStyle="1" w:styleId="24">
    <w:name w:val="页脚 字符"/>
    <w:basedOn w:val="16"/>
    <w:link w:val="11"/>
    <w:qFormat/>
    <w:uiPriority w:val="99"/>
    <w:rPr>
      <w:sz w:val="18"/>
      <w:szCs w:val="18"/>
    </w:rPr>
  </w:style>
  <w:style w:type="character" w:customStyle="1" w:styleId="25">
    <w:name w:val="日期 字符"/>
    <w:basedOn w:val="16"/>
    <w:link w:val="9"/>
    <w:semiHidden/>
    <w:qFormat/>
    <w:uiPriority w:val="99"/>
    <w:rPr>
      <w:rFonts w:ascii="Calibri" w:hAnsi="Calibri" w:eastAsia="仿宋_GB2312" w:cs="黑体"/>
      <w:sz w:val="28"/>
    </w:rPr>
  </w:style>
  <w:style w:type="character" w:customStyle="1" w:styleId="26">
    <w:name w:val="标题 2 字符"/>
    <w:basedOn w:val="16"/>
    <w:link w:val="4"/>
    <w:qFormat/>
    <w:uiPriority w:val="9"/>
    <w:rPr>
      <w:rFonts w:asciiTheme="majorHAnsi" w:hAnsiTheme="majorHAnsi" w:eastAsiaTheme="majorEastAsia" w:cstheme="majorBidi"/>
      <w:b/>
      <w:bCs/>
      <w:sz w:val="32"/>
      <w:szCs w:val="32"/>
    </w:rPr>
  </w:style>
  <w:style w:type="character" w:customStyle="1" w:styleId="27">
    <w:name w:val="脚注文本 字符"/>
    <w:basedOn w:val="16"/>
    <w:link w:val="14"/>
    <w:semiHidden/>
    <w:qFormat/>
    <w:uiPriority w:val="99"/>
    <w:rPr>
      <w:rFonts w:ascii="Calibri" w:hAnsi="Calibri" w:eastAsia="仿宋_GB2312" w:cs="黑体"/>
      <w:sz w:val="18"/>
      <w:szCs w:val="18"/>
    </w:rPr>
  </w:style>
  <w:style w:type="paragraph" w:customStyle="1" w:styleId="28">
    <w:name w:val="List Paragraph"/>
    <w:basedOn w:val="1"/>
    <w:qFormat/>
    <w:uiPriority w:val="34"/>
    <w:pPr>
      <w:ind w:firstLine="420"/>
    </w:pPr>
  </w:style>
  <w:style w:type="table" w:customStyle="1" w:styleId="29">
    <w:name w:val="网格型1"/>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0">
    <w:name w:val="标题 1 字符"/>
    <w:basedOn w:val="16"/>
    <w:link w:val="3"/>
    <w:qFormat/>
    <w:uiPriority w:val="9"/>
    <w:rPr>
      <w:rFonts w:ascii="Calibri" w:hAnsi="Calibri" w:eastAsia="仿宋_GB2312" w:cs="黑体"/>
      <w:b/>
      <w:bCs/>
      <w:kern w:val="44"/>
      <w:sz w:val="44"/>
      <w:szCs w:val="44"/>
    </w:rPr>
  </w:style>
  <w:style w:type="paragraph" w:customStyle="1" w:styleId="31">
    <w:name w:val="TOC 标题1"/>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字符"/>
    <w:basedOn w:val="16"/>
    <w:link w:val="7"/>
    <w:qFormat/>
    <w:uiPriority w:val="99"/>
    <w:rPr>
      <w:rFonts w:ascii="Calibri" w:hAnsi="Calibri" w:eastAsia="仿宋_GB2312" w:cs="黑体"/>
      <w:sz w:val="28"/>
    </w:rPr>
  </w:style>
  <w:style w:type="character" w:customStyle="1" w:styleId="33">
    <w:name w:val="批注主题 字符"/>
    <w:basedOn w:val="32"/>
    <w:link w:val="6"/>
    <w:semiHidden/>
    <w:qFormat/>
    <w:uiPriority w:val="99"/>
    <w:rPr>
      <w:rFonts w:ascii="Calibri" w:hAnsi="Calibri" w:eastAsia="仿宋_GB2312" w:cs="黑体"/>
      <w:b/>
      <w:bCs/>
      <w:sz w:val="28"/>
    </w:rPr>
  </w:style>
  <w:style w:type="character" w:customStyle="1" w:styleId="34">
    <w:name w:val="批注框文本 字符"/>
    <w:basedOn w:val="16"/>
    <w:link w:val="10"/>
    <w:semiHidden/>
    <w:qFormat/>
    <w:uiPriority w:val="99"/>
    <w:rPr>
      <w:rFonts w:ascii="Calibri" w:hAnsi="Calibri" w:eastAsia="仿宋_GB2312" w:cs="黑体"/>
      <w:sz w:val="18"/>
      <w:szCs w:val="18"/>
    </w:rPr>
  </w:style>
  <w:style w:type="character" w:customStyle="1" w:styleId="35">
    <w:name w:val="标题 3 字符"/>
    <w:basedOn w:val="16"/>
    <w:link w:val="5"/>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916186-BD0D-4AA6-9A71-544A29A0BA70}">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1910</Words>
  <Characters>10889</Characters>
  <Lines>90</Lines>
  <Paragraphs>25</Paragraphs>
  <ScaleCrop>false</ScaleCrop>
  <LinksUpToDate>false</LinksUpToDate>
  <CharactersWithSpaces>12774</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lenovo</cp:lastModifiedBy>
  <cp:lastPrinted>2024-05-23T06:41:00Z</cp:lastPrinted>
  <dcterms:modified xsi:type="dcterms:W3CDTF">2024-09-19T10:27:41Z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y fmtid="{D5CDD505-2E9C-101B-9397-08002B2CF9AE}" pid="3" name="ICV">
    <vt:lpwstr>3EF45427F1AB471EA8EEF9CC713CA477</vt:lpwstr>
  </property>
</Properties>
</file>