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F818C"/>
    <w:p w14:paraId="286E4A8E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D109BB8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064A8B63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5976C8B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/>
        </w:rPr>
        <w:t>社区经费（80%）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项目支出绩效评价报告</w:t>
      </w:r>
    </w:p>
    <w:p w14:paraId="10F85013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7D41E4F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785F7B8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4A2A4D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72FE721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5452C31">
      <w:pPr>
        <w:pStyle w:val="8"/>
      </w:pPr>
    </w:p>
    <w:p w14:paraId="395CE84E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F589A81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4B702955">
      <w:pPr>
        <w:pStyle w:val="8"/>
        <w:rPr>
          <w:rFonts w:eastAsia="仿宋_GB2312"/>
          <w:kern w:val="0"/>
          <w:sz w:val="30"/>
          <w:szCs w:val="30"/>
        </w:rPr>
      </w:pPr>
    </w:p>
    <w:p w14:paraId="057DCCFC"/>
    <w:p w14:paraId="0E5865C1"/>
    <w:p w14:paraId="4CC8E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社区经费（80%）</w:t>
      </w:r>
    </w:p>
    <w:p w14:paraId="0CE95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实施单位（公章）：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乌鲁木齐市水磨沟区七道湾街道办事处</w:t>
      </w:r>
    </w:p>
    <w:p w14:paraId="14118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主管部门（公章）：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乌鲁木齐市水磨沟区七道湾街道办事处</w:t>
      </w:r>
    </w:p>
    <w:p w14:paraId="57A81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项目负责人（签章）：</w:t>
      </w:r>
    </w:p>
    <w:p w14:paraId="14AC2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17</w:t>
      </w:r>
      <w:r>
        <w:rPr>
          <w:rFonts w:eastAsia="仿宋_GB2312"/>
          <w:kern w:val="0"/>
          <w:sz w:val="36"/>
          <w:szCs w:val="36"/>
        </w:rPr>
        <w:t>日</w:t>
      </w:r>
    </w:p>
    <w:p w14:paraId="187E47B8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02208009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41268B8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4DFF271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市委组织部、市财政局关于《乌鲁木齐市社区工作经费管理使用办法（暂行）》（乌党组办字【2012】31号）、《乌鲁木齐市社区工作经费管理使用办法（暂行）》的补充通知（乌党组办字【2015】6号）规定，为我单位批复社区经费（80%）项目。</w:t>
      </w:r>
    </w:p>
    <w:p w14:paraId="35645CC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1FBA423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主要内容：根据《乌鲁木齐市社区工作经费管理使用办法（暂行）》（乌党组办字【2012】31号）、《乌鲁木齐市社区工作经费管理使用办法（暂行）》的补充通知（乌党组办字【2015】6号）规定文件规定社区经费支出范围：社区“两委”班子日常工作的开支，主要包括办公用品、设备维修、水电暖气、车辆燃料和维护、办公用房修缮等费用；开展维稳和服务居民、环境整治工作各项费用；经选举产生无任何经济收入的社区“两委”成员生活补贴；因工作需要，驻区单位委派人员和有经济收入的其他人员，经选举担任社区“两委”成员的岗位补贴；社区工作人员学习培训、外出考察费用；其他与社区工作有关的支出。</w:t>
      </w:r>
    </w:p>
    <w:p w14:paraId="614DB8A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实施情况：项目目前已经完成实际设立的目标，项目在实施过程中严格按照目标设立的各阶段任务进行开展工作，在前期立项过程中积极征求辖区居民及社区两委意见建议，明确项目目标及分工，严格把质量关，建立安全防护机制，保证项目实施各阶段安全顺利进行。项目执行情况每季度按要求在社区公示。</w:t>
      </w:r>
    </w:p>
    <w:p w14:paraId="7BFA37A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社区经费（80%），是2024年辖区12个社区正常运转的基本经费保障。其中：</w:t>
      </w:r>
    </w:p>
    <w:p w14:paraId="6379158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服务群众专项经费目标值小于等于16万元，实际完成等于13.05万元。主要用于社区开展春季、秋季两次环境整治专项工作，为辖区群众打造干净卫生的生活环境。组织辖区各类文化、体育等群众活动；</w:t>
      </w:r>
    </w:p>
    <w:p w14:paraId="0C32584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每个一般社区每年党建工作经费目标值小于等于8万元，实际完成等于8万元，主要用于完成区委组织部各类基层党组织宣传、打造任务；</w:t>
      </w:r>
    </w:p>
    <w:p w14:paraId="60E6E935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每个一般社区每年运转经费目标值小于等于16万元，实际完成16万元，主要用于社区基本运行，保证社区水费、电费、电话费、暖气费、办公经费等的基本支出。</w:t>
      </w:r>
    </w:p>
    <w:p w14:paraId="1DF9A25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12个社区党支部辖区党员引导社区各项工作全面推进，2024年度12个社区党支部年终考核均为合格及以上等次。</w:t>
      </w:r>
    </w:p>
    <w:p w14:paraId="66E8CAB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5CF5C2C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（1）资金投入情况</w:t>
      </w:r>
    </w:p>
    <w:p w14:paraId="4BF7140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年初预算数480万元，全年预算数480万元，实际总投入480万元，该项目资金来源为一般公共预算，年中追加0万元，已全部落实到位，资金主要用于：社区水费、电费、电话费、暖气费、办公经费等基本运行、服务群众的专项工作及基层党建工作的经费支出。</w:t>
      </w:r>
    </w:p>
    <w:p w14:paraId="6ABC152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（2）资金使用情况</w:t>
      </w:r>
    </w:p>
    <w:p w14:paraId="079B3EE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该项目年初预算数480万元，全年预算数480万元,，全年执行数114.46万元，预算执行率为23.85%，主要用于：社区基本运转的水电费、邮电费、暖气费、服务群众及基层党组织建设的办公经费支出。</w:t>
      </w:r>
    </w:p>
    <w:p w14:paraId="408B442D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3205AA02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5648002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社区经费（80%），主要用于社区服务群众专项工作，党建工作及社区基本运转。该项目是基层工作经费，切实保障社区基本运行，全力确保社区服务能够满足居民群众的基本服务需求，确保社区正常运转。</w:t>
      </w:r>
    </w:p>
    <w:p w14:paraId="7B8FEC31"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阶段性目标</w:t>
      </w:r>
    </w:p>
    <w:p w14:paraId="664CDA1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社区经费（80%），是2024年辖区12个社区正常运转的基本经费保障。其中：</w:t>
      </w:r>
    </w:p>
    <w:p w14:paraId="05F0128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服务群众专项经费目标值小于等于16万元，实际完成等于13.05万元。主要用于社区开展春季、秋季两次环境整治专项工作，为辖区群众打造干净卫生的生活环境。组织辖区各类文化、体育等群众活动；</w:t>
      </w:r>
    </w:p>
    <w:p w14:paraId="315ED8C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每个一般社区每年党建工作经费目标值小于等于8万元，实际完成等于8万元，主要用于完成区委组织部各类基层党组织宣传、打造任务；</w:t>
      </w:r>
    </w:p>
    <w:p w14:paraId="1731BA6A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每个一般社区每年运转经费目标值小于等于16万元，实际完成16万元，主要用于社区基本运行，保证社区水费、电费、电话费、暖气费、办公经费等的基本支出。</w:t>
      </w:r>
    </w:p>
    <w:p w14:paraId="11180E8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12个社区党支部辖区党员引导社区各项工作全面推进，2024年度12个社区党支部年终考核均为合格及以上等次。</w:t>
      </w:r>
    </w:p>
    <w:p w14:paraId="755117F3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430FE465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36F41111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4A4235E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47038D9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项目在实施前向项目负责人提供财政支出绩效方面的资金管理信息，促进项目支出严格按照资金管理规定进行。</w:t>
      </w:r>
    </w:p>
    <w:p w14:paraId="306BC22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（2）项目绩效管理财政支出运行提供及时、有效的信息。</w:t>
      </w:r>
    </w:p>
    <w:p w14:paraId="22B1367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499814FE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20142B5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社区经费（80%）项目所包含的全部项目内容。</w:t>
      </w:r>
    </w:p>
    <w:p w14:paraId="2BC44C2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5575D43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评价从项目决策（包括绩效目标、决策过程）、项目管理（包括项目资金、项目实施）、项目产出（包括项目产出数量、产出质量、产出时效和产出成本）项目效益四个维度对社区经费（80%）项目的全面性（工作成果、工作行为、能力发展等）、数据与记录的完整性、结果应用的合理性的客观性评价，评价核心为专项资金的支出完成情况和效果。</w:t>
      </w:r>
    </w:p>
    <w:p w14:paraId="7324D8EA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44C0372D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56422C4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本次项目绩效评价遵循以下基本原则：</w:t>
      </w:r>
    </w:p>
    <w:p w14:paraId="2E4D78F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（1）科学公正。绩效评价应当运用科学合理的方法，按照规范的程序，对项目绩效进行客观、公正的反映。</w:t>
      </w:r>
    </w:p>
    <w:p w14:paraId="7B16D98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50EC992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17E85F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（4）公开透明。绩效评价结果应依法依规公开，并自觉接受社会监督。</w:t>
      </w:r>
    </w:p>
    <w:p w14:paraId="2FDEBFD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565FA1E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53DB12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（1）确定评价指标</w:t>
      </w:r>
    </w:p>
    <w:p w14:paraId="313CDE81">
      <w:pPr>
        <w:spacing w:line="560" w:lineRule="exact"/>
        <w:ind w:firstLine="640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B261AB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449AAC8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581C4C4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4014047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5FBAAE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042C4E1D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具体评价指标体系详情见附件2。</w:t>
      </w:r>
    </w:p>
    <w:p w14:paraId="719889D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7842AD1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50F6E0F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本次评价指标中，既有定性指标又有定量指标，各类指标因考核内容不同和客观标准不同存在较大差异，因此核定具体指标时采用了比较法和因素分析法，具体评价方法如下：</w:t>
      </w:r>
    </w:p>
    <w:p w14:paraId="22E8930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（1）比较法</w:t>
      </w:r>
    </w:p>
    <w:p w14:paraId="4D5F5D7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通过对绩效目标与实施效果、历史与当期情况，综合分析绩效目标实现程度。对项目最终验收情况与年度绩效目标对比、预算资金执行情况等相关因素进行比较。</w:t>
      </w:r>
    </w:p>
    <w:p w14:paraId="6DE8874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（2）因素分析法</w:t>
      </w:r>
    </w:p>
    <w:p w14:paraId="2199137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374E1E7B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704E819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绩效评价标准通常包括计划标准、行业标准、历史标准等，用于对绩效指标完成情况进行比较、分析、评价。本次评价主要采用了计划标准和历史标准。</w:t>
      </w:r>
    </w:p>
    <w:p w14:paraId="6EDDF7A9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指以预先制定的目标、计划、预算、定额等作为评价标准。</w:t>
      </w:r>
      <w:bookmarkEnd w:id="0"/>
      <w:bookmarkEnd w:id="1"/>
    </w:p>
    <w:p w14:paraId="1E19D46C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" w:name="_Toc430"/>
      <w:bookmarkStart w:id="3" w:name="_Toc16028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历史标准：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指参照历史数据制定的评价标准，为体现绩效改进的原则，在可实现的条件下应当确定相对较高的评价标准。</w:t>
      </w:r>
      <w:bookmarkEnd w:id="2"/>
      <w:bookmarkEnd w:id="3"/>
    </w:p>
    <w:p w14:paraId="26572E58">
      <w:pPr>
        <w:pStyle w:val="8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43E59D01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先根据《七道湾街道办事处绩效管理办法》的要求成立评价工作组，组长由办事处副主任马冬梅（负责审批评价方案、协调跨部门资源、签发最终报告）担任，副组长由社区书记狄淑静（项目执行负责人）担任，组员包括会计孙庆萍（负责核查预算执行合规性及成本效益）、社区报账员代表2名（负责收集辖区居民满意度反馈，参与调研）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5006723D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5924B610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4CF1CBB1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综合评价情况及评价结论（附相关评分表）</w:t>
      </w:r>
    </w:p>
    <w:p w14:paraId="682AE20C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118505A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4F835C05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4F61EC1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96.34分，属于“优”。其中，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项目决策类指标权重为20分，得分为 20分，得分率为 100%。项目过程类指标权重为20分，得分为16.95分，得分率为84.75%。项目产出类指标权重为40分，得分为39.39分，得分率为98.48%。项目效益类指标权重为20分，得分为20分，得分率为100%。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具体打分情况详见：表1.综合评分表。</w:t>
      </w:r>
    </w:p>
    <w:p w14:paraId="78DE68E7">
      <w:pPr>
        <w:pStyle w:val="8"/>
        <w:spacing w:before="0" w:after="0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8C0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AD2767A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1C2D946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D504700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53F87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0AEB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3A20B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19FD2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2F6D3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0D50A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7457E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19494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16.95</w:t>
            </w:r>
          </w:p>
        </w:tc>
      </w:tr>
      <w:tr w14:paraId="20872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DDB23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BBAD5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B1202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39.39</w:t>
            </w:r>
          </w:p>
        </w:tc>
      </w:tr>
      <w:tr w14:paraId="1ED32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C9043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A3835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49DA6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7B525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D6CC3">
            <w:pPr>
              <w:jc w:val="center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E2C8C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5457C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96.34</w:t>
            </w:r>
          </w:p>
        </w:tc>
      </w:tr>
    </w:tbl>
    <w:p w14:paraId="55947E86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07FA681E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2C2809C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项目决策类指标包括项目立项、绩效目标和资金投入三方面的内容，由6个三级指标构成，权重分值为20分，实际得分20分，得分率为100%。</w:t>
      </w:r>
    </w:p>
    <w:p w14:paraId="38ABB266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0071F0E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（1）立项依据充分性</w:t>
      </w:r>
    </w:p>
    <w:p w14:paraId="7E46587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经费（80%），根据市委组织部、市财政局关于《乌鲁木齐市社区工作经费管理使用办法（暂行）》（乌党组办字【2012】31号）、《乌鲁木齐市社区工作经费管理使用办法（暂行）》的补充通知（乌党组办字【2015】6号）规定，为我单位批复社区经费（80%）。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0049A56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（2）立项程序规范性</w:t>
      </w:r>
    </w:p>
    <w:p w14:paraId="1B4F3EA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项目申请、设立过程符合相关要求，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风险评估、绩效评估、集体决策，保障了程序的规范性。</w:t>
      </w:r>
    </w:p>
    <w:p w14:paraId="706847D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32E7D04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（1）绩效目标合理性</w:t>
      </w:r>
    </w:p>
    <w:p w14:paraId="0F7AFD8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年初结合实际工作内容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设定绩效目标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，绩效目标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B74F3C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（2）绩效指标明确性</w:t>
      </w:r>
    </w:p>
    <w:p w14:paraId="0119A72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EF327F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1003CCA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（1）预算编制科学性</w:t>
      </w:r>
    </w:p>
    <w:p w14:paraId="1371539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预算编制经过科学论证，提供充分的测算依据佐证资料，预算内容与项目内容相匹配。项目投资额与工作任务相匹配。</w:t>
      </w:r>
    </w:p>
    <w:p w14:paraId="44C2F15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（2）资金分配合理性</w:t>
      </w:r>
    </w:p>
    <w:p w14:paraId="41DF24F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资金分配额度与项目单位实际工作内容相适应，资金分配额度合理，资金分配依据充分。</w:t>
      </w:r>
    </w:p>
    <w:p w14:paraId="32E2DC7D">
      <w:pPr>
        <w:pStyle w:val="8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47881B8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项目过程类指标包括资金管理和组织实施两方面的内容，由5个三级指标构成，权重分值为20分，实际得分16.95分，得分率为84.75%。</w:t>
      </w:r>
    </w:p>
    <w:p w14:paraId="1D52A86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社区经费（80%）项目，由社区根据文件支出范围要求合理规划年度预算，根据使用金额和审批权限事前请示，按要求在政采云官网上实施采购活动，资金支付时，严格执行财务制度。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4D41A7B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32940F0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（1）资金到位率</w:t>
      </w:r>
    </w:p>
    <w:p w14:paraId="42472FE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本项目总投资480万元，财政资金到位480万元，到位率100%，预算资金按计划进度执行。</w:t>
      </w:r>
    </w:p>
    <w:p w14:paraId="04A014A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（2）预算执行率</w:t>
      </w:r>
    </w:p>
    <w:p w14:paraId="5998033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预算编制较为详细，项目资金支出总体能够按照预算执行，预算资金支出114.46万元，预算执行率为23.85%。</w:t>
      </w:r>
    </w:p>
    <w:p w14:paraId="3981698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（3）资金使用合规性</w:t>
      </w:r>
    </w:p>
    <w:p w14:paraId="52A1A59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025A3B79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17E5D62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（1）管理制度健全性</w:t>
      </w:r>
    </w:p>
    <w:p w14:paraId="47BF271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A5ECB3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（2）制度执行有效性</w:t>
      </w:r>
    </w:p>
    <w:p w14:paraId="247BF6C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3CB5281A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738010B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项目产出类指标包括产出数量、产出质量、产出时效、产出成本四方面的内容，由5个三级指标构成，权重分为40分，实际得分39.39分，得分率为98.48%。具体产出指标完成情况如下：</w:t>
      </w:r>
    </w:p>
    <w:p w14:paraId="5A09A16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数量指标：</w:t>
      </w:r>
    </w:p>
    <w:p w14:paraId="3E9FBA0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一般社区数量，指标值：等于12个，实际完成值：等于12个，12个社区是：文汇社区、文源社区、七道湾东街南社区、七道湾北社区、会展社区、会展中心社区、红光社区、和居社区、和锦社区、新兴社区、新丰社区、龙瑞街社区。指标完成率100%，无偏差。</w:t>
      </w:r>
    </w:p>
    <w:p w14:paraId="2817563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</w:p>
    <w:p w14:paraId="044AD83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指标1：年度社区考核合格率，指标值：等于100%，根据区委组织部对七道湾街道、社区2024年度五好党支部考核结果得到全部合格，实际完成值：等于100%，指标完成率100%。无偏差。</w:t>
      </w:r>
    </w:p>
    <w:p w14:paraId="65E0B6A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</w:t>
      </w:r>
    </w:p>
    <w:p w14:paraId="2FF6B38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指标1：每个一般社区每年服务群众专项经费，指标值：小于等于16万元，根据预算执行明细单及社区债务明细表，得到实际完成值：等于13.05万元，指标完成率81.56%。偏差原因：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因财力不足，2024年度服务群众工作开展主要依赖辖区单位共同开展降低成本，与年初目标偏差18.44%。</w:t>
      </w:r>
    </w:p>
    <w:p w14:paraId="1FE5387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指标2：每个一般社区每年党建工作经费，指标值：小于等于8万元，根据预算执行明细单及社区债务明细表得到实际完成值：等于8万元，指标完成率100%。无偏差。</w:t>
      </w:r>
    </w:p>
    <w:p w14:paraId="753ABE7F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指标3：每个一般社区每年运转经费，指标值：小于等于16万元，根据预算执行明细单及社区债务明细表得到实际完成值：等于16万元，指标完成率100%。无偏差。</w:t>
      </w:r>
    </w:p>
    <w:p w14:paraId="407DFDCC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1489885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</w:p>
    <w:p w14:paraId="706FC0A8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5DECDD7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①经济效益指标：</w:t>
      </w:r>
    </w:p>
    <w:p w14:paraId="23CC85BE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该项目无经济效益指标。</w:t>
      </w:r>
    </w:p>
    <w:p w14:paraId="64D99CD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②社会效益指标：</w:t>
      </w:r>
    </w:p>
    <w:p w14:paraId="6EC8315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指标1：加强社区建设，指标值：有效加强，实际完成值：完全达到预期目标，指标完成率100%。无偏差。</w:t>
      </w:r>
    </w:p>
    <w:p w14:paraId="63AC3CA0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项目经费使用紧扣社区建设核心目标，做好辖区居民服务工作及基层党建工作。通过实施该项目改善了辖区居住环境，提高了居民参与社区服务及活动的意愿，加强了基层党组织建设，整体加强了社区建设。</w:t>
      </w:r>
    </w:p>
    <w:p w14:paraId="080DEB0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③生态效益指标：</w:t>
      </w:r>
    </w:p>
    <w:p w14:paraId="605E0F4A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该项目无经济效益指标。</w:t>
      </w:r>
    </w:p>
    <w:p w14:paraId="0A0CA900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57CA308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满意度指标：辖区居民满意度，指标值：大于等于90%，实际完成值：等于100%，指标完成率111.11%。偏差原因：2024年初按照上年完成情况设置绩效目标，2024年度满意度100%，与年初目标偏差11.11%。</w:t>
      </w:r>
    </w:p>
    <w:p w14:paraId="3DDAB11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针对辖区居民满意度，发放问卷星满意度调查问卷22份，问卷第十三题：您对社区工作是否满意，参与问卷22人均选择满意，满意度100%。</w:t>
      </w:r>
    </w:p>
    <w:p w14:paraId="527D68FE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543D9AD0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7FB9D536">
      <w:pPr>
        <w:pStyle w:val="8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目主要用于基层社会治理、基层党建和服务群众的专项资金。我单位按照市委组织部的要求，制定了《社区经费管理使用办法》，明确资金使用范围；明确单笔支出金额超2000元的需报备至街道分管财务领导；单笔支出金额超5000元的，需按街道三重一大事项的要求，上报街道党工委集体研究讨论后方可支出；对于社区的日常支出，按街道纪工委要求定期公示。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B8B59FD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分析</w:t>
      </w:r>
    </w:p>
    <w:p w14:paraId="09C17D2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7D32181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2.因轮岗、调动、等因素使我单位绩效工作人员流动频繁，造成了工作衔接不到位的情况。</w:t>
      </w:r>
    </w:p>
    <w:p w14:paraId="212BEA0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3.项目为市委组织部要求的每个一般社区50万元/年的社区经费，2024年项目预算仅为规定的80%，项目预算不足。项目在执行过程中，因财力不足，项目预算执行率较低</w:t>
      </w:r>
    </w:p>
    <w:p w14:paraId="43835DA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55E6934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 w14:paraId="71A3CD9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F485AF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4F79035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4.积极盘活闲置固定资产，增加非税收入，积极对接财政争取财政资金，分阶段督促项目预算执行率，提高各阶段协作效率，提高项目预算执行率。</w:t>
      </w:r>
    </w:p>
    <w:p w14:paraId="2D299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4" w:name="page8"/>
      <w:bookmarkEnd w:id="4"/>
      <w:r>
        <w:rPr>
          <w:rFonts w:eastAsia="黑体"/>
          <w:sz w:val="32"/>
          <w:szCs w:val="32"/>
        </w:rPr>
        <w:t>明的问题</w:t>
      </w:r>
    </w:p>
    <w:p w14:paraId="29D3FC51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项目预算部分，居民参与率较低，主要是以社区“两委”为决策核心，导致项目资金在服务群众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部分效果与预期有偏差。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B65405-35F8-45F1-A513-15508D2DEA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946F40F-F2DD-4CE1-A2A0-9A2DE3BA993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55ED710-87F8-4EFE-AC23-9B00823E0B8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AC69B15-37FD-4137-8520-439F867B977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E0F9E81-21EF-41B2-BCC0-BC94BE9AFBF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60549920-40FD-4864-910D-4C57D1C3EA9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D0F0EF2-8A83-405B-A7EA-4730661A2B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0EA48E5C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07F2E02D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47D103E1"/>
    <w:rsid w:val="7CF73060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9">
    <w:name w:val="Body Text First Indent"/>
    <w:basedOn w:val="3"/>
    <w:autoRedefine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4"/>
    <w:autoRedefine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paragraph" w:customStyle="1" w:styleId="15">
    <w:name w:val="Comment Text"/>
    <w:basedOn w:val="1"/>
    <w:link w:val="22"/>
    <w:autoRedefine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autoRedefine/>
    <w:qFormat/>
    <w:uiPriority w:val="0"/>
    <w:rPr>
      <w:b/>
      <w:bCs/>
    </w:rPr>
  </w:style>
  <w:style w:type="character" w:customStyle="1" w:styleId="17">
    <w:name w:val="Comment Reference"/>
    <w:basedOn w:val="13"/>
    <w:autoRedefine/>
    <w:qFormat/>
    <w:uiPriority w:val="0"/>
    <w:rPr>
      <w:sz w:val="21"/>
      <w:szCs w:val="21"/>
    </w:rPr>
  </w:style>
  <w:style w:type="character" w:customStyle="1" w:styleId="18">
    <w:name w:val="fontstyle01"/>
    <w:autoRedefine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eyJoZGlkIjoiYjgwNGRmZWNlMDI1ZTlhNGQ3MDgyNjM5YjY4MTFhNDMiLCJ1c2VySWQiOiI2NDI5Nzc1MjUifQ==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7de3b-23c5-4579-b5e9-acbd6fdd9eb5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7875</Words>
  <Characters>8223</Characters>
  <Lines>66</Lines>
  <Paragraphs>18</Paragraphs>
  <TotalTime>20</TotalTime>
  <ScaleCrop>false</ScaleCrop>
  <LinksUpToDate>false</LinksUpToDate>
  <CharactersWithSpaces>8227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2025-04-25T11:07:00Z</cp:lastPrinted>
  <dcterms:modified xsi:type="dcterms:W3CDTF">2025-11-05T09:44:30Z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