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乌鲁木齐市水磨沟区商务局2024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D9749F3">
      <w:r>
        <w:br w:type="page"/>
      </w:r>
    </w:p>
    <w:p w14:paraId="45327AA9">
      <w:pPr>
        <w:spacing w:line="640" w:lineRule="exact"/>
        <w:jc w:val="center"/>
        <w:outlineLvl w:val="1"/>
      </w:pPr>
      <w:r>
        <w:rPr>
          <w:rFonts w:ascii="黑体" w:hAnsi="黑体" w:eastAsia="黑体"/>
          <w:sz w:val="32"/>
        </w:rPr>
        <w:t>第一部分 单位概况</w:t>
      </w:r>
    </w:p>
    <w:p w14:paraId="3C8E0962">
      <w:pPr>
        <w:spacing w:line="640" w:lineRule="exact"/>
        <w:ind w:firstLine="640"/>
        <w:jc w:val="both"/>
        <w:outlineLvl w:val="2"/>
      </w:pPr>
      <w:r>
        <w:rPr>
          <w:rFonts w:ascii="黑体" w:hAnsi="黑体" w:eastAsia="黑体"/>
          <w:sz w:val="32"/>
        </w:rPr>
        <w:t>一、主要职能</w:t>
      </w:r>
    </w:p>
    <w:p w14:paraId="3228BE50">
      <w:pPr>
        <w:spacing w:line="580" w:lineRule="exact"/>
        <w:ind w:firstLine="640"/>
        <w:jc w:val="both"/>
      </w:pPr>
      <w:r>
        <w:rPr>
          <w:rFonts w:ascii="仿宋_GB2312" w:hAnsi="仿宋_GB2312" w:eastAsia="仿宋_GB2312"/>
          <w:sz w:val="32"/>
        </w:rPr>
        <w:t>（1）贯彻执行国家、自治区和乌鲁木齐市有关内外贸易、外资、对外经济合作和粮食工作的方针、政策和</w:t>
      </w:r>
      <w:r>
        <w:rPr>
          <w:rFonts w:hint="eastAsia" w:ascii="仿宋_GB2312" w:hAnsi="仿宋_GB2312" w:eastAsia="仿宋_GB2312"/>
          <w:sz w:val="32"/>
          <w:lang w:eastAsia="zh-CN"/>
        </w:rPr>
        <w:t>法律法规</w:t>
      </w:r>
      <w:r>
        <w:rPr>
          <w:rFonts w:ascii="仿宋_GB2312" w:hAnsi="仿宋_GB2312" w:eastAsia="仿宋_GB2312"/>
          <w:sz w:val="32"/>
        </w:rPr>
        <w:t>，组织编制我区商务（粮食）工作中长期规划和年度计划，并组织实施和监督检查。</w:t>
      </w:r>
    </w:p>
    <w:p w14:paraId="2CB4C773">
      <w:pPr>
        <w:spacing w:line="580" w:lineRule="exact"/>
        <w:ind w:firstLine="640"/>
        <w:jc w:val="both"/>
      </w:pPr>
      <w:r>
        <w:rPr>
          <w:rFonts w:ascii="仿宋_GB2312" w:hAnsi="仿宋_GB2312" w:eastAsia="仿宋_GB2312"/>
          <w:sz w:val="32"/>
        </w:rPr>
        <w:t>（2）负责推进流通产业结构调整，指导流通企业改革、商贸服务业和社区商业发展，提出促进商贸中小企业发展的政策建议，推动流通标准化和连锁经营、商业特许经营、电子商务等现代流通方式的发展。</w:t>
      </w:r>
    </w:p>
    <w:p w14:paraId="1DF154DC">
      <w:pPr>
        <w:spacing w:line="580" w:lineRule="exact"/>
        <w:ind w:firstLine="640"/>
        <w:jc w:val="both"/>
      </w:pPr>
      <w:r>
        <w:rPr>
          <w:rFonts w:ascii="仿宋_GB2312" w:hAnsi="仿宋_GB2312" w:eastAsia="仿宋_GB2312"/>
          <w:sz w:val="32"/>
        </w:rPr>
        <w:t>（3）会同有关部门拟订区贸易发展规划；促进城乡市场发展，指导大宗产品批发市场规划和城市商业网点规</w:t>
      </w:r>
      <w:bookmarkStart w:id="0" w:name="_GoBack"/>
      <w:bookmarkEnd w:id="0"/>
      <w:r>
        <w:rPr>
          <w:rFonts w:ascii="仿宋_GB2312" w:hAnsi="仿宋_GB2312" w:eastAsia="仿宋_GB2312"/>
          <w:sz w:val="32"/>
        </w:rPr>
        <w:t>划、商业体系建设工作；推进有关农村市场体系建设；组织实施农村现代流通网络工程；负责大中型商场（超市）安全生产、报废汽车回收活动的日常监管及零售商促销活动备案等管理工作。</w:t>
      </w:r>
    </w:p>
    <w:p w14:paraId="4F7B9E3E">
      <w:pPr>
        <w:spacing w:line="580" w:lineRule="exact"/>
        <w:ind w:firstLine="640"/>
        <w:jc w:val="both"/>
      </w:pPr>
      <w:r>
        <w:rPr>
          <w:rFonts w:ascii="仿宋_GB2312" w:hAnsi="仿宋_GB2312" w:eastAsia="仿宋_GB2312"/>
          <w:sz w:val="32"/>
        </w:rPr>
        <w:t>（4）推动商务（粮食）领域信用建设；指导商业信用销售；参与建立市场诚信公共服务平台；按有关规定对特殊流通行业（含药品流通）进行监督管理。</w:t>
      </w:r>
    </w:p>
    <w:p w14:paraId="209AC21E">
      <w:pPr>
        <w:spacing w:line="580" w:lineRule="exact"/>
        <w:ind w:firstLine="640"/>
        <w:jc w:val="both"/>
      </w:pPr>
      <w:r>
        <w:rPr>
          <w:rFonts w:ascii="仿宋_GB2312" w:hAnsi="仿宋_GB2312" w:eastAsia="仿宋_GB2312"/>
          <w:sz w:val="32"/>
        </w:rPr>
        <w:t>（5）承担组织实施重要消费品市场调控和重要生产资料流通管理的责任；负责建立健全重要生活必需品市场供应监测预警体系和应急管理机制；监测分析市场运行、重要商品供求状况，调查分析商品价格信息，进行预测预警和信息引导；按分工负责重要消费品储备管理和市场调控工作；按有关规定对成品油流通行业进行监督管理；负责社区蔬菜副食品直销点的选址建设、日常监管、协调服务以及储备肉菜投放的组织实施等工作；组织指导“三绿工程”，负责“菜篮子”产品流通行业管理的相关工作。</w:t>
      </w:r>
    </w:p>
    <w:p w14:paraId="5E4CDE20">
      <w:pPr>
        <w:spacing w:line="580" w:lineRule="exact"/>
        <w:ind w:firstLine="640"/>
        <w:jc w:val="both"/>
      </w:pPr>
      <w:r>
        <w:rPr>
          <w:rFonts w:ascii="仿宋_GB2312" w:hAnsi="仿宋_GB2312" w:eastAsia="仿宋_GB2312"/>
          <w:sz w:val="32"/>
        </w:rPr>
        <w:t>（6）监督管理对外贸易工作，促进对外贸易发展；负责区对外贸易经营者备案登记工作；指导我区出口品牌建设工作；推进我区进出口贸易标准化工作；组织实施与进出口公平贸易相关工作。</w:t>
      </w:r>
    </w:p>
    <w:p w14:paraId="6D806A06">
      <w:pPr>
        <w:spacing w:line="580" w:lineRule="exact"/>
        <w:ind w:firstLine="640"/>
        <w:jc w:val="both"/>
      </w:pPr>
      <w:r>
        <w:rPr>
          <w:rFonts w:ascii="仿宋_GB2312" w:hAnsi="仿宋_GB2312" w:eastAsia="仿宋_GB2312"/>
          <w:sz w:val="32"/>
        </w:rPr>
        <w:t>（7）指导全区外商投资和境外投资促进工作；组织企业参加国（境）内外贸易投资促进活动，增进国际经贸交流合作。</w:t>
      </w:r>
    </w:p>
    <w:p w14:paraId="6202C5C5">
      <w:pPr>
        <w:spacing w:line="580" w:lineRule="exact"/>
        <w:ind w:firstLine="640"/>
        <w:jc w:val="both"/>
      </w:pPr>
      <w:r>
        <w:rPr>
          <w:rFonts w:ascii="仿宋_GB2312" w:hAnsi="仿宋_GB2312" w:eastAsia="仿宋_GB2312"/>
          <w:sz w:val="32"/>
        </w:rPr>
        <w:t>（8）落实促进服务贸易和服务外包发展的规划、政策，并组织实施；推动服务外包平台建设，促进产业集聚和发展。</w:t>
      </w:r>
    </w:p>
    <w:p w14:paraId="1278DC3F">
      <w:pPr>
        <w:spacing w:line="580" w:lineRule="exact"/>
        <w:ind w:firstLine="640"/>
        <w:jc w:val="both"/>
      </w:pPr>
      <w:r>
        <w:rPr>
          <w:rFonts w:ascii="仿宋_GB2312" w:hAnsi="仿宋_GB2312" w:eastAsia="仿宋_GB2312"/>
          <w:sz w:val="32"/>
        </w:rPr>
        <w:t>（9）指导、协调我区各类会展工作，推动会展业和会展经济发展；组织辖区企业参加商务领域交易会、洽谈会、博览会、展览会和有关招商活动。</w:t>
      </w:r>
    </w:p>
    <w:p w14:paraId="3436D1D5">
      <w:pPr>
        <w:spacing w:line="580" w:lineRule="exact"/>
        <w:ind w:firstLine="640"/>
        <w:jc w:val="both"/>
      </w:pPr>
      <w:r>
        <w:rPr>
          <w:rFonts w:ascii="仿宋_GB2312" w:hAnsi="仿宋_GB2312" w:eastAsia="仿宋_GB2312"/>
          <w:sz w:val="32"/>
        </w:rPr>
        <w:t>（10）负责粮食流通行政管理和行业指导；指导粮食产销合作；负责储备粮管理工作；负责粮油仓储单位备案管理工作；负责粮食收购许可、粮油市场价格监测及粮油收购、粮食经营者经营行为的日常监管工作。</w:t>
      </w:r>
    </w:p>
    <w:p w14:paraId="53631085">
      <w:pPr>
        <w:spacing w:line="580" w:lineRule="exact"/>
        <w:ind w:firstLine="640"/>
        <w:jc w:val="both"/>
      </w:pPr>
      <w:r>
        <w:rPr>
          <w:rFonts w:ascii="仿宋_GB2312" w:hAnsi="仿宋_GB2312" w:eastAsia="仿宋_GB2312"/>
          <w:sz w:val="32"/>
        </w:rPr>
        <w:t>（11）指导商务（粮食）领域信息化建设，协调信息资源的开发利用和共享，建立完善商务（粮食）信息公共服务体系，指导和推进电子商务应用与发展。</w:t>
      </w:r>
    </w:p>
    <w:p w14:paraId="04E6B7CC">
      <w:pPr>
        <w:spacing w:line="580" w:lineRule="exact"/>
        <w:ind w:firstLine="640"/>
        <w:jc w:val="both"/>
      </w:pPr>
      <w:r>
        <w:rPr>
          <w:rFonts w:ascii="仿宋_GB2312" w:hAnsi="仿宋_GB2312" w:eastAsia="仿宋_GB2312"/>
          <w:sz w:val="32"/>
        </w:rPr>
        <w:t>（12）指导全区商务（粮食）工作。</w:t>
      </w:r>
    </w:p>
    <w:p w14:paraId="7B9DCB7A">
      <w:pPr>
        <w:spacing w:line="580" w:lineRule="exact"/>
        <w:ind w:firstLine="640"/>
        <w:jc w:val="both"/>
      </w:pPr>
      <w:r>
        <w:rPr>
          <w:rFonts w:ascii="仿宋_GB2312" w:hAnsi="仿宋_GB2312" w:eastAsia="仿宋_GB2312"/>
          <w:sz w:val="32"/>
        </w:rPr>
        <w:t>（13）承办区委、区人民政府交办的其他事项。</w:t>
      </w:r>
    </w:p>
    <w:p w14:paraId="01D58B33">
      <w:pPr>
        <w:spacing w:line="580" w:lineRule="exact"/>
        <w:ind w:firstLine="640"/>
        <w:jc w:val="both"/>
      </w:pPr>
      <w:r>
        <w:rPr>
          <w:rFonts w:ascii="仿宋_GB2312" w:hAnsi="仿宋_GB2312" w:eastAsia="仿宋_GB2312"/>
          <w:sz w:val="32"/>
        </w:rPr>
        <w:t>（14）将原区商务局（区粮食局）承担的粮食行政管理及粮油、食糖储备管理职责，应急管理局承担的救灾物资储备管理职责等整合划入发展和改革委员会。调整后，区发展和改革委员会加挂“乌鲁木齐市水磨沟区粮食和物资储备局”牌子，区商务局不再挂“粮食局”牌子。其他维持不变。</w:t>
      </w:r>
    </w:p>
    <w:p w14:paraId="6460F971">
      <w:pPr>
        <w:spacing w:line="580" w:lineRule="exact"/>
        <w:ind w:firstLine="640"/>
        <w:jc w:val="both"/>
      </w:pPr>
      <w:r>
        <w:rPr>
          <w:rFonts w:ascii="仿宋_GB2312" w:hAnsi="仿宋_GB2312" w:eastAsia="仿宋_GB2312"/>
          <w:sz w:val="32"/>
        </w:rPr>
        <w:t>（15）区商务局不再承担粮食行政管理及粮油、食糖储备管理职责，区应急管理局不再承担救灾物资储备管理职责。其他维持不变。</w:t>
      </w:r>
    </w:p>
    <w:p w14:paraId="20B5C940">
      <w:pPr>
        <w:spacing w:line="640" w:lineRule="exact"/>
        <w:ind w:firstLine="640"/>
        <w:jc w:val="both"/>
        <w:outlineLvl w:val="2"/>
      </w:pPr>
      <w:r>
        <w:rPr>
          <w:rFonts w:ascii="黑体" w:hAnsi="黑体" w:eastAsia="黑体"/>
          <w:sz w:val="32"/>
        </w:rPr>
        <w:t>二、机构设置及人员情况</w:t>
      </w:r>
    </w:p>
    <w:p w14:paraId="247D8870">
      <w:pPr>
        <w:spacing w:line="580" w:lineRule="exact"/>
        <w:ind w:firstLine="640"/>
        <w:jc w:val="both"/>
      </w:pPr>
      <w:r>
        <w:rPr>
          <w:rFonts w:ascii="仿宋_GB2312" w:hAnsi="仿宋_GB2312" w:eastAsia="仿宋_GB2312"/>
          <w:sz w:val="32"/>
        </w:rPr>
        <w:t>乌鲁木齐市水磨沟区商务局2024年度，实有人数12人，其中：在职人员12人，增加1人；离休人员0人，增加0人；退休人员0人,增加0人。</w:t>
      </w:r>
    </w:p>
    <w:p w14:paraId="38197B03">
      <w:pPr>
        <w:spacing w:line="580" w:lineRule="exact"/>
        <w:ind w:firstLine="640"/>
        <w:jc w:val="both"/>
      </w:pPr>
      <w:r>
        <w:rPr>
          <w:rFonts w:ascii="仿宋_GB2312" w:hAnsi="仿宋_GB2312" w:eastAsia="仿宋_GB2312"/>
          <w:sz w:val="32"/>
        </w:rPr>
        <w:t>乌鲁木齐市水磨沟区商务局无下属预算单位，下设3个科室，分别是：行政办公室、经济科、综合业务科。</w:t>
      </w:r>
    </w:p>
    <w:p w14:paraId="6B63A10F">
      <w:r>
        <w:br w:type="page"/>
      </w:r>
    </w:p>
    <w:p w14:paraId="3A9904D4">
      <w:pPr>
        <w:spacing w:line="240" w:lineRule="auto"/>
        <w:jc w:val="center"/>
        <w:outlineLvl w:val="1"/>
      </w:pPr>
      <w:r>
        <w:rPr>
          <w:rFonts w:ascii="黑体" w:hAnsi="黑体" w:eastAsia="黑体"/>
          <w:sz w:val="32"/>
        </w:rPr>
        <w:t>第二部分 部门决算情况说明</w:t>
      </w:r>
    </w:p>
    <w:p w14:paraId="6BAE0561">
      <w:pPr>
        <w:spacing w:line="640" w:lineRule="exact"/>
        <w:ind w:firstLine="640"/>
        <w:jc w:val="both"/>
        <w:outlineLvl w:val="2"/>
      </w:pPr>
      <w:r>
        <w:rPr>
          <w:rFonts w:ascii="黑体" w:hAnsi="黑体" w:eastAsia="黑体"/>
          <w:sz w:val="32"/>
        </w:rPr>
        <w:t>一、收入支出决算总体情况说明</w:t>
      </w:r>
    </w:p>
    <w:p w14:paraId="2235EBD1">
      <w:pPr>
        <w:spacing w:line="580" w:lineRule="exact"/>
        <w:ind w:firstLine="640"/>
        <w:jc w:val="both"/>
      </w:pPr>
      <w:r>
        <w:rPr>
          <w:rFonts w:ascii="仿宋_GB2312" w:hAnsi="仿宋_GB2312" w:eastAsia="仿宋_GB2312"/>
          <w:b/>
          <w:sz w:val="32"/>
        </w:rPr>
        <w:t>2024年度收入总计519.72万元，</w:t>
      </w:r>
      <w:r>
        <w:rPr>
          <w:rFonts w:ascii="仿宋_GB2312" w:hAnsi="仿宋_GB2312" w:eastAsia="仿宋_GB2312"/>
          <w:b w:val="0"/>
          <w:sz w:val="32"/>
        </w:rPr>
        <w:t>其中：本年收入合计506.55万元，使用非财政拨款结余（含专用结余）0.00万元，年初结转和结余13.17万元。</w:t>
      </w:r>
    </w:p>
    <w:p w14:paraId="55B35B2B">
      <w:pPr>
        <w:spacing w:line="580" w:lineRule="exact"/>
        <w:ind w:firstLine="640"/>
        <w:jc w:val="both"/>
      </w:pPr>
      <w:r>
        <w:rPr>
          <w:rFonts w:ascii="仿宋_GB2312" w:hAnsi="仿宋_GB2312" w:eastAsia="仿宋_GB2312"/>
          <w:b/>
          <w:sz w:val="32"/>
        </w:rPr>
        <w:t>2024年度支出总计519.72万元，</w:t>
      </w:r>
      <w:r>
        <w:rPr>
          <w:rFonts w:ascii="仿宋_GB2312" w:hAnsi="仿宋_GB2312" w:eastAsia="仿宋_GB2312"/>
          <w:b w:val="0"/>
          <w:sz w:val="32"/>
        </w:rPr>
        <w:t>其中：本年支出合计519.04万元，结余分配0.00万元，年末结转和结余0.68万元。</w:t>
      </w:r>
    </w:p>
    <w:p w14:paraId="7FFF25A7">
      <w:pPr>
        <w:spacing w:line="580" w:lineRule="exact"/>
        <w:ind w:firstLine="640"/>
        <w:jc w:val="both"/>
      </w:pPr>
      <w:r>
        <w:rPr>
          <w:rFonts w:ascii="仿宋_GB2312" w:hAnsi="仿宋_GB2312" w:eastAsia="仿宋_GB2312"/>
          <w:b w:val="0"/>
          <w:sz w:val="32"/>
        </w:rPr>
        <w:t>收入支出总体与上年相比，减少108.26万元，下降17.24%，主要原因是：本年减少乌鲁木齐民生建设十大实事直销便民工程补贴资金项目。</w:t>
      </w:r>
    </w:p>
    <w:p w14:paraId="53B12C8E">
      <w:pPr>
        <w:spacing w:line="640" w:lineRule="exact"/>
        <w:ind w:firstLine="640"/>
        <w:jc w:val="both"/>
        <w:outlineLvl w:val="2"/>
      </w:pPr>
      <w:r>
        <w:rPr>
          <w:rFonts w:ascii="黑体" w:hAnsi="黑体" w:eastAsia="黑体"/>
          <w:sz w:val="32"/>
        </w:rPr>
        <w:t>二、收入决算情况说明</w:t>
      </w:r>
    </w:p>
    <w:p w14:paraId="20D73A71">
      <w:pPr>
        <w:spacing w:line="580" w:lineRule="exact"/>
        <w:ind w:firstLine="640"/>
        <w:jc w:val="both"/>
      </w:pPr>
      <w:r>
        <w:rPr>
          <w:rFonts w:ascii="仿宋_GB2312" w:hAnsi="仿宋_GB2312" w:eastAsia="仿宋_GB2312"/>
          <w:b/>
          <w:sz w:val="32"/>
        </w:rPr>
        <w:t>本年收入506.55万元，</w:t>
      </w:r>
      <w:r>
        <w:rPr>
          <w:rFonts w:ascii="仿宋_GB2312" w:hAnsi="仿宋_GB2312" w:eastAsia="仿宋_GB2312"/>
          <w:b w:val="0"/>
          <w:sz w:val="32"/>
        </w:rPr>
        <w:t>其中：财政拨款收入451.07万元，占89.05%；上级补助收入0.00万元，占0.00%；事业收入0.00万元，占0.00%；经营收入0.00万元，占0.00%；附属单位上缴收入0.00万元，占0.00%；其他收入55.48万元，占10.95%。</w:t>
      </w:r>
    </w:p>
    <w:p w14:paraId="140DF259">
      <w:pPr>
        <w:spacing w:line="640" w:lineRule="exact"/>
        <w:ind w:firstLine="640"/>
        <w:jc w:val="both"/>
        <w:outlineLvl w:val="2"/>
      </w:pPr>
      <w:r>
        <w:rPr>
          <w:rFonts w:ascii="黑体" w:hAnsi="黑体" w:eastAsia="黑体"/>
          <w:sz w:val="32"/>
        </w:rPr>
        <w:t>三、支出决算情况说明</w:t>
      </w:r>
    </w:p>
    <w:p w14:paraId="24F4D0E5">
      <w:pPr>
        <w:spacing w:line="580" w:lineRule="exact"/>
        <w:ind w:firstLine="640"/>
        <w:jc w:val="both"/>
      </w:pPr>
      <w:r>
        <w:rPr>
          <w:rFonts w:ascii="仿宋_GB2312" w:hAnsi="仿宋_GB2312" w:eastAsia="仿宋_GB2312"/>
          <w:b/>
          <w:sz w:val="32"/>
        </w:rPr>
        <w:t>本年支出519.04万元，</w:t>
      </w:r>
      <w:r>
        <w:rPr>
          <w:rFonts w:ascii="仿宋_GB2312" w:hAnsi="仿宋_GB2312" w:eastAsia="仿宋_GB2312"/>
          <w:b w:val="0"/>
          <w:sz w:val="32"/>
        </w:rPr>
        <w:t>其中：基本支出190.32万元，占36.67%；项目支出328.73万元，占63.33%；上缴上级支出0.00万元，占0.00%；经营支出0.00万元，占0.00%；对附属单位补助支出0.00万元，占0.00%。</w:t>
      </w:r>
    </w:p>
    <w:p w14:paraId="1A4BDB33">
      <w:pPr>
        <w:spacing w:line="640" w:lineRule="exact"/>
        <w:ind w:firstLine="640"/>
        <w:jc w:val="both"/>
        <w:outlineLvl w:val="2"/>
      </w:pPr>
      <w:r>
        <w:rPr>
          <w:rFonts w:ascii="黑体" w:hAnsi="黑体" w:eastAsia="黑体"/>
          <w:sz w:val="32"/>
        </w:rPr>
        <w:t>四、财政拨款收入支出决算总体情况说明</w:t>
      </w:r>
    </w:p>
    <w:p w14:paraId="436A088E">
      <w:pPr>
        <w:spacing w:line="580" w:lineRule="exact"/>
        <w:ind w:firstLine="640"/>
        <w:jc w:val="both"/>
      </w:pPr>
      <w:r>
        <w:rPr>
          <w:rFonts w:ascii="仿宋_GB2312" w:hAnsi="仿宋_GB2312" w:eastAsia="仿宋_GB2312"/>
          <w:b/>
          <w:sz w:val="32"/>
        </w:rPr>
        <w:t>2024年度财政拨款收入总计451.07万元，</w:t>
      </w:r>
      <w:r>
        <w:rPr>
          <w:rFonts w:ascii="仿宋_GB2312" w:hAnsi="仿宋_GB2312" w:eastAsia="仿宋_GB2312"/>
          <w:b w:val="0"/>
          <w:sz w:val="32"/>
        </w:rPr>
        <w:t>其中：年初财政拨款结转和结余0.00万元，本年财政拨款收入451.07万元。</w:t>
      </w:r>
      <w:r>
        <w:rPr>
          <w:rFonts w:ascii="仿宋_GB2312" w:hAnsi="仿宋_GB2312" w:eastAsia="仿宋_GB2312"/>
          <w:b/>
          <w:sz w:val="32"/>
        </w:rPr>
        <w:t>财政拨款支出总计451.07万元，</w:t>
      </w:r>
      <w:r>
        <w:rPr>
          <w:rFonts w:ascii="仿宋_GB2312" w:hAnsi="仿宋_GB2312" w:eastAsia="仿宋_GB2312"/>
          <w:b w:val="0"/>
          <w:sz w:val="32"/>
        </w:rPr>
        <w:t>其中：年末财政拨款结转和结余0.00万元，本年财政拨款支出451.07万元。</w:t>
      </w:r>
    </w:p>
    <w:p w14:paraId="4051FC1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增加99.40万元，增长28.27%，主要原因是：一是本年在职人员增加，相关人员工资、社保、住房公积金等经费增加；二是本年边境地区转移支付资金较上年增加。</w:t>
      </w:r>
      <w:r>
        <w:rPr>
          <w:rFonts w:ascii="仿宋_GB2312" w:hAnsi="仿宋_GB2312" w:eastAsia="仿宋_GB2312"/>
          <w:b/>
          <w:sz w:val="32"/>
        </w:rPr>
        <w:t>与年初预算相比，</w:t>
      </w:r>
      <w:r>
        <w:rPr>
          <w:rFonts w:ascii="仿宋_GB2312" w:hAnsi="仿宋_GB2312" w:eastAsia="仿宋_GB2312"/>
          <w:b w:val="0"/>
          <w:sz w:val="32"/>
        </w:rPr>
        <w:t>年初预算数620.70万元，决算数451.07万元，预决算差异率-27.33%，主要原因是：年中调减中国（新疆）功能区乌鲁木齐片区会展区块专项发展项目，导致预决算存在差异。</w:t>
      </w:r>
    </w:p>
    <w:p w14:paraId="15ABE515">
      <w:pPr>
        <w:spacing w:line="640" w:lineRule="exact"/>
        <w:ind w:firstLine="640"/>
        <w:jc w:val="both"/>
        <w:outlineLvl w:val="2"/>
      </w:pPr>
      <w:r>
        <w:rPr>
          <w:rFonts w:ascii="黑体" w:hAnsi="黑体" w:eastAsia="黑体"/>
          <w:sz w:val="32"/>
        </w:rPr>
        <w:t>五、一般公共预算财政拨款支出决算情况说明</w:t>
      </w:r>
    </w:p>
    <w:p w14:paraId="132487DF">
      <w:pPr>
        <w:spacing w:line="640" w:lineRule="exact"/>
        <w:ind w:firstLine="640"/>
        <w:jc w:val="both"/>
        <w:outlineLvl w:val="3"/>
      </w:pPr>
      <w:r>
        <w:rPr>
          <w:rFonts w:ascii="楷体_GB2312" w:hAnsi="楷体_GB2312" w:eastAsia="楷体_GB2312"/>
          <w:b/>
          <w:sz w:val="32"/>
        </w:rPr>
        <w:t>（一）一般公共预算财政拨款支出决算总体情况</w:t>
      </w:r>
    </w:p>
    <w:p w14:paraId="0E97F814">
      <w:pPr>
        <w:spacing w:line="580" w:lineRule="exact"/>
        <w:ind w:firstLine="640"/>
        <w:jc w:val="both"/>
      </w:pPr>
      <w:r>
        <w:rPr>
          <w:rFonts w:ascii="仿宋_GB2312" w:hAnsi="仿宋_GB2312" w:eastAsia="仿宋_GB2312"/>
          <w:b/>
          <w:sz w:val="32"/>
        </w:rPr>
        <w:t>2024年度一般公共预算财政拨款支出451.07万元，</w:t>
      </w:r>
      <w:r>
        <w:rPr>
          <w:rFonts w:ascii="仿宋_GB2312" w:hAnsi="仿宋_GB2312" w:eastAsia="仿宋_GB2312"/>
          <w:b w:val="0"/>
          <w:sz w:val="32"/>
        </w:rPr>
        <w:t>占本年支出合计的86.90%。</w:t>
      </w:r>
      <w:r>
        <w:rPr>
          <w:rFonts w:ascii="仿宋_GB2312" w:hAnsi="仿宋_GB2312" w:eastAsia="仿宋_GB2312"/>
          <w:b/>
          <w:sz w:val="32"/>
        </w:rPr>
        <w:t>与上年相比，</w:t>
      </w:r>
      <w:r>
        <w:rPr>
          <w:rFonts w:ascii="仿宋_GB2312" w:hAnsi="仿宋_GB2312" w:eastAsia="仿宋_GB2312"/>
          <w:b w:val="0"/>
          <w:sz w:val="32"/>
        </w:rPr>
        <w:t>增加100.01万元，增长28.49%，主要原因是：一是本年在职人员增加，相关人员工资、社保、住房公积金等经费增加；二是本年边境地区转移支付资金较上年增加。</w:t>
      </w:r>
      <w:r>
        <w:rPr>
          <w:rFonts w:ascii="仿宋_GB2312" w:hAnsi="仿宋_GB2312" w:eastAsia="仿宋_GB2312"/>
          <w:b/>
          <w:sz w:val="32"/>
        </w:rPr>
        <w:t>与年初预算相比,</w:t>
      </w:r>
      <w:r>
        <w:rPr>
          <w:rFonts w:ascii="仿宋_GB2312" w:hAnsi="仿宋_GB2312" w:eastAsia="仿宋_GB2312"/>
          <w:b w:val="0"/>
          <w:sz w:val="32"/>
        </w:rPr>
        <w:t>年初预算数620.70万元，决算数451.07万元，预决算差异率-27.33%，主要原因是：年中调减中国（新疆）功能区乌鲁木齐片区会展区块专项发展项目，导致预决算存在差异。</w:t>
      </w:r>
    </w:p>
    <w:p w14:paraId="040AF165">
      <w:pPr>
        <w:spacing w:line="640" w:lineRule="exact"/>
        <w:ind w:firstLine="640"/>
        <w:jc w:val="both"/>
        <w:outlineLvl w:val="3"/>
      </w:pPr>
      <w:r>
        <w:rPr>
          <w:rFonts w:ascii="楷体_GB2312" w:hAnsi="楷体_GB2312" w:eastAsia="楷体_GB2312"/>
          <w:b/>
          <w:sz w:val="32"/>
        </w:rPr>
        <w:t>（二）一般公共预算财政拨款支出决算结构情况</w:t>
      </w:r>
    </w:p>
    <w:p w14:paraId="7E2B2F16">
      <w:pPr>
        <w:spacing w:line="580" w:lineRule="exact"/>
        <w:ind w:firstLine="640"/>
        <w:jc w:val="both"/>
      </w:pPr>
      <w:r>
        <w:rPr>
          <w:rFonts w:ascii="仿宋_GB2312" w:hAnsi="仿宋_GB2312" w:eastAsia="仿宋_GB2312"/>
          <w:b w:val="0"/>
          <w:sz w:val="32"/>
        </w:rPr>
        <w:t>1.一般公共服务支出(类)432.92万元,占95.98%。</w:t>
      </w:r>
    </w:p>
    <w:p w14:paraId="68C63955">
      <w:pPr>
        <w:spacing w:line="580" w:lineRule="exact"/>
        <w:ind w:firstLine="640"/>
        <w:jc w:val="both"/>
      </w:pPr>
      <w:r>
        <w:rPr>
          <w:rFonts w:ascii="仿宋_GB2312" w:hAnsi="仿宋_GB2312" w:eastAsia="仿宋_GB2312"/>
          <w:b w:val="0"/>
          <w:sz w:val="32"/>
        </w:rPr>
        <w:t>2.社会保障和就业支出(类)18.16万元,占4.03%。</w:t>
      </w:r>
    </w:p>
    <w:p w14:paraId="39802BBD">
      <w:pPr>
        <w:spacing w:line="640" w:lineRule="exact"/>
        <w:ind w:firstLine="640"/>
        <w:jc w:val="both"/>
        <w:outlineLvl w:val="3"/>
      </w:pPr>
      <w:r>
        <w:rPr>
          <w:rFonts w:ascii="楷体_GB2312" w:hAnsi="楷体_GB2312" w:eastAsia="楷体_GB2312"/>
          <w:b/>
          <w:sz w:val="32"/>
        </w:rPr>
        <w:t>（三）一般公共预算财政拨款支出决算具体情况</w:t>
      </w:r>
    </w:p>
    <w:p w14:paraId="64C8F6B4">
      <w:pPr>
        <w:spacing w:line="580" w:lineRule="exact"/>
        <w:ind w:firstLine="640"/>
        <w:jc w:val="both"/>
      </w:pPr>
      <w:r>
        <w:rPr>
          <w:rFonts w:ascii="仿宋_GB2312" w:hAnsi="仿宋_GB2312" w:eastAsia="仿宋_GB2312"/>
          <w:b w:val="0"/>
          <w:sz w:val="32"/>
        </w:rPr>
        <w:t>1.一般公共服务支出(类)商贸事务(款)行政运行(项):支出决算数为80.66万元，比上年决算增加13.17万元，增长19.51%,主要原因是：本年在职人员增加，在职人员工资调增，导致相关人员经费较上年有所增加。</w:t>
      </w:r>
    </w:p>
    <w:p w14:paraId="1ECDD399">
      <w:pPr>
        <w:spacing w:line="580" w:lineRule="exact"/>
        <w:ind w:firstLine="640"/>
        <w:jc w:val="both"/>
      </w:pPr>
      <w:r>
        <w:rPr>
          <w:rFonts w:ascii="仿宋_GB2312" w:hAnsi="仿宋_GB2312" w:eastAsia="仿宋_GB2312"/>
          <w:b w:val="0"/>
          <w:sz w:val="32"/>
        </w:rPr>
        <w:t>2.一般公共服务支出(类)商贸事务(款)事业运行(项):支出决算数为90.69万元，比上年决算增加3.64万元，增长4.18%,主要原因是：本年在职人员工资调增，导致相关人员经费较上年有所增加。</w:t>
      </w:r>
    </w:p>
    <w:p w14:paraId="2CAFC59C">
      <w:pPr>
        <w:spacing w:line="580" w:lineRule="exact"/>
        <w:ind w:firstLine="640"/>
        <w:jc w:val="both"/>
      </w:pPr>
      <w:r>
        <w:rPr>
          <w:rFonts w:ascii="仿宋_GB2312" w:hAnsi="仿宋_GB2312" w:eastAsia="仿宋_GB2312"/>
          <w:b w:val="0"/>
          <w:sz w:val="32"/>
        </w:rPr>
        <w:t>3.一般公共服务支出(类)商贸事务(款)其他商贸事务支出(项):支出决算数为261.57万元，比上年决算增加83.24万元，增长46.68%,主要原因是：本年增加边境地区转移支付资金、消化中小企业账款。</w:t>
      </w:r>
    </w:p>
    <w:p w14:paraId="7CB55920">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4.社会保障和就业支出(类)民政管理事务(款)基层政权建设和社区治理(项):支出决算数为0.00万元，比上年决算减少1.33万元，下降100.00%,主要原因是：本年减少为民办实事工作经费。</w:t>
      </w:r>
    </w:p>
    <w:p w14:paraId="29733D48">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18.16万元，比上年决算增加1.29万元，增长7.65%,主要原因是：本年在职人员增加，养老保险缴费较上年增加。</w:t>
      </w:r>
    </w:p>
    <w:p w14:paraId="79253BE9">
      <w:pPr>
        <w:spacing w:line="640" w:lineRule="exact"/>
        <w:ind w:firstLine="640"/>
        <w:jc w:val="both"/>
        <w:outlineLvl w:val="2"/>
      </w:pPr>
      <w:r>
        <w:rPr>
          <w:rFonts w:ascii="黑体" w:hAnsi="黑体" w:eastAsia="黑体"/>
          <w:sz w:val="32"/>
        </w:rPr>
        <w:t>六、一般公共预算财政拨款基本支出决算情况说明</w:t>
      </w:r>
    </w:p>
    <w:p w14:paraId="5241E277">
      <w:pPr>
        <w:spacing w:line="580" w:lineRule="exact"/>
        <w:ind w:firstLine="640"/>
        <w:jc w:val="both"/>
      </w:pPr>
      <w:r>
        <w:rPr>
          <w:rFonts w:ascii="仿宋_GB2312" w:hAnsi="仿宋_GB2312" w:eastAsia="仿宋_GB2312"/>
          <w:b w:val="0"/>
          <w:sz w:val="32"/>
        </w:rPr>
        <w:t>2024年度一般公共预算财政拨款基本支出189.51万元，其中：</w:t>
      </w:r>
      <w:r>
        <w:rPr>
          <w:rFonts w:ascii="仿宋_GB2312" w:hAnsi="仿宋_GB2312" w:eastAsia="仿宋_GB2312"/>
          <w:b/>
          <w:sz w:val="32"/>
        </w:rPr>
        <w:t>人员经费188.78万元，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1FFA84E5">
      <w:pPr>
        <w:spacing w:line="580" w:lineRule="exact"/>
        <w:ind w:firstLine="640"/>
        <w:jc w:val="both"/>
      </w:pPr>
      <w:r>
        <w:rPr>
          <w:rFonts w:ascii="仿宋_GB2312" w:hAnsi="仿宋_GB2312" w:eastAsia="仿宋_GB2312"/>
          <w:b/>
          <w:sz w:val="32"/>
        </w:rPr>
        <w:t>公用经费0.73万元，</w:t>
      </w:r>
      <w:r>
        <w:rPr>
          <w:rFonts w:ascii="仿宋_GB2312" w:hAnsi="仿宋_GB2312" w:eastAsia="仿宋_GB2312"/>
          <w:b w:val="0"/>
          <w:sz w:val="32"/>
        </w:rPr>
        <w:t>包括：办公费、邮电费。</w:t>
      </w:r>
    </w:p>
    <w:p w14:paraId="5E290BBE">
      <w:pPr>
        <w:spacing w:line="640" w:lineRule="exact"/>
        <w:ind w:firstLine="640"/>
        <w:jc w:val="both"/>
        <w:outlineLvl w:val="2"/>
      </w:pPr>
      <w:r>
        <w:rPr>
          <w:rFonts w:ascii="黑体" w:hAnsi="黑体" w:eastAsia="黑体"/>
          <w:sz w:val="32"/>
        </w:rPr>
        <w:t>七、政府性基金预算财政拨款收入支出决算情况说明</w:t>
      </w:r>
    </w:p>
    <w:p w14:paraId="2D63221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3C6C353">
      <w:pPr>
        <w:spacing w:line="640" w:lineRule="exact"/>
        <w:ind w:firstLine="640"/>
        <w:jc w:val="both"/>
        <w:outlineLvl w:val="2"/>
      </w:pPr>
      <w:r>
        <w:rPr>
          <w:rFonts w:ascii="黑体" w:hAnsi="黑体" w:eastAsia="黑体"/>
          <w:sz w:val="32"/>
        </w:rPr>
        <w:t>八、国有资本经营预算财政拨款收入支出决算情况说明</w:t>
      </w:r>
    </w:p>
    <w:p w14:paraId="3D5718D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5707A63">
      <w:pPr>
        <w:spacing w:line="640" w:lineRule="exact"/>
        <w:ind w:firstLine="640"/>
        <w:jc w:val="both"/>
        <w:outlineLvl w:val="2"/>
      </w:pPr>
      <w:r>
        <w:rPr>
          <w:rFonts w:ascii="黑体" w:hAnsi="黑体" w:eastAsia="黑体"/>
          <w:sz w:val="32"/>
        </w:rPr>
        <w:t>九、财政拨款“三公”经费支出决算情况说明</w:t>
      </w:r>
    </w:p>
    <w:p w14:paraId="52ECB13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86B1D99">
      <w:pPr>
        <w:spacing w:line="580" w:lineRule="exact"/>
        <w:ind w:firstLine="640"/>
        <w:jc w:val="both"/>
      </w:pPr>
      <w:r>
        <w:rPr>
          <w:rFonts w:ascii="仿宋_GB2312" w:hAnsi="仿宋_GB2312" w:eastAsia="仿宋_GB2312"/>
          <w:b/>
          <w:sz w:val="32"/>
        </w:rPr>
        <w:t>具体情况如下：</w:t>
      </w:r>
    </w:p>
    <w:p w14:paraId="10181B0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88B7F2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99CFE07">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886938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19FAB55">
      <w:pPr>
        <w:spacing w:line="640" w:lineRule="exact"/>
        <w:ind w:firstLine="640"/>
        <w:jc w:val="both"/>
        <w:outlineLvl w:val="2"/>
      </w:pPr>
      <w:r>
        <w:rPr>
          <w:rFonts w:ascii="黑体" w:hAnsi="黑体" w:eastAsia="黑体"/>
          <w:sz w:val="32"/>
        </w:rPr>
        <w:t>十、其他重要事项的情况说明</w:t>
      </w:r>
    </w:p>
    <w:p w14:paraId="55E15AC4">
      <w:pPr>
        <w:spacing w:line="640" w:lineRule="exact"/>
        <w:ind w:firstLine="640"/>
        <w:jc w:val="both"/>
        <w:outlineLvl w:val="3"/>
      </w:pPr>
      <w:r>
        <w:rPr>
          <w:rFonts w:ascii="楷体_GB2312" w:hAnsi="楷体_GB2312" w:eastAsia="楷体_GB2312"/>
          <w:b/>
          <w:sz w:val="32"/>
        </w:rPr>
        <w:t>（一）机关运行经费及公用经费支出情况</w:t>
      </w:r>
    </w:p>
    <w:p w14:paraId="2CC1F59D">
      <w:pPr>
        <w:spacing w:line="580" w:lineRule="exact"/>
        <w:ind w:firstLine="640"/>
        <w:jc w:val="both"/>
      </w:pPr>
      <w:r>
        <w:rPr>
          <w:rFonts w:ascii="仿宋_GB2312" w:hAnsi="仿宋_GB2312" w:eastAsia="仿宋_GB2312"/>
          <w:b w:val="0"/>
          <w:sz w:val="32"/>
        </w:rPr>
        <w:t>2024年度乌鲁木齐市水磨沟区商务局（行政单位和参照公务员法管理事业单位）机关运行经费支出0.73万元，比上年减少3.35万元，下降82.11%，主要原因是：严格控制经费，合理节约办公用品，减少不必要开支。</w:t>
      </w:r>
    </w:p>
    <w:p w14:paraId="2DD21918">
      <w:pPr>
        <w:spacing w:line="640" w:lineRule="exact"/>
        <w:ind w:firstLine="640"/>
        <w:jc w:val="both"/>
        <w:outlineLvl w:val="3"/>
      </w:pPr>
      <w:r>
        <w:rPr>
          <w:rFonts w:ascii="楷体_GB2312" w:hAnsi="楷体_GB2312" w:eastAsia="楷体_GB2312"/>
          <w:b/>
          <w:sz w:val="32"/>
        </w:rPr>
        <w:t>（二）政府采购情况</w:t>
      </w:r>
    </w:p>
    <w:p w14:paraId="5B8C71BD">
      <w:pPr>
        <w:spacing w:line="580" w:lineRule="exact"/>
        <w:ind w:firstLine="640"/>
        <w:jc w:val="both"/>
      </w:pPr>
      <w:r>
        <w:rPr>
          <w:rFonts w:ascii="仿宋_GB2312" w:hAnsi="仿宋_GB2312" w:eastAsia="仿宋_GB2312"/>
          <w:b w:val="0"/>
          <w:sz w:val="32"/>
        </w:rPr>
        <w:t>2024年度政府采购支出总额0.22万元，其中：政府采购货物支出0.22万元、政府采购工程支出0.00万元、政府采购服务支出0.00万元。</w:t>
      </w:r>
    </w:p>
    <w:p w14:paraId="421A6B17">
      <w:pPr>
        <w:spacing w:line="580" w:lineRule="exact"/>
        <w:ind w:firstLine="640"/>
        <w:jc w:val="both"/>
      </w:pPr>
      <w:r>
        <w:rPr>
          <w:rFonts w:ascii="仿宋_GB2312" w:hAnsi="仿宋_GB2312" w:eastAsia="仿宋_GB2312"/>
          <w:b w:val="0"/>
          <w:sz w:val="32"/>
        </w:rPr>
        <w:t>授予中小企业合同金额0.22万元，占政府采购支出总额的100.00%，其中：授予小微企业合同金额0.22万元，占政府采购支出总额的100.00%。</w:t>
      </w:r>
    </w:p>
    <w:p w14:paraId="1745DE04">
      <w:pPr>
        <w:spacing w:line="640" w:lineRule="exact"/>
        <w:ind w:firstLine="640"/>
        <w:jc w:val="both"/>
        <w:outlineLvl w:val="3"/>
      </w:pPr>
      <w:r>
        <w:rPr>
          <w:rFonts w:ascii="楷体_GB2312" w:hAnsi="楷体_GB2312" w:eastAsia="楷体_GB2312"/>
          <w:b/>
          <w:sz w:val="32"/>
        </w:rPr>
        <w:t>（三）国有资产占用情况说明</w:t>
      </w:r>
    </w:p>
    <w:p w14:paraId="600E4F9C">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6A18135">
      <w:pPr>
        <w:spacing w:line="640" w:lineRule="exact"/>
        <w:ind w:firstLine="640"/>
        <w:jc w:val="both"/>
        <w:outlineLvl w:val="2"/>
      </w:pPr>
      <w:r>
        <w:rPr>
          <w:rFonts w:ascii="黑体" w:hAnsi="黑体" w:eastAsia="黑体"/>
          <w:sz w:val="32"/>
        </w:rPr>
        <w:t>十一、预算绩效的情况说明</w:t>
      </w:r>
    </w:p>
    <w:p w14:paraId="309AC62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519.72万元，实际执行总额519.24万元；预算绩效评价项目5个，全年预算数507.01万元，全年执行数323.61万元。预算绩效管理取得的成效：一是保障水区基本蔬菜水果等生活物资的供应工作，确保菜品充足，没有断档等情况发生；二是有效保障在职人员工作积极性，全面落实机关日常运转及商务服务点位工作任务有序推进。发现的问题及原因：单位对项目绩效的重视度较低。主要原因为对预算绩效培训力度不够，需加强培训，提高对项目绩效工作的认识及重视度。下一步改进措施：根据上级的工作部署，统筹全局力量，不断推动商务领域各项工作落到实处。具体附整体支出绩效自评表，项目支出绩效自评表和评价报告。</w:t>
      </w:r>
    </w:p>
    <w:p w14:paraId="153278D8">
      <w:r>
        <w:br w:type="page"/>
      </w:r>
    </w:p>
    <w:tbl>
      <w:tblPr>
        <w:tblStyle w:val="9"/>
        <w:tblW w:w="0" w:type="auto"/>
        <w:tblInd w:w="0" w:type="dxa"/>
        <w:tblLayout w:type="autofit"/>
        <w:tblCellMar>
          <w:top w:w="0" w:type="dxa"/>
          <w:left w:w="108" w:type="dxa"/>
          <w:bottom w:w="0" w:type="dxa"/>
          <w:right w:w="108" w:type="dxa"/>
        </w:tblCellMar>
      </w:tblPr>
      <w:tblGrid>
        <w:gridCol w:w="1105"/>
        <w:gridCol w:w="1008"/>
        <w:gridCol w:w="97"/>
        <w:gridCol w:w="1007"/>
        <w:gridCol w:w="98"/>
        <w:gridCol w:w="910"/>
        <w:gridCol w:w="195"/>
        <w:gridCol w:w="1105"/>
        <w:gridCol w:w="596"/>
        <w:gridCol w:w="509"/>
        <w:gridCol w:w="439"/>
        <w:gridCol w:w="666"/>
        <w:gridCol w:w="366"/>
        <w:gridCol w:w="739"/>
      </w:tblGrid>
      <w:tr w14:paraId="5F141E5F">
        <w:tblPrEx>
          <w:tblCellMar>
            <w:top w:w="0" w:type="dxa"/>
            <w:left w:w="108" w:type="dxa"/>
            <w:bottom w:w="0" w:type="dxa"/>
            <w:right w:w="108" w:type="dxa"/>
          </w:tblCellMar>
        </w:tblPrEx>
        <w:tc>
          <w:tcPr>
            <w:tcW w:w="8840" w:type="dxa"/>
            <w:gridSpan w:val="14"/>
            <w:vAlign w:val="center"/>
          </w:tcPr>
          <w:p w14:paraId="391FACD6">
            <w:pPr>
              <w:jc w:val="center"/>
            </w:pPr>
            <w:r>
              <w:rPr>
                <w:rFonts w:ascii="宋体" w:hAnsi="宋体" w:eastAsia="宋体"/>
                <w:sz w:val="24"/>
              </w:rPr>
              <w:t>单位整体支出绩效自评表</w:t>
            </w:r>
          </w:p>
        </w:tc>
      </w:tr>
      <w:tr w14:paraId="6D9A551A">
        <w:tblPrEx>
          <w:tblCellMar>
            <w:top w:w="0" w:type="dxa"/>
            <w:left w:w="108" w:type="dxa"/>
            <w:bottom w:w="0" w:type="dxa"/>
            <w:right w:w="108" w:type="dxa"/>
          </w:tblCellMar>
        </w:tblPrEx>
        <w:tc>
          <w:tcPr>
            <w:tcW w:w="8840" w:type="dxa"/>
            <w:gridSpan w:val="14"/>
            <w:vAlign w:val="center"/>
          </w:tcPr>
          <w:p w14:paraId="235B1D2E">
            <w:pPr>
              <w:jc w:val="center"/>
            </w:pPr>
            <w:r>
              <w:rPr>
                <w:rFonts w:ascii="宋体" w:hAnsi="宋体" w:eastAsia="宋体"/>
                <w:sz w:val="24"/>
              </w:rPr>
              <w:t>（2024年度）</w:t>
            </w:r>
          </w:p>
        </w:tc>
      </w:tr>
      <w:tr w14:paraId="7A0E4D1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E8124">
            <w:pPr>
              <w:jc w:val="center"/>
            </w:pPr>
            <w:r>
              <w:rPr>
                <w:rFonts w:ascii="宋体" w:hAnsi="宋体" w:eastAsia="宋体"/>
                <w:sz w:val="16"/>
              </w:rPr>
              <w:t>单位名称</w:t>
            </w:r>
          </w:p>
        </w:tc>
        <w:tc>
          <w:tcPr>
            <w:tcW w:w="77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467C4F">
            <w:pPr>
              <w:jc w:val="center"/>
            </w:pPr>
            <w:r>
              <w:rPr>
                <w:rFonts w:ascii="宋体" w:hAnsi="宋体" w:eastAsia="宋体"/>
                <w:sz w:val="16"/>
              </w:rPr>
              <w:t>乌鲁木齐市水磨沟区商务局</w:t>
            </w:r>
          </w:p>
        </w:tc>
      </w:tr>
      <w:tr w14:paraId="5518156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F0188">
            <w:pPr>
              <w:jc w:val="center"/>
            </w:pPr>
            <w:r>
              <w:rPr>
                <w:rFonts w:ascii="宋体" w:hAnsi="宋体" w:eastAsia="宋体"/>
                <w:sz w:val="16"/>
              </w:rPr>
              <w:t>部门资金（万元）</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C3EE6">
            <w:pPr>
              <w:jc w:val="center"/>
            </w:pPr>
            <w:r>
              <w:rPr>
                <w:rFonts w:ascii="宋体" w:hAnsi="宋体" w:eastAsia="宋体"/>
                <w:sz w:val="16"/>
              </w:rPr>
              <w:t>资金来源</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4396B">
            <w:pPr>
              <w:jc w:val="center"/>
            </w:pPr>
            <w:r>
              <w:rPr>
                <w:rFonts w:ascii="宋体" w:hAnsi="宋体" w:eastAsia="宋体"/>
                <w:sz w:val="16"/>
              </w:rPr>
              <w:t>年初预算数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CC62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5C9D1D">
            <w:pPr>
              <w:jc w:val="center"/>
            </w:pPr>
            <w:r>
              <w:rPr>
                <w:rFonts w:ascii="宋体" w:hAnsi="宋体" w:eastAsia="宋体"/>
                <w:sz w:val="16"/>
              </w:rPr>
              <w:t>全年执行数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270FF">
            <w:pPr>
              <w:jc w:val="center"/>
            </w:pPr>
            <w:r>
              <w:rPr>
                <w:rFonts w:ascii="宋体" w:hAnsi="宋体" w:eastAsia="宋体"/>
                <w:sz w:val="16"/>
              </w:rPr>
              <w:t>分值权重</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469DF">
            <w:pPr>
              <w:jc w:val="center"/>
            </w:pPr>
            <w:r>
              <w:rPr>
                <w:rFonts w:ascii="宋体" w:hAnsi="宋体" w:eastAsia="宋体"/>
                <w:sz w:val="16"/>
              </w:rPr>
              <w:t>执行率</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F2630">
            <w:pPr>
              <w:jc w:val="center"/>
            </w:pPr>
            <w:r>
              <w:rPr>
                <w:rFonts w:ascii="宋体" w:hAnsi="宋体" w:eastAsia="宋体"/>
                <w:sz w:val="16"/>
              </w:rPr>
              <w:t>得分</w:t>
            </w:r>
          </w:p>
        </w:tc>
      </w:tr>
      <w:tr w14:paraId="17FEE76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4DC1678"/>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C3E7B">
            <w:pPr>
              <w:jc w:val="center"/>
            </w:pPr>
            <w:r>
              <w:rPr>
                <w:rFonts w:ascii="宋体" w:hAnsi="宋体" w:eastAsia="宋体"/>
                <w:sz w:val="16"/>
              </w:rPr>
              <w:t>年度总资金</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A4CAF">
            <w:pPr>
              <w:jc w:val="center"/>
            </w:pPr>
            <w:r>
              <w:rPr>
                <w:rFonts w:ascii="宋体" w:hAnsi="宋体" w:eastAsia="宋体"/>
                <w:sz w:val="16"/>
              </w:rPr>
              <w:t>620.70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9450E">
            <w:pPr>
              <w:jc w:val="center"/>
            </w:pPr>
            <w:r>
              <w:rPr>
                <w:rFonts w:ascii="宋体" w:hAnsi="宋体" w:eastAsia="宋体"/>
                <w:sz w:val="16"/>
              </w:rPr>
              <w:t>519.72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C3FF70">
            <w:pPr>
              <w:jc w:val="center"/>
            </w:pPr>
            <w:r>
              <w:rPr>
                <w:rFonts w:ascii="宋体" w:hAnsi="宋体" w:eastAsia="宋体"/>
                <w:sz w:val="16"/>
              </w:rPr>
              <w:t>519.24</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76255">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F11E3">
            <w:pPr>
              <w:jc w:val="center"/>
            </w:pPr>
            <w:r>
              <w:rPr>
                <w:rFonts w:ascii="宋体" w:hAnsi="宋体" w:eastAsia="宋体"/>
                <w:sz w:val="16"/>
              </w:rPr>
              <w:t>99.91%</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6515A">
            <w:pPr>
              <w:jc w:val="center"/>
            </w:pPr>
            <w:r>
              <w:rPr>
                <w:rFonts w:ascii="宋体" w:hAnsi="宋体" w:eastAsia="宋体"/>
                <w:sz w:val="16"/>
              </w:rPr>
              <w:t>9.99</w:t>
            </w:r>
          </w:p>
        </w:tc>
      </w:tr>
      <w:tr w14:paraId="1EAC55B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B4BD25"/>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01155">
            <w:pPr>
              <w:jc w:val="center"/>
            </w:pPr>
            <w:r>
              <w:rPr>
                <w:rFonts w:ascii="宋体" w:hAnsi="宋体" w:eastAsia="宋体"/>
                <w:sz w:val="16"/>
              </w:rPr>
              <w:t>上级资金（万元）</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EFED7">
            <w:pPr>
              <w:jc w:val="center"/>
            </w:pPr>
            <w:r>
              <w:rPr>
                <w:rFonts w:ascii="宋体" w:hAnsi="宋体" w:eastAsia="宋体"/>
                <w:sz w:val="16"/>
              </w:rPr>
              <w:t>2.29</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53617">
            <w:pPr>
              <w:jc w:val="center"/>
            </w:pPr>
            <w:r>
              <w:rPr>
                <w:rFonts w:ascii="宋体" w:hAnsi="宋体" w:eastAsia="宋体"/>
                <w:sz w:val="16"/>
              </w:rPr>
              <w:t>2.29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055BD9">
            <w:pPr>
              <w:jc w:val="center"/>
            </w:pPr>
            <w:r>
              <w:rPr>
                <w:rFonts w:ascii="宋体" w:hAnsi="宋体" w:eastAsia="宋体"/>
                <w:sz w:val="16"/>
              </w:rPr>
              <w:t>2.29</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F7D7D">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6CF46">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792B6">
            <w:pPr>
              <w:jc w:val="center"/>
            </w:pPr>
            <w:r>
              <w:rPr>
                <w:rFonts w:ascii="宋体" w:hAnsi="宋体" w:eastAsia="宋体"/>
                <w:sz w:val="16"/>
              </w:rPr>
              <w:t>-</w:t>
            </w:r>
          </w:p>
        </w:tc>
      </w:tr>
      <w:tr w14:paraId="4788352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2BD2E4"/>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B03F4">
            <w:pPr>
              <w:jc w:val="center"/>
            </w:pPr>
            <w:r>
              <w:rPr>
                <w:rFonts w:ascii="宋体" w:hAnsi="宋体" w:eastAsia="宋体"/>
                <w:sz w:val="16"/>
              </w:rPr>
              <w:t>本级资金（万元）</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A3590">
            <w:pPr>
              <w:jc w:val="center"/>
            </w:pPr>
            <w:r>
              <w:rPr>
                <w:rFonts w:ascii="宋体" w:hAnsi="宋体" w:eastAsia="宋体"/>
                <w:sz w:val="16"/>
              </w:rPr>
              <w:t>618.41</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10595">
            <w:pPr>
              <w:jc w:val="center"/>
            </w:pPr>
            <w:r>
              <w:rPr>
                <w:rFonts w:ascii="宋体" w:hAnsi="宋体" w:eastAsia="宋体"/>
                <w:sz w:val="16"/>
              </w:rPr>
              <w:t>517.43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89412">
            <w:pPr>
              <w:jc w:val="center"/>
            </w:pPr>
            <w:r>
              <w:rPr>
                <w:rFonts w:ascii="宋体" w:hAnsi="宋体" w:eastAsia="宋体"/>
                <w:sz w:val="16"/>
              </w:rPr>
              <w:t>516.95</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9E639">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FD18C">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61465">
            <w:pPr>
              <w:jc w:val="center"/>
            </w:pPr>
            <w:r>
              <w:rPr>
                <w:rFonts w:ascii="宋体" w:hAnsi="宋体" w:eastAsia="宋体"/>
                <w:sz w:val="16"/>
              </w:rPr>
              <w:t>-</w:t>
            </w:r>
          </w:p>
        </w:tc>
      </w:tr>
      <w:tr w14:paraId="3A8EE2D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6BC732"/>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21B07">
            <w:pPr>
              <w:jc w:val="center"/>
            </w:pPr>
            <w:r>
              <w:rPr>
                <w:rFonts w:ascii="宋体" w:hAnsi="宋体" w:eastAsia="宋体"/>
                <w:sz w:val="16"/>
              </w:rPr>
              <w:t>其他资金（万元）</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E019C">
            <w:pPr>
              <w:jc w:val="center"/>
            </w:pPr>
            <w:r>
              <w:rPr>
                <w:rFonts w:ascii="宋体" w:hAnsi="宋体" w:eastAsia="宋体"/>
                <w:sz w:val="16"/>
              </w:rPr>
              <w:t>0.00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7C65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1D9221">
            <w:pPr>
              <w:jc w:val="center"/>
            </w:pPr>
            <w:r>
              <w:rPr>
                <w:rFonts w:ascii="宋体" w:hAnsi="宋体" w:eastAsia="宋体"/>
                <w:sz w:val="16"/>
              </w:rPr>
              <w:t>0.00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39681">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26D9B">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89019">
            <w:pPr>
              <w:jc w:val="center"/>
            </w:pPr>
            <w:r>
              <w:rPr>
                <w:rFonts w:ascii="宋体" w:hAnsi="宋体" w:eastAsia="宋体"/>
                <w:sz w:val="16"/>
              </w:rPr>
              <w:t>-</w:t>
            </w:r>
          </w:p>
        </w:tc>
      </w:tr>
      <w:tr w14:paraId="1D7D19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E4914">
            <w:pPr>
              <w:jc w:val="center"/>
            </w:pPr>
            <w:r>
              <w:rPr>
                <w:rFonts w:ascii="宋体" w:hAnsi="宋体" w:eastAsia="宋体"/>
                <w:sz w:val="16"/>
              </w:rPr>
              <w:t>年度总体目标</w:t>
            </w:r>
          </w:p>
        </w:tc>
        <w:tc>
          <w:tcPr>
            <w:tcW w:w="44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4B4657">
            <w:pPr>
              <w:jc w:val="center"/>
            </w:pPr>
            <w:r>
              <w:rPr>
                <w:rFonts w:ascii="宋体" w:hAnsi="宋体" w:eastAsia="宋体"/>
                <w:sz w:val="16"/>
              </w:rPr>
              <w:t>预期目标</w:t>
            </w:r>
          </w:p>
        </w:tc>
        <w:tc>
          <w:tcPr>
            <w:tcW w:w="33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4A0A2A">
            <w:pPr>
              <w:jc w:val="center"/>
            </w:pPr>
            <w:r>
              <w:rPr>
                <w:rFonts w:ascii="宋体" w:hAnsi="宋体" w:eastAsia="宋体"/>
                <w:sz w:val="16"/>
              </w:rPr>
              <w:t>实际完成情况</w:t>
            </w:r>
          </w:p>
        </w:tc>
      </w:tr>
      <w:tr w14:paraId="347CC39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F37993"/>
        </w:tc>
        <w:tc>
          <w:tcPr>
            <w:tcW w:w="44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3F22E">
            <w:pPr>
              <w:jc w:val="both"/>
            </w:pPr>
            <w:r>
              <w:rPr>
                <w:rFonts w:ascii="宋体" w:hAnsi="宋体" w:eastAsia="宋体"/>
                <w:sz w:val="16"/>
              </w:rPr>
              <w:t>根据上级党委、政府的安排部</w:t>
            </w:r>
            <w:r>
              <w:rPr>
                <w:rFonts w:hint="eastAsia" w:ascii="宋体" w:hAnsi="宋体"/>
                <w:sz w:val="16"/>
                <w:lang w:eastAsia="zh-CN"/>
              </w:rPr>
              <w:t>署和</w:t>
            </w:r>
            <w:r>
              <w:rPr>
                <w:rFonts w:ascii="宋体" w:hAnsi="宋体" w:eastAsia="宋体"/>
                <w:sz w:val="16"/>
              </w:rPr>
              <w:t>区委、区政府工作安排，区商务局结合实际，认真谋划2024年商务工作，一是借助中国（新疆）自由贸易区水磨沟区块设立契机，做优做强会展品牌。积极拓展</w:t>
            </w:r>
            <w:r>
              <w:rPr>
                <w:rFonts w:hint="eastAsia" w:ascii="宋体" w:hAnsi="宋体"/>
                <w:sz w:val="16"/>
                <w:lang w:eastAsia="zh-CN"/>
              </w:rPr>
              <w:t>中国—亚欧</w:t>
            </w:r>
            <w:r>
              <w:rPr>
                <w:rFonts w:ascii="宋体" w:hAnsi="宋体" w:eastAsia="宋体"/>
                <w:sz w:val="16"/>
              </w:rPr>
              <w:t>博览会产业链，依托这一品牌优势，吸引集聚会展上下游产业。筹备搭建国际会展联盟，发挥中外品牌展会资源优势，逐步引进有影响力展会，开展各类名优特新产品展销，推动在会展中心设立跨境产品专门展馆。推动会展配套服务提升，在酒店、餐饮、翻译、金融结算等方面重点配套建设。二是加大外商外资及外贸企业的培育、招引和服务。三是围绕“一廊引领五区协同”产业格局，优化商业布局。四是加快推进商圈提档建设，完善新建商圈配套设施。五是推进一刻钟便民生活圈建设。六是进一步完善消费促进政策。</w:t>
            </w:r>
          </w:p>
        </w:tc>
        <w:tc>
          <w:tcPr>
            <w:tcW w:w="33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4251F9">
            <w:pPr>
              <w:jc w:val="both"/>
            </w:pPr>
            <w:r>
              <w:rPr>
                <w:rFonts w:ascii="宋体" w:hAnsi="宋体" w:eastAsia="宋体"/>
                <w:sz w:val="16"/>
              </w:rPr>
              <w:t>贯彻落实《中国（新疆）自由贸易试验区总体方案》部署和自治区、乌鲁木齐片区《建设实施方案》要求，坚持以制度创新为核心，以风险防控为底线，努力建成营商环境优良、投资贸易便利、优势产业集聚、要素资源充沛、管理协同高效、辐射带动作用突出的高标准自由贸易区块，高质量服务自治区“九大产业集群”“五大中心”建设，全力助推乌鲁木齐现代化国际城市建设。2024年社会消费品零售总额（含兵团）完成141.2亿元（绝对量占全市的11.46%），同比增长3.3%，增速高于全市3.2个百分点。限额以上消费品零售额实现90.80亿元（绝对量占全市的13.11%），增长1.1%。</w:t>
            </w:r>
          </w:p>
        </w:tc>
      </w:tr>
      <w:tr w14:paraId="287423F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A6CF4C">
            <w:pPr>
              <w:jc w:val="center"/>
            </w:pPr>
            <w:r>
              <w:rPr>
                <w:rFonts w:ascii="宋体" w:hAnsi="宋体" w:eastAsia="宋体"/>
                <w:sz w:val="16"/>
              </w:rPr>
              <w:t>一级指标</w:t>
            </w:r>
          </w:p>
        </w:tc>
        <w:tc>
          <w:tcPr>
            <w:tcW w:w="1008" w:type="dxa"/>
            <w:tcBorders>
              <w:top w:val="single" w:color="auto" w:sz="10" w:space="0"/>
              <w:left w:val="single" w:color="auto" w:sz="10" w:space="0"/>
              <w:bottom w:val="single" w:color="auto" w:sz="10" w:space="0"/>
              <w:right w:val="single" w:color="auto" w:sz="10" w:space="0"/>
              <w:insideV w:val="single" w:sz="10" w:space="0"/>
            </w:tcBorders>
            <w:vAlign w:val="center"/>
          </w:tcPr>
          <w:p w14:paraId="10F9D2D2">
            <w:pPr>
              <w:jc w:val="center"/>
            </w:pPr>
            <w:r>
              <w:rPr>
                <w:rFonts w:ascii="宋体" w:hAnsi="宋体" w:eastAsia="宋体"/>
                <w:sz w:val="16"/>
              </w:rPr>
              <w:t>二级指标</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6BF4A">
            <w:pPr>
              <w:jc w:val="center"/>
            </w:pPr>
            <w:r>
              <w:rPr>
                <w:rFonts w:ascii="宋体" w:hAnsi="宋体" w:eastAsia="宋体"/>
                <w:sz w:val="16"/>
              </w:rPr>
              <w:t>三级指标</w:t>
            </w:r>
          </w:p>
        </w:tc>
        <w:tc>
          <w:tcPr>
            <w:tcW w:w="10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E1FB4">
            <w:pPr>
              <w:jc w:val="center"/>
            </w:pPr>
            <w:r>
              <w:rPr>
                <w:rFonts w:ascii="宋体" w:hAnsi="宋体" w:eastAsia="宋体"/>
                <w:sz w:val="16"/>
              </w:rPr>
              <w:t>预期指标值</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8297CB">
            <w:pPr>
              <w:jc w:val="center"/>
            </w:pPr>
            <w:r>
              <w:rPr>
                <w:rFonts w:ascii="宋体" w:hAnsi="宋体" w:eastAsia="宋体"/>
                <w:sz w:val="16"/>
              </w:rPr>
              <w:t>指标值设定依据</w:t>
            </w:r>
          </w:p>
        </w:tc>
        <w:tc>
          <w:tcPr>
            <w:tcW w:w="9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5BB58">
            <w:pPr>
              <w:jc w:val="center"/>
            </w:pPr>
            <w:r>
              <w:rPr>
                <w:rFonts w:ascii="宋体" w:hAnsi="宋体" w:eastAsia="宋体"/>
                <w:sz w:val="16"/>
              </w:rPr>
              <w:t>实际完成指标值</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88CB1">
            <w:pPr>
              <w:jc w:val="center"/>
            </w:pPr>
            <w:r>
              <w:rPr>
                <w:rFonts w:ascii="宋体" w:hAnsi="宋体" w:eastAsia="宋体"/>
                <w:sz w:val="16"/>
              </w:rPr>
              <w:t>分值权重</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640D685">
            <w:pPr>
              <w:jc w:val="center"/>
            </w:pPr>
            <w:r>
              <w:rPr>
                <w:rFonts w:ascii="宋体" w:hAnsi="宋体" w:eastAsia="宋体"/>
                <w:sz w:val="16"/>
              </w:rPr>
              <w:t>得分</w:t>
            </w:r>
          </w:p>
        </w:tc>
      </w:tr>
      <w:tr w14:paraId="34255B3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11A436">
            <w:pPr>
              <w:jc w:val="center"/>
            </w:pPr>
            <w:r>
              <w:rPr>
                <w:rFonts w:ascii="宋体" w:hAnsi="宋体" w:eastAsia="宋体"/>
                <w:sz w:val="16"/>
              </w:rPr>
              <w:t>履职效能</w:t>
            </w:r>
          </w:p>
        </w:tc>
        <w:tc>
          <w:tcPr>
            <w:tcW w:w="10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2D5F8">
            <w:pPr>
              <w:jc w:val="center"/>
            </w:pPr>
            <w:r>
              <w:rPr>
                <w:rFonts w:ascii="宋体" w:hAnsi="宋体" w:eastAsia="宋体"/>
                <w:sz w:val="16"/>
              </w:rPr>
              <w:t>数量指标</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4EE93">
            <w:pPr>
              <w:jc w:val="center"/>
            </w:pPr>
            <w:r>
              <w:rPr>
                <w:rFonts w:ascii="宋体" w:hAnsi="宋体" w:eastAsia="宋体"/>
                <w:sz w:val="16"/>
              </w:rPr>
              <w:t>编制行动方案数量</w:t>
            </w:r>
          </w:p>
        </w:tc>
        <w:tc>
          <w:tcPr>
            <w:tcW w:w="10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7A230">
            <w:pPr>
              <w:jc w:val="center"/>
            </w:pPr>
            <w:r>
              <w:rPr>
                <w:rFonts w:ascii="宋体" w:hAnsi="宋体" w:eastAsia="宋体"/>
                <w:sz w:val="16"/>
              </w:rPr>
              <w:t>=1个</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262D6D">
            <w:pPr>
              <w:jc w:val="center"/>
            </w:pPr>
            <w:r>
              <w:rPr>
                <w:rFonts w:ascii="宋体" w:hAnsi="宋体" w:eastAsia="宋体"/>
                <w:sz w:val="16"/>
              </w:rPr>
              <w:t>中国（新疆）自由贸易试验区总体方案</w:t>
            </w:r>
          </w:p>
        </w:tc>
        <w:tc>
          <w:tcPr>
            <w:tcW w:w="9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2A238">
            <w:pPr>
              <w:jc w:val="center"/>
            </w:pPr>
            <w:r>
              <w:rPr>
                <w:rFonts w:ascii="宋体" w:hAnsi="宋体" w:eastAsia="宋体"/>
                <w:sz w:val="16"/>
              </w:rPr>
              <w:t>1个</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50CBC">
            <w:pPr>
              <w:jc w:val="center"/>
            </w:pPr>
            <w:r>
              <w:rPr>
                <w:rFonts w:ascii="宋体" w:hAnsi="宋体" w:eastAsia="宋体"/>
                <w:sz w:val="16"/>
              </w:rPr>
              <w:t>30</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502BB2E3">
            <w:pPr>
              <w:jc w:val="center"/>
            </w:pPr>
            <w:r>
              <w:rPr>
                <w:rFonts w:ascii="宋体" w:hAnsi="宋体" w:eastAsia="宋体"/>
                <w:sz w:val="16"/>
              </w:rPr>
              <w:t>30</w:t>
            </w:r>
          </w:p>
        </w:tc>
      </w:tr>
      <w:tr w14:paraId="7566EF6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DC6F71"/>
        </w:tc>
        <w:tc>
          <w:tcPr>
            <w:tcW w:w="1008" w:type="dxa"/>
            <w:vMerge w:val="continue"/>
            <w:tcBorders>
              <w:top w:val="single" w:color="auto" w:sz="10" w:space="0"/>
              <w:left w:val="single" w:color="auto" w:sz="10" w:space="0"/>
              <w:bottom w:val="single" w:color="auto" w:sz="10" w:space="0"/>
              <w:right w:val="single" w:color="auto" w:sz="10" w:space="0"/>
              <w:insideV w:val="single" w:sz="10" w:space="0"/>
            </w:tcBorders>
          </w:tcPr>
          <w:p w14:paraId="17388167"/>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DB026">
            <w:pPr>
              <w:jc w:val="center"/>
            </w:pPr>
            <w:r>
              <w:rPr>
                <w:rFonts w:ascii="宋体" w:hAnsi="宋体" w:eastAsia="宋体"/>
                <w:sz w:val="16"/>
              </w:rPr>
              <w:t>完成社零指标目标</w:t>
            </w:r>
          </w:p>
        </w:tc>
        <w:tc>
          <w:tcPr>
            <w:tcW w:w="10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2CB31">
            <w:pPr>
              <w:jc w:val="center"/>
            </w:pPr>
            <w:r>
              <w:rPr>
                <w:rFonts w:ascii="宋体" w:hAnsi="宋体" w:eastAsia="宋体"/>
                <w:sz w:val="16"/>
              </w:rPr>
              <w:t>&gt;=151亿元</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E07D8D">
            <w:pPr>
              <w:jc w:val="center"/>
            </w:pPr>
            <w:r>
              <w:rPr>
                <w:rFonts w:ascii="宋体" w:hAnsi="宋体" w:eastAsia="宋体"/>
                <w:sz w:val="16"/>
              </w:rPr>
              <w:t>关于征求《乌鲁木齐2024年主要经济指标巩固提升工作方案（征求意见稿）》意见建议的函</w:t>
            </w:r>
          </w:p>
        </w:tc>
        <w:tc>
          <w:tcPr>
            <w:tcW w:w="9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8F252">
            <w:pPr>
              <w:jc w:val="center"/>
            </w:pPr>
            <w:r>
              <w:rPr>
                <w:rFonts w:ascii="宋体" w:hAnsi="宋体" w:eastAsia="宋体"/>
                <w:sz w:val="16"/>
              </w:rPr>
              <w:t>141.2亿元</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65157">
            <w:pPr>
              <w:jc w:val="center"/>
            </w:pPr>
            <w:r>
              <w:rPr>
                <w:rFonts w:ascii="宋体" w:hAnsi="宋体" w:eastAsia="宋体"/>
                <w:sz w:val="16"/>
              </w:rPr>
              <w:t>30</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F7FB96C">
            <w:pPr>
              <w:jc w:val="center"/>
            </w:pPr>
            <w:r>
              <w:rPr>
                <w:rFonts w:ascii="宋体" w:hAnsi="宋体" w:eastAsia="宋体"/>
                <w:sz w:val="16"/>
              </w:rPr>
              <w:t>28.05</w:t>
            </w:r>
          </w:p>
        </w:tc>
      </w:tr>
      <w:tr w14:paraId="6C34E5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301E47"/>
        </w:tc>
        <w:tc>
          <w:tcPr>
            <w:tcW w:w="1008" w:type="dxa"/>
            <w:tcBorders>
              <w:top w:val="single" w:color="auto" w:sz="10" w:space="0"/>
              <w:left w:val="single" w:color="auto" w:sz="10" w:space="0"/>
              <w:bottom w:val="single" w:color="auto" w:sz="10" w:space="0"/>
              <w:right w:val="single" w:color="auto" w:sz="10" w:space="0"/>
              <w:insideV w:val="single" w:sz="10" w:space="0"/>
            </w:tcBorders>
            <w:vAlign w:val="center"/>
          </w:tcPr>
          <w:p w14:paraId="5A836DE5">
            <w:pPr>
              <w:jc w:val="center"/>
            </w:pPr>
            <w:r>
              <w:rPr>
                <w:rFonts w:ascii="宋体" w:hAnsi="宋体" w:eastAsia="宋体"/>
                <w:sz w:val="16"/>
              </w:rPr>
              <w:t>质量指标</w:t>
            </w:r>
          </w:p>
        </w:tc>
        <w:tc>
          <w:tcPr>
            <w:tcW w:w="11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D66C1">
            <w:pPr>
              <w:jc w:val="center"/>
            </w:pPr>
            <w:r>
              <w:rPr>
                <w:rFonts w:ascii="宋体" w:hAnsi="宋体" w:eastAsia="宋体"/>
                <w:sz w:val="16"/>
              </w:rPr>
              <w:t>社零目标完成率</w:t>
            </w:r>
          </w:p>
        </w:tc>
        <w:tc>
          <w:tcPr>
            <w:tcW w:w="10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B98B6">
            <w:pPr>
              <w:jc w:val="center"/>
            </w:pPr>
            <w:r>
              <w:rPr>
                <w:rFonts w:ascii="宋体" w:hAnsi="宋体" w:eastAsia="宋体"/>
                <w:sz w:val="16"/>
              </w:rPr>
              <w:t>=151亿/4</w:t>
            </w:r>
          </w:p>
        </w:tc>
        <w:tc>
          <w:tcPr>
            <w:tcW w:w="189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C6476B">
            <w:pPr>
              <w:jc w:val="center"/>
            </w:pPr>
            <w:r>
              <w:rPr>
                <w:rFonts w:ascii="宋体" w:hAnsi="宋体" w:eastAsia="宋体"/>
                <w:sz w:val="16"/>
              </w:rPr>
              <w:t>关于征求《乌鲁木齐2024年主要经济指标巩固提升工作方案（征求意见稿）》意见建议的函</w:t>
            </w:r>
          </w:p>
        </w:tc>
        <w:tc>
          <w:tcPr>
            <w:tcW w:w="9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B67BA">
            <w:pPr>
              <w:jc w:val="center"/>
            </w:pPr>
            <w:r>
              <w:rPr>
                <w:rFonts w:ascii="宋体" w:hAnsi="宋体" w:eastAsia="宋体"/>
                <w:sz w:val="16"/>
              </w:rPr>
              <w:t>93.5%</w:t>
            </w:r>
          </w:p>
        </w:tc>
        <w:tc>
          <w:tcPr>
            <w:tcW w:w="10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6E758">
            <w:pPr>
              <w:jc w:val="center"/>
            </w:pPr>
            <w:r>
              <w:rPr>
                <w:rFonts w:ascii="宋体" w:hAnsi="宋体" w:eastAsia="宋体"/>
                <w:sz w:val="16"/>
              </w:rPr>
              <w:t>30</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1A50F9FD">
            <w:pPr>
              <w:jc w:val="center"/>
            </w:pPr>
            <w:r>
              <w:rPr>
                <w:rFonts w:ascii="宋体" w:hAnsi="宋体" w:eastAsia="宋体"/>
                <w:sz w:val="16"/>
              </w:rPr>
              <w:t>28.05</w:t>
            </w:r>
          </w:p>
        </w:tc>
      </w:tr>
    </w:tbl>
    <w:p w14:paraId="5CD5F3B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137B4495">
        <w:tblPrEx>
          <w:tblCellMar>
            <w:top w:w="0" w:type="dxa"/>
            <w:left w:w="108" w:type="dxa"/>
            <w:bottom w:w="0" w:type="dxa"/>
            <w:right w:w="108" w:type="dxa"/>
          </w:tblCellMar>
        </w:tblPrEx>
        <w:tc>
          <w:tcPr>
            <w:tcW w:w="8848" w:type="dxa"/>
            <w:gridSpan w:val="14"/>
            <w:vAlign w:val="center"/>
          </w:tcPr>
          <w:p w14:paraId="6A37DA5B">
            <w:pPr>
              <w:jc w:val="center"/>
            </w:pPr>
            <w:r>
              <w:rPr>
                <w:rFonts w:ascii="宋体" w:hAnsi="宋体" w:eastAsia="宋体"/>
                <w:sz w:val="24"/>
              </w:rPr>
              <w:t>项目支出绩效自评表</w:t>
            </w:r>
          </w:p>
        </w:tc>
      </w:tr>
      <w:tr w14:paraId="28F70BCF">
        <w:tblPrEx>
          <w:tblCellMar>
            <w:top w:w="0" w:type="dxa"/>
            <w:left w:w="108" w:type="dxa"/>
            <w:bottom w:w="0" w:type="dxa"/>
            <w:right w:w="108" w:type="dxa"/>
          </w:tblCellMar>
        </w:tblPrEx>
        <w:tc>
          <w:tcPr>
            <w:tcW w:w="8848" w:type="dxa"/>
            <w:gridSpan w:val="14"/>
            <w:vAlign w:val="center"/>
          </w:tcPr>
          <w:p w14:paraId="482C8144">
            <w:pPr>
              <w:jc w:val="center"/>
            </w:pPr>
            <w:r>
              <w:rPr>
                <w:rFonts w:ascii="宋体" w:hAnsi="宋体" w:eastAsia="宋体"/>
                <w:sz w:val="24"/>
              </w:rPr>
              <w:t>(2024年度)</w:t>
            </w:r>
          </w:p>
        </w:tc>
      </w:tr>
      <w:tr w14:paraId="365054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FB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F6A9C6">
            <w:pPr>
              <w:jc w:val="center"/>
            </w:pPr>
            <w:r>
              <w:rPr>
                <w:rFonts w:ascii="宋体" w:hAnsi="宋体" w:eastAsia="宋体"/>
                <w:sz w:val="16"/>
              </w:rPr>
              <w:t>2023（中国）亚欧商品贸易博览会经费（第六次财政事项会）</w:t>
            </w:r>
          </w:p>
        </w:tc>
      </w:tr>
      <w:tr w14:paraId="417F0F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45D9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AAB6F">
            <w:pPr>
              <w:jc w:val="center"/>
            </w:pPr>
            <w:r>
              <w:rPr>
                <w:rFonts w:ascii="宋体" w:hAnsi="宋体" w:eastAsia="宋体"/>
                <w:sz w:val="16"/>
              </w:rPr>
              <w:t>乌鲁木齐市水磨沟区商务局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694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05C31B">
            <w:pPr>
              <w:jc w:val="center"/>
            </w:pPr>
            <w:r>
              <w:rPr>
                <w:rFonts w:ascii="宋体" w:hAnsi="宋体" w:eastAsia="宋体"/>
                <w:sz w:val="16"/>
              </w:rPr>
              <w:t>乌鲁木齐市水磨沟区商务局</w:t>
            </w:r>
          </w:p>
        </w:tc>
      </w:tr>
      <w:tr w14:paraId="349519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600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FD87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178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94E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BE5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679B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618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9EB26">
            <w:pPr>
              <w:jc w:val="center"/>
            </w:pPr>
            <w:r>
              <w:rPr>
                <w:rFonts w:ascii="宋体" w:hAnsi="宋体" w:eastAsia="宋体"/>
                <w:sz w:val="16"/>
              </w:rPr>
              <w:t>得分</w:t>
            </w:r>
          </w:p>
        </w:tc>
      </w:tr>
      <w:tr w14:paraId="4E66FE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07E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EB0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07A20">
            <w:pPr>
              <w:jc w:val="center"/>
            </w:pPr>
            <w:r>
              <w:rPr>
                <w:rFonts w:ascii="宋体" w:hAnsi="宋体" w:eastAsia="宋体"/>
                <w:sz w:val="16"/>
              </w:rPr>
              <w:t>38.45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39702">
            <w:pPr>
              <w:jc w:val="center"/>
            </w:pPr>
            <w:r>
              <w:rPr>
                <w:rFonts w:ascii="宋体" w:hAnsi="宋体" w:eastAsia="宋体"/>
                <w:sz w:val="16"/>
              </w:rPr>
              <w:t>38.45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C1FE6">
            <w:pPr>
              <w:jc w:val="center"/>
            </w:pPr>
            <w:r>
              <w:rPr>
                <w:rFonts w:ascii="宋体" w:hAnsi="宋体" w:eastAsia="宋体"/>
                <w:sz w:val="16"/>
              </w:rPr>
              <w:t>38.45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669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587F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E7C5">
            <w:pPr>
              <w:jc w:val="center"/>
            </w:pPr>
            <w:r>
              <w:rPr>
                <w:rFonts w:ascii="宋体" w:hAnsi="宋体" w:eastAsia="宋体"/>
                <w:sz w:val="16"/>
              </w:rPr>
              <w:t>10.00分</w:t>
            </w:r>
          </w:p>
        </w:tc>
      </w:tr>
      <w:tr w14:paraId="34410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44A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B9B7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B58F4">
            <w:pPr>
              <w:jc w:val="center"/>
            </w:pPr>
            <w:r>
              <w:rPr>
                <w:rFonts w:ascii="宋体" w:hAnsi="宋体" w:eastAsia="宋体"/>
                <w:sz w:val="16"/>
              </w:rPr>
              <w:t>38.45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D816D">
            <w:pPr>
              <w:jc w:val="center"/>
            </w:pPr>
            <w:r>
              <w:rPr>
                <w:rFonts w:ascii="宋体" w:hAnsi="宋体" w:eastAsia="宋体"/>
                <w:sz w:val="16"/>
              </w:rPr>
              <w:t>38.45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DE06E">
            <w:pPr>
              <w:jc w:val="center"/>
            </w:pPr>
            <w:r>
              <w:rPr>
                <w:rFonts w:ascii="宋体" w:hAnsi="宋体" w:eastAsia="宋体"/>
                <w:sz w:val="16"/>
              </w:rPr>
              <w:t>38.45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97AC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C61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D68F">
            <w:pPr>
              <w:jc w:val="center"/>
            </w:pPr>
            <w:r>
              <w:rPr>
                <w:rFonts w:ascii="宋体" w:hAnsi="宋体" w:eastAsia="宋体"/>
                <w:sz w:val="16"/>
              </w:rPr>
              <w:t>-</w:t>
            </w:r>
          </w:p>
        </w:tc>
      </w:tr>
      <w:tr w14:paraId="128AF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AE4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F5D6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D96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8E4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0E8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B11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649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2924C">
            <w:pPr>
              <w:jc w:val="center"/>
            </w:pPr>
            <w:r>
              <w:rPr>
                <w:rFonts w:ascii="宋体" w:hAnsi="宋体" w:eastAsia="宋体"/>
                <w:sz w:val="16"/>
              </w:rPr>
              <w:t>-</w:t>
            </w:r>
          </w:p>
        </w:tc>
      </w:tr>
      <w:tr w14:paraId="58A3A0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B1A38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EB291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B95384">
            <w:pPr>
              <w:jc w:val="center"/>
            </w:pPr>
            <w:r>
              <w:rPr>
                <w:rFonts w:ascii="宋体" w:hAnsi="宋体" w:eastAsia="宋体"/>
                <w:sz w:val="16"/>
              </w:rPr>
              <w:t>总体目标完成情况</w:t>
            </w:r>
          </w:p>
        </w:tc>
      </w:tr>
      <w:tr w14:paraId="2C5F24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B65B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B19236">
            <w:pPr>
              <w:jc w:val="both"/>
            </w:pPr>
            <w:r>
              <w:rPr>
                <w:rFonts w:ascii="宋体" w:hAnsi="宋体" w:eastAsia="宋体"/>
                <w:sz w:val="16"/>
              </w:rPr>
              <w:t>第七届</w:t>
            </w:r>
            <w:r>
              <w:rPr>
                <w:rFonts w:hint="eastAsia" w:ascii="宋体" w:hAnsi="宋体"/>
                <w:sz w:val="16"/>
                <w:lang w:eastAsia="zh-CN"/>
              </w:rPr>
              <w:t>中国—亚欧</w:t>
            </w:r>
            <w:r>
              <w:rPr>
                <w:rFonts w:ascii="宋体" w:hAnsi="宋体" w:eastAsia="宋体"/>
                <w:sz w:val="16"/>
              </w:rPr>
              <w:t>博览会</w:t>
            </w:r>
            <w:r>
              <w:rPr>
                <w:rFonts w:hint="eastAsia" w:ascii="宋体" w:hAnsi="宋体"/>
                <w:sz w:val="16"/>
                <w:lang w:eastAsia="zh-CN"/>
              </w:rPr>
              <w:t>乌鲁木齐市水磨沟区</w:t>
            </w:r>
            <w:r>
              <w:rPr>
                <w:rFonts w:ascii="宋体" w:hAnsi="宋体" w:eastAsia="宋体"/>
                <w:sz w:val="16"/>
              </w:rPr>
              <w:t>投资合作展区97平方米，通过对展台设计、搭建，融合再现展示及互动体验功能，全方位展示乌水磨沟区助力乌鲁木齐市在构建繁荣、开放、绿色、创新、文明城市发展进程中，多层次对外开放新局面，展示以人为本的城市发展理念带来的百姓</w:t>
            </w:r>
            <w:r>
              <w:rPr>
                <w:rFonts w:hint="eastAsia" w:ascii="宋体" w:hAnsi="宋体"/>
                <w:sz w:val="16"/>
                <w:lang w:eastAsia="zh-CN"/>
              </w:rPr>
              <w:t>获得感、幸福感、安全感</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F0B87B">
            <w:pPr>
              <w:jc w:val="both"/>
            </w:pPr>
            <w:r>
              <w:rPr>
                <w:rFonts w:ascii="宋体" w:hAnsi="宋体" w:eastAsia="宋体"/>
                <w:sz w:val="16"/>
              </w:rPr>
              <w:t>截至评价期，已落实完成2023（中国）亚欧商品贸易博览会经费（第六次财政事项会）工作，水区形象展示区共征集13家单位（已上报市局，招商招展工作已截止），共计40余件展品（后期如需增加</w:t>
            </w:r>
            <w:r>
              <w:rPr>
                <w:rFonts w:hint="eastAsia" w:ascii="宋体" w:hAnsi="宋体"/>
                <w:sz w:val="16"/>
                <w:lang w:eastAsia="zh-CN"/>
              </w:rPr>
              <w:t>其他</w:t>
            </w:r>
            <w:r>
              <w:rPr>
                <w:rFonts w:ascii="宋体" w:hAnsi="宋体" w:eastAsia="宋体"/>
                <w:sz w:val="16"/>
              </w:rPr>
              <w:t>展品可调整）。我区本次博览会共组织2家参展单位，分别是新疆云享机器人科技有限公司(9㎡标展），该企业主营业务智能机器人；乌鲁木齐丝路部落商贸有限公司（36㎡特装），该企业主营业务酒具、茶具、工艺品。水磨沟区商博会签约项目分别为：“一带一路”国际医药产业园项目和澳龙能源、金融总部基地项目。</w:t>
            </w:r>
          </w:p>
        </w:tc>
      </w:tr>
      <w:tr w14:paraId="519FFB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0AFA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D54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928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A41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5E9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FCFC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D3BF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0EC6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7BB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77EF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076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1DD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08BB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1264">
            <w:pPr>
              <w:jc w:val="center"/>
            </w:pPr>
            <w:r>
              <w:rPr>
                <w:rFonts w:ascii="宋体" w:hAnsi="宋体" w:eastAsia="宋体"/>
                <w:sz w:val="16"/>
              </w:rPr>
              <w:t>偏差原因分析及改进措施</w:t>
            </w:r>
          </w:p>
        </w:tc>
      </w:tr>
      <w:tr w14:paraId="5518AA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393F2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9058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A54A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4109">
            <w:pPr>
              <w:jc w:val="center"/>
            </w:pPr>
            <w:r>
              <w:rPr>
                <w:rFonts w:ascii="宋体" w:hAnsi="宋体" w:eastAsia="宋体"/>
                <w:sz w:val="16"/>
              </w:rPr>
              <w:t>招商活动的签约项目个数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0BF2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F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0C3C3">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3FA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78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D7D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28D21">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1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69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12B1">
            <w:pPr>
              <w:jc w:val="center"/>
            </w:pPr>
          </w:p>
        </w:tc>
      </w:tr>
      <w:tr w14:paraId="5ADFE0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93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C63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AD6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3084">
            <w:pPr>
              <w:jc w:val="center"/>
            </w:pPr>
            <w:r>
              <w:rPr>
                <w:rFonts w:ascii="宋体" w:hAnsi="宋体" w:eastAsia="宋体"/>
                <w:sz w:val="16"/>
              </w:rPr>
              <w:t>申订展位面积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7DA71">
            <w:pPr>
              <w:jc w:val="center"/>
            </w:pPr>
            <w:r>
              <w:rPr>
                <w:rFonts w:ascii="宋体" w:hAnsi="宋体" w:eastAsia="宋体"/>
                <w:sz w:val="16"/>
              </w:rPr>
              <w:t>&gt;=97平方米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FE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10458">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66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71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8EBB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4B2A">
            <w:pPr>
              <w:jc w:val="center"/>
            </w:pPr>
            <w:r>
              <w:rPr>
                <w:rFonts w:ascii="宋体" w:hAnsi="宋体" w:eastAsia="宋体"/>
                <w:sz w:val="16"/>
              </w:rPr>
              <w:t>=97平方米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7E8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BEF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A88DF">
            <w:pPr>
              <w:jc w:val="center"/>
            </w:pPr>
          </w:p>
        </w:tc>
      </w:tr>
      <w:tr w14:paraId="03B1D2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8EF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591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760D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BFF6">
            <w:pPr>
              <w:jc w:val="center"/>
            </w:pPr>
            <w:r>
              <w:rPr>
                <w:rFonts w:ascii="宋体" w:hAnsi="宋体" w:eastAsia="宋体"/>
                <w:sz w:val="16"/>
              </w:rPr>
              <w:t>各项费用使用合规率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C4D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00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4B470">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E4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E4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217B4">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9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C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32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2B169">
            <w:pPr>
              <w:jc w:val="center"/>
            </w:pPr>
          </w:p>
        </w:tc>
      </w:tr>
      <w:tr w14:paraId="1A263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D43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A86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176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08BBC">
            <w:pPr>
              <w:jc w:val="center"/>
            </w:pPr>
            <w:r>
              <w:rPr>
                <w:rFonts w:ascii="宋体" w:hAnsi="宋体" w:eastAsia="宋体"/>
                <w:sz w:val="16"/>
              </w:rPr>
              <w:t>展位设计施工及设备租赁验收合格率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D83C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2E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6A0D">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44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2A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32223">
            <w:pPr>
              <w:jc w:val="center"/>
            </w:pPr>
            <w:r>
              <w:rPr>
                <w:rFonts w:ascii="宋体" w:hAnsi="宋体" w:eastAsia="宋体"/>
                <w:sz w:val="16"/>
              </w:rPr>
              <w:t>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BF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4C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9D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C8B8">
            <w:pPr>
              <w:jc w:val="center"/>
            </w:pPr>
          </w:p>
        </w:tc>
      </w:tr>
      <w:tr w14:paraId="765FD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00B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FEAB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87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DF65">
            <w:pPr>
              <w:jc w:val="center"/>
            </w:pPr>
            <w:r>
              <w:rPr>
                <w:rFonts w:ascii="宋体" w:hAnsi="宋体" w:eastAsia="宋体"/>
                <w:sz w:val="16"/>
              </w:rPr>
              <w:t>支付展位费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EE75C">
            <w:pPr>
              <w:jc w:val="center"/>
            </w:pPr>
            <w:r>
              <w:rPr>
                <w:rFonts w:ascii="宋体" w:hAnsi="宋体" w:eastAsia="宋体"/>
                <w:sz w:val="16"/>
              </w:rPr>
              <w:t>&lt;=38.45万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C7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0372">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54B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D7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1DA5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C7A9">
            <w:pPr>
              <w:jc w:val="center"/>
            </w:pPr>
            <w:r>
              <w:rPr>
                <w:rFonts w:ascii="宋体" w:hAnsi="宋体" w:eastAsia="宋体"/>
                <w:sz w:val="16"/>
              </w:rPr>
              <w:t>=38.45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33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BA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DD4AE">
            <w:pPr>
              <w:jc w:val="center"/>
            </w:pPr>
          </w:p>
        </w:tc>
      </w:tr>
      <w:tr w14:paraId="720E2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A73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9031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425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8E601">
            <w:pPr>
              <w:jc w:val="center"/>
            </w:pPr>
            <w:r>
              <w:rPr>
                <w:rFonts w:ascii="宋体" w:hAnsi="宋体" w:eastAsia="宋体"/>
                <w:sz w:val="16"/>
              </w:rPr>
              <w:t>展会招商引资合作项目签约金额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83A0">
            <w:pPr>
              <w:jc w:val="center"/>
            </w:pPr>
            <w:r>
              <w:rPr>
                <w:rFonts w:ascii="宋体" w:hAnsi="宋体" w:eastAsia="宋体"/>
                <w:sz w:val="16"/>
              </w:rPr>
              <w:t>&gt;=54.6亿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A0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2915A">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28E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8D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B74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98B40">
            <w:pPr>
              <w:jc w:val="center"/>
            </w:pPr>
            <w:r>
              <w:rPr>
                <w:rFonts w:ascii="宋体" w:hAnsi="宋体" w:eastAsia="宋体"/>
                <w:sz w:val="16"/>
              </w:rPr>
              <w:t>=54.6</w:t>
            </w:r>
            <w:r>
              <w:rPr>
                <w:rFonts w:hint="eastAsia" w:ascii="宋体" w:hAnsi="宋体"/>
                <w:sz w:val="16"/>
                <w:lang w:eastAsia="zh-CN"/>
              </w:rPr>
              <w:t>亿元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CB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BA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9496">
            <w:pPr>
              <w:jc w:val="center"/>
            </w:pPr>
          </w:p>
        </w:tc>
      </w:tr>
      <w:tr w14:paraId="1FFB47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06E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014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C96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D359">
            <w:pPr>
              <w:jc w:val="center"/>
            </w:pPr>
            <w:r>
              <w:rPr>
                <w:rFonts w:ascii="宋体" w:hAnsi="宋体" w:eastAsia="宋体"/>
                <w:sz w:val="16"/>
              </w:rPr>
              <w:t>全面展示我市形象和经济社会发展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4BB99">
            <w:pPr>
              <w:jc w:val="center"/>
            </w:pPr>
            <w:r>
              <w:rPr>
                <w:rFonts w:ascii="宋体" w:hAnsi="宋体" w:eastAsia="宋体"/>
                <w:sz w:val="16"/>
              </w:rPr>
              <w:t>充分展示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82B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388E4">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E9B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C98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DC4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88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F8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C1B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5B78A">
            <w:pPr>
              <w:jc w:val="center"/>
            </w:pPr>
          </w:p>
        </w:tc>
      </w:tr>
      <w:tr w14:paraId="332198B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C576C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57B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E5F8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0DE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A4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713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56E4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F86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87B0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0482">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D90B83"/>
        </w:tc>
      </w:tr>
    </w:tbl>
    <w:p w14:paraId="08C6BEE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578209B">
        <w:tc>
          <w:tcPr>
            <w:tcW w:w="8848" w:type="dxa"/>
            <w:gridSpan w:val="14"/>
            <w:vAlign w:val="center"/>
          </w:tcPr>
          <w:p w14:paraId="5281132F">
            <w:pPr>
              <w:jc w:val="center"/>
            </w:pPr>
            <w:r>
              <w:rPr>
                <w:rFonts w:ascii="宋体" w:hAnsi="宋体" w:eastAsia="宋体"/>
                <w:sz w:val="24"/>
              </w:rPr>
              <w:t>项目支出绩效自评表</w:t>
            </w:r>
          </w:p>
        </w:tc>
      </w:tr>
      <w:tr w14:paraId="5B0084D3">
        <w:tblPrEx>
          <w:tblCellMar>
            <w:top w:w="0" w:type="dxa"/>
            <w:left w:w="108" w:type="dxa"/>
            <w:bottom w:w="0" w:type="dxa"/>
            <w:right w:w="108" w:type="dxa"/>
          </w:tblCellMar>
        </w:tblPrEx>
        <w:tc>
          <w:tcPr>
            <w:tcW w:w="8848" w:type="dxa"/>
            <w:gridSpan w:val="14"/>
            <w:vAlign w:val="center"/>
          </w:tcPr>
          <w:p w14:paraId="74FF42B8">
            <w:pPr>
              <w:jc w:val="center"/>
            </w:pPr>
            <w:r>
              <w:rPr>
                <w:rFonts w:ascii="宋体" w:hAnsi="宋体" w:eastAsia="宋体"/>
                <w:sz w:val="24"/>
              </w:rPr>
              <w:t>(2024年度)</w:t>
            </w:r>
          </w:p>
        </w:tc>
      </w:tr>
      <w:tr w14:paraId="50C623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B6A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2EAA38">
            <w:pPr>
              <w:jc w:val="center"/>
            </w:pPr>
            <w:r>
              <w:rPr>
                <w:rFonts w:ascii="宋体" w:hAnsi="宋体" w:eastAsia="宋体"/>
                <w:sz w:val="16"/>
              </w:rPr>
              <w:t>中国（新疆）功能区乌鲁木齐片区会展区块专项发展项目</w:t>
            </w:r>
          </w:p>
        </w:tc>
      </w:tr>
      <w:tr w14:paraId="184DE3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52A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C8ABD6">
            <w:pPr>
              <w:jc w:val="center"/>
            </w:pPr>
            <w:r>
              <w:rPr>
                <w:rFonts w:ascii="宋体" w:hAnsi="宋体" w:eastAsia="宋体"/>
                <w:sz w:val="16"/>
              </w:rPr>
              <w:t>乌鲁木齐市水磨沟区商务局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BB48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DEB403">
            <w:pPr>
              <w:jc w:val="center"/>
            </w:pPr>
            <w:r>
              <w:rPr>
                <w:rFonts w:ascii="宋体" w:hAnsi="宋体" w:eastAsia="宋体"/>
                <w:sz w:val="16"/>
              </w:rPr>
              <w:t>乌鲁木齐市水磨沟区商务局</w:t>
            </w:r>
          </w:p>
        </w:tc>
      </w:tr>
      <w:tr w14:paraId="160D59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2DAF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A8D2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2D92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454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3C39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974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5F0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8435B">
            <w:pPr>
              <w:jc w:val="center"/>
            </w:pPr>
            <w:r>
              <w:rPr>
                <w:rFonts w:ascii="宋体" w:hAnsi="宋体" w:eastAsia="宋体"/>
                <w:sz w:val="16"/>
              </w:rPr>
              <w:t>得分</w:t>
            </w:r>
          </w:p>
        </w:tc>
      </w:tr>
      <w:tr w14:paraId="022C50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25A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04D3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ADD3C">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69ED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EB396">
            <w:pPr>
              <w:jc w:val="center"/>
            </w:pPr>
            <w:r>
              <w:rPr>
                <w:rFonts w:ascii="宋体" w:hAnsi="宋体" w:eastAsia="宋体"/>
                <w:sz w:val="16"/>
              </w:rPr>
              <w:t>16.60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6730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B1309">
            <w:pPr>
              <w:jc w:val="center"/>
            </w:pPr>
            <w:r>
              <w:rPr>
                <w:rFonts w:ascii="宋体" w:hAnsi="宋体" w:eastAsia="宋体"/>
                <w:sz w:val="16"/>
              </w:rPr>
              <w:t>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1CF7">
            <w:pPr>
              <w:jc w:val="center"/>
            </w:pPr>
            <w:r>
              <w:rPr>
                <w:rFonts w:ascii="宋体" w:hAnsi="宋体" w:eastAsia="宋体"/>
                <w:sz w:val="16"/>
              </w:rPr>
              <w:t>0.83分</w:t>
            </w:r>
          </w:p>
        </w:tc>
      </w:tr>
      <w:tr w14:paraId="08FCC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69B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C042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EA18C">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AE52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B2FE5">
            <w:pPr>
              <w:jc w:val="center"/>
            </w:pPr>
            <w:r>
              <w:rPr>
                <w:rFonts w:ascii="宋体" w:hAnsi="宋体" w:eastAsia="宋体"/>
                <w:sz w:val="16"/>
              </w:rPr>
              <w:t>16.60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A8A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D8B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FD7AF">
            <w:pPr>
              <w:jc w:val="center"/>
            </w:pPr>
            <w:r>
              <w:rPr>
                <w:rFonts w:ascii="宋体" w:hAnsi="宋体" w:eastAsia="宋体"/>
                <w:sz w:val="16"/>
              </w:rPr>
              <w:t>-</w:t>
            </w:r>
          </w:p>
        </w:tc>
      </w:tr>
      <w:tr w14:paraId="4A588C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EC4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18DC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507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3E9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CCD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E99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19D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DE5B3">
            <w:pPr>
              <w:jc w:val="center"/>
            </w:pPr>
            <w:r>
              <w:rPr>
                <w:rFonts w:ascii="宋体" w:hAnsi="宋体" w:eastAsia="宋体"/>
                <w:sz w:val="16"/>
              </w:rPr>
              <w:t>-</w:t>
            </w:r>
          </w:p>
        </w:tc>
      </w:tr>
      <w:tr w14:paraId="369F46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8F0A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2ACEA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F1A26D">
            <w:pPr>
              <w:jc w:val="center"/>
            </w:pPr>
            <w:r>
              <w:rPr>
                <w:rFonts w:ascii="宋体" w:hAnsi="宋体" w:eastAsia="宋体"/>
                <w:sz w:val="16"/>
              </w:rPr>
              <w:t>总体目标完成情况</w:t>
            </w:r>
          </w:p>
        </w:tc>
      </w:tr>
      <w:tr w14:paraId="1AB56E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C83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353E41">
            <w:pPr>
              <w:jc w:val="both"/>
            </w:pPr>
            <w:r>
              <w:rPr>
                <w:rFonts w:ascii="宋体" w:hAnsi="宋体" w:eastAsia="宋体"/>
                <w:sz w:val="16"/>
              </w:rPr>
              <w:t>依据《中国（新疆）自由贸易试验区总体方案》，为全面贯彻落实第三次中央新疆工作座谈会精神，深入贯彻落实习近平总书记关于新疆工作的系列重要讲话和</w:t>
            </w:r>
            <w:r>
              <w:rPr>
                <w:rFonts w:hint="eastAsia" w:ascii="宋体" w:hAnsi="宋体"/>
                <w:sz w:val="16"/>
                <w:lang w:eastAsia="zh-CN"/>
              </w:rPr>
              <w:t>重要指示批示精神</w:t>
            </w:r>
            <w:r>
              <w:rPr>
                <w:rFonts w:ascii="宋体" w:hAnsi="宋体" w:eastAsia="宋体"/>
                <w:sz w:val="16"/>
              </w:rPr>
              <w:t>，深入推进改革创新，坚定不移扩大开放，推进自由贸易试验区水磨沟功能区块建设，以智库专家团队提供的专业服务和咨询为指引，通过外出考察调研，加强与先进地区、会展机构和行业协会的联系，积极引进品牌会展企业建设会展总部基地，聚集会展设计、会展策划、会展服务优质资源，完善会展服务功能。努力建成营商环境优良、投资贸易便利、优势产业集聚、要素资源共享、管理协同高效、辐射带动作用突出的高标准高质量自由贸易园区。同时保障自贸专班维持日常运转。年度预算总额200万元，其中支付智库专家咨询费、自贸试验区标识标牌、外出考察调研及办公运转费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C6DE4C">
            <w:pPr>
              <w:jc w:val="both"/>
            </w:pPr>
            <w:r>
              <w:rPr>
                <w:rFonts w:ascii="宋体" w:hAnsi="宋体" w:eastAsia="宋体"/>
                <w:sz w:val="16"/>
              </w:rPr>
              <w:t>截至评价期，年度预算总额200万元，完成部分中国（新疆）功能区乌鲁木齐片区会展区块专项发展项目，其中支付智库专家咨询费、自贸试验区标识标牌、外出考察调研及办公运转费用。已支付差旅费16.547万元</w:t>
            </w:r>
          </w:p>
        </w:tc>
      </w:tr>
      <w:tr w14:paraId="48A6AB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6701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69B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B719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EA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172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9AEC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BE5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8421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F144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1D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971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C0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72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CB51">
            <w:pPr>
              <w:jc w:val="center"/>
            </w:pPr>
            <w:r>
              <w:rPr>
                <w:rFonts w:ascii="宋体" w:hAnsi="宋体" w:eastAsia="宋体"/>
                <w:sz w:val="16"/>
              </w:rPr>
              <w:t>偏差原因分析及改进措施</w:t>
            </w:r>
          </w:p>
        </w:tc>
      </w:tr>
      <w:tr w14:paraId="684437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11BF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3DED6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A3AA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90E3">
            <w:pPr>
              <w:jc w:val="center"/>
            </w:pPr>
            <w:r>
              <w:rPr>
                <w:rFonts w:ascii="宋体" w:hAnsi="宋体" w:eastAsia="宋体"/>
                <w:sz w:val="16"/>
              </w:rPr>
              <w:t>开展自贸培训场次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F93C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18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EB4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86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F8E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75C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AB5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7A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BE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360C">
            <w:pPr>
              <w:jc w:val="center"/>
            </w:pPr>
          </w:p>
        </w:tc>
      </w:tr>
      <w:tr w14:paraId="5A8B8A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3C2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7E6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4D9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12EAA">
            <w:pPr>
              <w:jc w:val="center"/>
            </w:pPr>
            <w:r>
              <w:rPr>
                <w:rFonts w:ascii="宋体" w:hAnsi="宋体" w:eastAsia="宋体"/>
                <w:sz w:val="16"/>
              </w:rPr>
              <w:t>形成改革创新条目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622A">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FAF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49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8B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AB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41D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8CE4">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96FD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7E5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C8873">
            <w:pPr>
              <w:jc w:val="center"/>
            </w:pPr>
            <w:r>
              <w:rPr>
                <w:rFonts w:ascii="宋体" w:hAnsi="宋体" w:eastAsia="宋体"/>
                <w:sz w:val="16"/>
              </w:rPr>
              <w:t>因智库机构深圳综合研究院在疆内业务过多，人手较少，无法抽出更多人员和精力驻点在水磨沟区块开展制度创新研究</w:t>
            </w:r>
          </w:p>
        </w:tc>
      </w:tr>
      <w:tr w14:paraId="4C5267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AD6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395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AC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77D1">
            <w:pPr>
              <w:jc w:val="center"/>
            </w:pPr>
            <w:r>
              <w:rPr>
                <w:rFonts w:ascii="宋体" w:hAnsi="宋体" w:eastAsia="宋体"/>
                <w:sz w:val="16"/>
              </w:rPr>
              <w:t>编制行动方案数量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A62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05F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0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13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44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1E89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43C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7BE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59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D4EE">
            <w:pPr>
              <w:jc w:val="center"/>
            </w:pPr>
          </w:p>
        </w:tc>
      </w:tr>
      <w:tr w14:paraId="7FAAE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4E1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2201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D865F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1A675">
            <w:pPr>
              <w:jc w:val="center"/>
            </w:pPr>
            <w:r>
              <w:rPr>
                <w:rFonts w:ascii="宋体" w:hAnsi="宋体" w:eastAsia="宋体"/>
                <w:sz w:val="16"/>
              </w:rPr>
              <w:t>编制行动方案合格率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4805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7652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53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81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B9B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539E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7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8376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A9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6D7B">
            <w:pPr>
              <w:jc w:val="center"/>
            </w:pPr>
            <w:r>
              <w:rPr>
                <w:rFonts w:ascii="宋体" w:hAnsi="宋体" w:eastAsia="宋体"/>
                <w:sz w:val="16"/>
              </w:rPr>
              <w:t>目标设置不够精准，明年将根据本年度偏差率，结合合格率，进行调整</w:t>
            </w:r>
          </w:p>
        </w:tc>
      </w:tr>
      <w:tr w14:paraId="336707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84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B0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786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7EA6">
            <w:pPr>
              <w:jc w:val="center"/>
            </w:pPr>
            <w:r>
              <w:rPr>
                <w:rFonts w:ascii="宋体" w:hAnsi="宋体" w:eastAsia="宋体"/>
                <w:sz w:val="16"/>
              </w:rPr>
              <w:t>改革创新条目推广率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F26D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CD92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DF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EC7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65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00F6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4A1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12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6D6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F7C0B">
            <w:pPr>
              <w:jc w:val="center"/>
            </w:pPr>
            <w:r>
              <w:rPr>
                <w:rFonts w:ascii="宋体" w:hAnsi="宋体" w:eastAsia="宋体"/>
                <w:sz w:val="16"/>
              </w:rPr>
              <w:t>目标设置不够精准，未在有效时间内合理推广</w:t>
            </w:r>
          </w:p>
        </w:tc>
      </w:tr>
      <w:tr w14:paraId="138EBD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2DA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1AC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9C6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A28DB">
            <w:pPr>
              <w:jc w:val="center"/>
            </w:pPr>
            <w:r>
              <w:rPr>
                <w:rFonts w:ascii="宋体" w:hAnsi="宋体" w:eastAsia="宋体"/>
                <w:sz w:val="16"/>
              </w:rPr>
              <w:t>自贸培训出勤率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397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36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84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CA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17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172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479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5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E70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B683">
            <w:pPr>
              <w:jc w:val="center"/>
            </w:pPr>
          </w:p>
        </w:tc>
      </w:tr>
      <w:tr w14:paraId="344ECF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71D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5DD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C45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56BA">
            <w:pPr>
              <w:jc w:val="center"/>
            </w:pPr>
            <w:r>
              <w:rPr>
                <w:rFonts w:ascii="宋体" w:hAnsi="宋体" w:eastAsia="宋体"/>
                <w:sz w:val="16"/>
              </w:rPr>
              <w:t>上报改革创新成果及编制行动方案及时率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984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721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96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51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29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0F9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A00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9B8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A71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3379C">
            <w:pPr>
              <w:jc w:val="center"/>
            </w:pPr>
            <w:r>
              <w:rPr>
                <w:rFonts w:ascii="宋体" w:hAnsi="宋体" w:eastAsia="宋体"/>
                <w:sz w:val="16"/>
              </w:rPr>
              <w:t>目标设置不够精准，明年将根据本年度偏差率，结合及时率，进行调整</w:t>
            </w:r>
          </w:p>
        </w:tc>
      </w:tr>
      <w:tr w14:paraId="658E7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25E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F5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221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2DC9E">
            <w:pPr>
              <w:jc w:val="center"/>
            </w:pPr>
            <w:r>
              <w:rPr>
                <w:rFonts w:ascii="宋体" w:hAnsi="宋体" w:eastAsia="宋体"/>
                <w:sz w:val="16"/>
              </w:rPr>
              <w:t>提升现代服务业、改善营商环境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668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9514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89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2739">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AE9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D997">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7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5BE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08050">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114E">
            <w:pPr>
              <w:jc w:val="center"/>
            </w:pPr>
          </w:p>
        </w:tc>
      </w:tr>
      <w:tr w14:paraId="2E6287A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B86B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4970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0173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B7C5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F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6F5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88F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FA2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9246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DA938">
            <w:pPr>
              <w:jc w:val="center"/>
            </w:pPr>
            <w:r>
              <w:rPr>
                <w:rFonts w:ascii="宋体" w:hAnsi="宋体" w:eastAsia="宋体"/>
                <w:sz w:val="16"/>
              </w:rPr>
              <w:t>75.83分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2E352"/>
        </w:tc>
      </w:tr>
    </w:tbl>
    <w:p w14:paraId="7043F83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680A2364">
        <w:tc>
          <w:tcPr>
            <w:tcW w:w="8848" w:type="dxa"/>
            <w:gridSpan w:val="14"/>
            <w:vAlign w:val="center"/>
          </w:tcPr>
          <w:p w14:paraId="33D5FAAA">
            <w:pPr>
              <w:jc w:val="center"/>
            </w:pPr>
            <w:r>
              <w:rPr>
                <w:rFonts w:ascii="宋体" w:hAnsi="宋体" w:eastAsia="宋体"/>
                <w:sz w:val="24"/>
              </w:rPr>
              <w:t>项目支出绩效自评表</w:t>
            </w:r>
          </w:p>
        </w:tc>
      </w:tr>
      <w:tr w14:paraId="674BA73C">
        <w:tblPrEx>
          <w:tblCellMar>
            <w:top w:w="0" w:type="dxa"/>
            <w:left w:w="108" w:type="dxa"/>
            <w:bottom w:w="0" w:type="dxa"/>
            <w:right w:w="108" w:type="dxa"/>
          </w:tblCellMar>
        </w:tblPrEx>
        <w:tc>
          <w:tcPr>
            <w:tcW w:w="8848" w:type="dxa"/>
            <w:gridSpan w:val="14"/>
            <w:vAlign w:val="center"/>
          </w:tcPr>
          <w:p w14:paraId="62D5C184">
            <w:pPr>
              <w:jc w:val="center"/>
            </w:pPr>
            <w:r>
              <w:rPr>
                <w:rFonts w:ascii="宋体" w:hAnsi="宋体" w:eastAsia="宋体"/>
                <w:sz w:val="24"/>
              </w:rPr>
              <w:t>(2024年度)</w:t>
            </w:r>
          </w:p>
        </w:tc>
      </w:tr>
      <w:tr w14:paraId="79D055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FBC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4116B4">
            <w:pPr>
              <w:jc w:val="center"/>
            </w:pPr>
            <w:r>
              <w:rPr>
                <w:rFonts w:ascii="宋体" w:hAnsi="宋体" w:eastAsia="宋体"/>
                <w:sz w:val="16"/>
              </w:rPr>
              <w:t>乌财预</w:t>
            </w:r>
            <w:r>
              <w:rPr>
                <w:rFonts w:hint="eastAsia" w:ascii="宋体" w:hAnsi="宋体"/>
                <w:sz w:val="16"/>
                <w:lang w:eastAsia="zh-CN"/>
              </w:rPr>
              <w:t>〔2024〕30号</w:t>
            </w:r>
            <w:r>
              <w:rPr>
                <w:rFonts w:ascii="宋体" w:hAnsi="宋体" w:eastAsia="宋体"/>
                <w:sz w:val="16"/>
              </w:rPr>
              <w:t>关于调整下达2023年边境地区转移支付预算的通知</w:t>
            </w:r>
          </w:p>
        </w:tc>
      </w:tr>
      <w:tr w14:paraId="4B4D32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586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C5CF27">
            <w:pPr>
              <w:jc w:val="center"/>
            </w:pPr>
            <w:r>
              <w:rPr>
                <w:rFonts w:ascii="宋体" w:hAnsi="宋体" w:eastAsia="宋体"/>
                <w:sz w:val="16"/>
              </w:rPr>
              <w:t>乌鲁木齐市水磨沟区商务局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37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4DE6C0">
            <w:pPr>
              <w:jc w:val="center"/>
            </w:pPr>
            <w:r>
              <w:rPr>
                <w:rFonts w:ascii="宋体" w:hAnsi="宋体" w:eastAsia="宋体"/>
                <w:sz w:val="16"/>
              </w:rPr>
              <w:t>乌鲁木齐市水磨沟区商务局</w:t>
            </w:r>
          </w:p>
        </w:tc>
      </w:tr>
      <w:tr w14:paraId="076F09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F7E06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9586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E2B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15A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EB6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D23E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37BE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E6E36">
            <w:pPr>
              <w:jc w:val="center"/>
            </w:pPr>
            <w:r>
              <w:rPr>
                <w:rFonts w:ascii="宋体" w:hAnsi="宋体" w:eastAsia="宋体"/>
                <w:sz w:val="16"/>
              </w:rPr>
              <w:t>得分</w:t>
            </w:r>
          </w:p>
        </w:tc>
      </w:tr>
      <w:tr w14:paraId="369842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E26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52B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8FA6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88D5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B547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F042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BCDE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C9A26">
            <w:pPr>
              <w:jc w:val="center"/>
            </w:pPr>
            <w:r>
              <w:rPr>
                <w:rFonts w:ascii="宋体" w:hAnsi="宋体" w:eastAsia="宋体"/>
                <w:sz w:val="16"/>
              </w:rPr>
              <w:t>10.00分</w:t>
            </w:r>
          </w:p>
        </w:tc>
      </w:tr>
      <w:tr w14:paraId="1976AB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BD8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B71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2C2D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1B7DC">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3AE6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A30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059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E97C">
            <w:pPr>
              <w:jc w:val="center"/>
            </w:pPr>
            <w:r>
              <w:rPr>
                <w:rFonts w:ascii="宋体" w:hAnsi="宋体" w:eastAsia="宋体"/>
                <w:sz w:val="16"/>
              </w:rPr>
              <w:t>-</w:t>
            </w:r>
          </w:p>
        </w:tc>
      </w:tr>
      <w:tr w14:paraId="2547FE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388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900D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690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061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97F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FFF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D55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6381">
            <w:pPr>
              <w:jc w:val="center"/>
            </w:pPr>
            <w:r>
              <w:rPr>
                <w:rFonts w:ascii="宋体" w:hAnsi="宋体" w:eastAsia="宋体"/>
                <w:sz w:val="16"/>
              </w:rPr>
              <w:t>-</w:t>
            </w:r>
          </w:p>
        </w:tc>
      </w:tr>
      <w:tr w14:paraId="707326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7DE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F54B1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05FA33">
            <w:pPr>
              <w:jc w:val="center"/>
            </w:pPr>
            <w:r>
              <w:rPr>
                <w:rFonts w:ascii="宋体" w:hAnsi="宋体" w:eastAsia="宋体"/>
                <w:sz w:val="16"/>
              </w:rPr>
              <w:t>总体目标完成情况</w:t>
            </w:r>
          </w:p>
        </w:tc>
      </w:tr>
      <w:tr w14:paraId="21F14F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64A3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22A64F">
            <w:pPr>
              <w:jc w:val="both"/>
            </w:pPr>
            <w:r>
              <w:rPr>
                <w:rFonts w:ascii="宋体" w:hAnsi="宋体" w:eastAsia="宋体"/>
                <w:sz w:val="16"/>
              </w:rPr>
              <w:t>该项目旨在优化对外贸易结构、促进对外投资合作、改善外经贸公共服务，促进水磨沟区外贸企业高质量发展。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2AAB0C">
            <w:pPr>
              <w:jc w:val="both"/>
            </w:pPr>
            <w:r>
              <w:rPr>
                <w:rFonts w:ascii="宋体" w:hAnsi="宋体" w:eastAsia="宋体"/>
                <w:sz w:val="16"/>
              </w:rPr>
              <w:t>乌财预</w:t>
            </w:r>
            <w:r>
              <w:rPr>
                <w:rFonts w:hint="eastAsia" w:ascii="宋体" w:hAnsi="宋体"/>
                <w:sz w:val="16"/>
                <w:lang w:eastAsia="zh-CN"/>
              </w:rPr>
              <w:t>〔2024〕30号</w:t>
            </w:r>
            <w:r>
              <w:rPr>
                <w:rFonts w:ascii="宋体" w:hAnsi="宋体" w:eastAsia="宋体"/>
                <w:sz w:val="16"/>
              </w:rPr>
              <w:t>关于调整下达2023年边境地区转移支付预算的通知，该项目资金为30万元，由乌鲁木齐市财政预算安排，用于促进对外贸易发展的专项资金，区财政按照乌鲁木齐市促进外贸发展的政策规定安排配套资金，我局落实相关政策要求，保障对外贸易高质量发展</w:t>
            </w:r>
          </w:p>
        </w:tc>
      </w:tr>
      <w:tr w14:paraId="6AA379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8205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16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93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5FE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D00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9962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2D7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F3C1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64E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43D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6352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714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E89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71DF">
            <w:pPr>
              <w:jc w:val="center"/>
            </w:pPr>
            <w:r>
              <w:rPr>
                <w:rFonts w:ascii="宋体" w:hAnsi="宋体" w:eastAsia="宋体"/>
                <w:sz w:val="16"/>
              </w:rPr>
              <w:t>偏差原因分析及改进措施</w:t>
            </w:r>
          </w:p>
        </w:tc>
      </w:tr>
      <w:tr w14:paraId="185DFE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656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B53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8B9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6EC9F">
            <w:pPr>
              <w:jc w:val="center"/>
            </w:pPr>
            <w:r>
              <w:rPr>
                <w:rFonts w:ascii="宋体" w:hAnsi="宋体" w:eastAsia="宋体"/>
                <w:sz w:val="16"/>
              </w:rPr>
              <w:t>安息贴息补贴企业数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18C53">
            <w:pPr>
              <w:jc w:val="center"/>
            </w:pPr>
            <w:r>
              <w:rPr>
                <w:rFonts w:ascii="宋体" w:hAnsi="宋体" w:eastAsia="宋体"/>
                <w:sz w:val="16"/>
              </w:rPr>
              <w:t>&gt;=2家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95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D9CD">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1D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467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9BA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6553">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76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34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C6499">
            <w:pPr>
              <w:jc w:val="center"/>
            </w:pPr>
          </w:p>
        </w:tc>
      </w:tr>
      <w:tr w14:paraId="01EC65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8BD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EEA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5A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291C">
            <w:pPr>
              <w:jc w:val="center"/>
            </w:pPr>
            <w:r>
              <w:rPr>
                <w:rFonts w:ascii="宋体" w:hAnsi="宋体" w:eastAsia="宋体"/>
                <w:sz w:val="16"/>
              </w:rPr>
              <w:t>中小外贸企业数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0E08">
            <w:pPr>
              <w:jc w:val="center"/>
            </w:pPr>
            <w:r>
              <w:rPr>
                <w:rFonts w:ascii="宋体" w:hAnsi="宋体" w:eastAsia="宋体"/>
                <w:sz w:val="16"/>
              </w:rPr>
              <w:t>&gt;=2家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DE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6685">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CA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6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C0C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DD8D">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06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691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8587">
            <w:pPr>
              <w:jc w:val="center"/>
            </w:pPr>
          </w:p>
        </w:tc>
      </w:tr>
      <w:tr w14:paraId="74D3A7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2FE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142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0EB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9B04E">
            <w:pPr>
              <w:jc w:val="center"/>
            </w:pPr>
            <w:r>
              <w:rPr>
                <w:rFonts w:ascii="宋体" w:hAnsi="宋体" w:eastAsia="宋体"/>
                <w:sz w:val="16"/>
              </w:rPr>
              <w:t>支持外贸企业数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CE840">
            <w:pPr>
              <w:jc w:val="center"/>
            </w:pPr>
            <w:r>
              <w:rPr>
                <w:rFonts w:ascii="宋体" w:hAnsi="宋体" w:eastAsia="宋体"/>
                <w:sz w:val="16"/>
              </w:rPr>
              <w:t>&gt;=2家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CB6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DD97">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727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52B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E86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FD30">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4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CA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99CD">
            <w:pPr>
              <w:jc w:val="center"/>
            </w:pPr>
          </w:p>
        </w:tc>
      </w:tr>
      <w:tr w14:paraId="10915A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2E7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559F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6BC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E18EA">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BB8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5C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7345E">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EC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C1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B340">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2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B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B9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0F2C">
            <w:pPr>
              <w:jc w:val="center"/>
            </w:pPr>
          </w:p>
        </w:tc>
      </w:tr>
      <w:tr w14:paraId="78A9F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B8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C8E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06B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C36E6">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C35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2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2099B">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3B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D54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2E7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81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A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7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A493">
            <w:pPr>
              <w:jc w:val="center"/>
            </w:pPr>
          </w:p>
        </w:tc>
      </w:tr>
      <w:tr w14:paraId="1D14A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D39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D15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941B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DBFF">
            <w:pPr>
              <w:jc w:val="center"/>
            </w:pPr>
            <w:r>
              <w:rPr>
                <w:rFonts w:ascii="宋体" w:hAnsi="宋体" w:eastAsia="宋体"/>
                <w:sz w:val="16"/>
              </w:rPr>
              <w:t>资金补贴及时率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979F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68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64EE">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B5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1B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025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4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6EE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9B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4676">
            <w:pPr>
              <w:jc w:val="center"/>
            </w:pPr>
          </w:p>
        </w:tc>
      </w:tr>
      <w:tr w14:paraId="25568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F8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B170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312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375FD">
            <w:pPr>
              <w:jc w:val="center"/>
            </w:pPr>
            <w:r>
              <w:rPr>
                <w:rFonts w:ascii="宋体" w:hAnsi="宋体" w:eastAsia="宋体"/>
                <w:sz w:val="16"/>
              </w:rPr>
              <w:t>支持打造创新创业特色载体数量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007C">
            <w:pPr>
              <w:jc w:val="center"/>
            </w:pPr>
            <w:r>
              <w:rPr>
                <w:rFonts w:ascii="宋体" w:hAnsi="宋体" w:eastAsia="宋体"/>
                <w:sz w:val="16"/>
              </w:rPr>
              <w:t>&gt;=2家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417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86126">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CEAE">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7B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DF5A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D7DD">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FC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1D40">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ECC5E">
            <w:pPr>
              <w:jc w:val="center"/>
            </w:pPr>
          </w:p>
        </w:tc>
      </w:tr>
      <w:tr w14:paraId="6A2398C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5C491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3C5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CF4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C0D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4BF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77A0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98F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F4E5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52D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A32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B844D2"/>
        </w:tc>
      </w:tr>
    </w:tbl>
    <w:p w14:paraId="42CE628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1728D050">
        <w:tblPrEx>
          <w:tblCellMar>
            <w:top w:w="0" w:type="dxa"/>
            <w:left w:w="108" w:type="dxa"/>
            <w:bottom w:w="0" w:type="dxa"/>
            <w:right w:w="108" w:type="dxa"/>
          </w:tblCellMar>
        </w:tblPrEx>
        <w:tc>
          <w:tcPr>
            <w:tcW w:w="8848" w:type="dxa"/>
            <w:gridSpan w:val="14"/>
            <w:vAlign w:val="center"/>
          </w:tcPr>
          <w:p w14:paraId="6DA1413C">
            <w:pPr>
              <w:jc w:val="center"/>
            </w:pPr>
            <w:r>
              <w:rPr>
                <w:rFonts w:ascii="宋体" w:hAnsi="宋体" w:eastAsia="宋体"/>
                <w:sz w:val="24"/>
              </w:rPr>
              <w:t>项目支出绩效自评表</w:t>
            </w:r>
          </w:p>
        </w:tc>
      </w:tr>
      <w:tr w14:paraId="17C713E1">
        <w:tblPrEx>
          <w:tblCellMar>
            <w:top w:w="0" w:type="dxa"/>
            <w:left w:w="108" w:type="dxa"/>
            <w:bottom w:w="0" w:type="dxa"/>
            <w:right w:w="108" w:type="dxa"/>
          </w:tblCellMar>
        </w:tblPrEx>
        <w:tc>
          <w:tcPr>
            <w:tcW w:w="8848" w:type="dxa"/>
            <w:gridSpan w:val="14"/>
            <w:vAlign w:val="center"/>
          </w:tcPr>
          <w:p w14:paraId="55032385">
            <w:pPr>
              <w:jc w:val="center"/>
            </w:pPr>
            <w:r>
              <w:rPr>
                <w:rFonts w:ascii="宋体" w:hAnsi="宋体" w:eastAsia="宋体"/>
                <w:sz w:val="24"/>
              </w:rPr>
              <w:t>(2024年度)</w:t>
            </w:r>
          </w:p>
        </w:tc>
      </w:tr>
      <w:tr w14:paraId="18B7DB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BF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FC7BF8">
            <w:pPr>
              <w:jc w:val="center"/>
            </w:pPr>
            <w:r>
              <w:rPr>
                <w:rFonts w:ascii="宋体" w:hAnsi="宋体" w:eastAsia="宋体"/>
                <w:sz w:val="16"/>
              </w:rPr>
              <w:t>乌财预</w:t>
            </w:r>
            <w:r>
              <w:rPr>
                <w:rFonts w:hint="eastAsia" w:ascii="宋体" w:hAnsi="宋体"/>
                <w:sz w:val="16"/>
                <w:lang w:eastAsia="zh-CN"/>
              </w:rPr>
              <w:t>〔2024〕53号</w:t>
            </w:r>
            <w:r>
              <w:rPr>
                <w:rFonts w:ascii="宋体" w:hAnsi="宋体" w:eastAsia="宋体"/>
                <w:sz w:val="16"/>
              </w:rPr>
              <w:t>关于调整下达2023年边境地区转移支付预算的通知</w:t>
            </w:r>
          </w:p>
        </w:tc>
      </w:tr>
      <w:tr w14:paraId="6AE8FF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1B3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6B1AE">
            <w:pPr>
              <w:jc w:val="center"/>
            </w:pPr>
            <w:r>
              <w:rPr>
                <w:rFonts w:ascii="宋体" w:hAnsi="宋体" w:eastAsia="宋体"/>
                <w:sz w:val="16"/>
              </w:rPr>
              <w:t>乌鲁木齐市水磨沟区商务局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D7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D0D04E">
            <w:pPr>
              <w:jc w:val="center"/>
            </w:pPr>
            <w:r>
              <w:rPr>
                <w:rFonts w:ascii="宋体" w:hAnsi="宋体" w:eastAsia="宋体"/>
                <w:sz w:val="16"/>
              </w:rPr>
              <w:t>乌鲁木齐市水磨沟区商务局</w:t>
            </w:r>
          </w:p>
        </w:tc>
      </w:tr>
      <w:tr w14:paraId="050A9C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6A29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04EC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00B9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256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0442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D595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3875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ECE3">
            <w:pPr>
              <w:jc w:val="center"/>
            </w:pPr>
            <w:r>
              <w:rPr>
                <w:rFonts w:ascii="宋体" w:hAnsi="宋体" w:eastAsia="宋体"/>
                <w:sz w:val="16"/>
              </w:rPr>
              <w:t>得分</w:t>
            </w:r>
          </w:p>
        </w:tc>
      </w:tr>
      <w:tr w14:paraId="3FD624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3C2E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C7C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0D46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0565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C8CF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965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FDAD0">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5A54">
            <w:pPr>
              <w:jc w:val="center"/>
            </w:pPr>
            <w:r>
              <w:rPr>
                <w:rFonts w:ascii="宋体" w:hAnsi="宋体" w:eastAsia="宋体"/>
                <w:sz w:val="16"/>
              </w:rPr>
              <w:t>10.00分</w:t>
            </w:r>
          </w:p>
        </w:tc>
      </w:tr>
      <w:tr w14:paraId="2A322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C57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C0FE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4ED9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CBBC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7F4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60D6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0C4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0297">
            <w:pPr>
              <w:jc w:val="center"/>
            </w:pPr>
            <w:r>
              <w:rPr>
                <w:rFonts w:ascii="宋体" w:hAnsi="宋体" w:eastAsia="宋体"/>
                <w:sz w:val="16"/>
              </w:rPr>
              <w:t>-</w:t>
            </w:r>
          </w:p>
        </w:tc>
      </w:tr>
      <w:tr w14:paraId="4F11AE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8EE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9DFF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EDE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F27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67E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C71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AAF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EC015">
            <w:pPr>
              <w:jc w:val="center"/>
            </w:pPr>
            <w:r>
              <w:rPr>
                <w:rFonts w:ascii="宋体" w:hAnsi="宋体" w:eastAsia="宋体"/>
                <w:sz w:val="16"/>
              </w:rPr>
              <w:t>-</w:t>
            </w:r>
          </w:p>
        </w:tc>
      </w:tr>
      <w:tr w14:paraId="3253A9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C91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3AD34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64845F">
            <w:pPr>
              <w:jc w:val="center"/>
            </w:pPr>
            <w:r>
              <w:rPr>
                <w:rFonts w:ascii="宋体" w:hAnsi="宋体" w:eastAsia="宋体"/>
                <w:sz w:val="16"/>
              </w:rPr>
              <w:t>总体目标完成情况</w:t>
            </w:r>
          </w:p>
        </w:tc>
      </w:tr>
      <w:tr w14:paraId="5AE3B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FF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656FAE">
            <w:pPr>
              <w:jc w:val="both"/>
            </w:pPr>
            <w:r>
              <w:rPr>
                <w:rFonts w:ascii="宋体" w:hAnsi="宋体" w:eastAsia="宋体"/>
                <w:sz w:val="16"/>
              </w:rPr>
              <w:t>优化对外贸易结构、促进对外投资合作、改善外经贸公共服务，促进水磨沟区外贸企业高质量发展。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4A3E70">
            <w:pPr>
              <w:jc w:val="both"/>
            </w:pPr>
            <w:r>
              <w:rPr>
                <w:rFonts w:ascii="宋体" w:hAnsi="宋体" w:eastAsia="宋体"/>
                <w:sz w:val="16"/>
              </w:rPr>
              <w:t>乌财预</w:t>
            </w:r>
            <w:r>
              <w:rPr>
                <w:rFonts w:hint="eastAsia" w:ascii="宋体" w:hAnsi="宋体"/>
                <w:sz w:val="16"/>
                <w:lang w:eastAsia="zh-CN"/>
              </w:rPr>
              <w:t>〔2024〕53号</w:t>
            </w:r>
            <w:r>
              <w:rPr>
                <w:rFonts w:ascii="宋体" w:hAnsi="宋体" w:eastAsia="宋体"/>
                <w:sz w:val="16"/>
              </w:rPr>
              <w:t>关于调整下达2023年边境地区转移支付预算的通知，该项目资金为20万元，由乌鲁木齐市财政预算安排，用于促进对外贸易发展的专项资金，区财政按照乌鲁木齐市促进外贸发展的政策规定安排配套资金，我局落实相关政策要求，保障对外贸易高质量发展</w:t>
            </w:r>
          </w:p>
        </w:tc>
      </w:tr>
      <w:tr w14:paraId="7CF638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842F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FE8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05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B17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10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7F7A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9EE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8D12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7D3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E4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0A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6FF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DC5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28705">
            <w:pPr>
              <w:jc w:val="center"/>
            </w:pPr>
            <w:r>
              <w:rPr>
                <w:rFonts w:ascii="宋体" w:hAnsi="宋体" w:eastAsia="宋体"/>
                <w:sz w:val="16"/>
              </w:rPr>
              <w:t>偏差原因分析及改进措施</w:t>
            </w:r>
          </w:p>
        </w:tc>
      </w:tr>
      <w:tr w14:paraId="127047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830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9F33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6998F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3F6D">
            <w:pPr>
              <w:jc w:val="center"/>
            </w:pPr>
            <w:r>
              <w:rPr>
                <w:rFonts w:ascii="宋体" w:hAnsi="宋体" w:eastAsia="宋体"/>
                <w:sz w:val="16"/>
              </w:rPr>
              <w:t>安息贴息补贴企业数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547C">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09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CDB5">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2CF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1C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9ACB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C4EBC">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39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70A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9A517">
            <w:pPr>
              <w:jc w:val="center"/>
            </w:pPr>
          </w:p>
        </w:tc>
      </w:tr>
      <w:tr w14:paraId="523BF4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D59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EA5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30D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328E">
            <w:pPr>
              <w:jc w:val="center"/>
            </w:pPr>
            <w:r>
              <w:rPr>
                <w:rFonts w:ascii="宋体" w:hAnsi="宋体" w:eastAsia="宋体"/>
                <w:sz w:val="16"/>
              </w:rPr>
              <w:t>中小外贸企业数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3229">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F68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E899">
            <w:pPr>
              <w:jc w:val="center"/>
            </w:pPr>
            <w:r>
              <w:rPr>
                <w:rFonts w:ascii="宋体" w:hAnsi="宋体" w:eastAsia="宋体"/>
                <w:sz w:val="16"/>
              </w:rPr>
              <w:t>当年项目，无上半年完成值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58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78E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5D4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7D821">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266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91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C770">
            <w:pPr>
              <w:jc w:val="center"/>
            </w:pPr>
          </w:p>
        </w:tc>
      </w:tr>
      <w:tr w14:paraId="3120B4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F8F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219C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614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A7EE">
            <w:pPr>
              <w:jc w:val="center"/>
            </w:pPr>
            <w:r>
              <w:rPr>
                <w:rFonts w:ascii="宋体" w:hAnsi="宋体" w:eastAsia="宋体"/>
                <w:sz w:val="16"/>
              </w:rPr>
              <w:t>支持外贸出口企业数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46866">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1F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0C5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0E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63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53C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2A9E0">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E0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995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2A6B">
            <w:pPr>
              <w:jc w:val="center"/>
            </w:pPr>
          </w:p>
        </w:tc>
      </w:tr>
      <w:tr w14:paraId="35A5D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930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61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C14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9759">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893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09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0AB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F5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E78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947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C3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444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76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7274">
            <w:pPr>
              <w:jc w:val="center"/>
            </w:pPr>
          </w:p>
        </w:tc>
      </w:tr>
      <w:tr w14:paraId="7CEA21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785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5CC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65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50DD6">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0C4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5F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408C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B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0D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A79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9F5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FD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87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69F56">
            <w:pPr>
              <w:jc w:val="center"/>
            </w:pPr>
          </w:p>
        </w:tc>
      </w:tr>
      <w:tr w14:paraId="6959D9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8EA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095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905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AF1B">
            <w:pPr>
              <w:jc w:val="center"/>
            </w:pPr>
            <w:r>
              <w:rPr>
                <w:rFonts w:ascii="宋体" w:hAnsi="宋体" w:eastAsia="宋体"/>
                <w:sz w:val="16"/>
              </w:rPr>
              <w:t>资金补贴及时率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184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2C5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A72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FA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395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E9E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39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B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C4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8C5A">
            <w:pPr>
              <w:jc w:val="center"/>
            </w:pPr>
          </w:p>
        </w:tc>
      </w:tr>
      <w:tr w14:paraId="673E2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3439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273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E0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097D">
            <w:pPr>
              <w:jc w:val="center"/>
            </w:pPr>
            <w:r>
              <w:rPr>
                <w:rFonts w:ascii="宋体" w:hAnsi="宋体" w:eastAsia="宋体"/>
                <w:sz w:val="16"/>
              </w:rPr>
              <w:t>支持打造创新创业特色载体数量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E9B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29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A4DD">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15C1">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7F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8C22E">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57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F7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B15F">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1D638">
            <w:pPr>
              <w:jc w:val="center"/>
            </w:pPr>
          </w:p>
        </w:tc>
      </w:tr>
      <w:tr w14:paraId="488E501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E3607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964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2286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021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1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EBB3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21C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3EE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DFB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8A73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14FBC"/>
        </w:tc>
      </w:tr>
    </w:tbl>
    <w:p w14:paraId="654742BD">
      <w:r>
        <w:br w:type="page"/>
      </w:r>
    </w:p>
    <w:tbl>
      <w:tblPr>
        <w:tblStyle w:val="9"/>
        <w:tblW w:w="0" w:type="auto"/>
        <w:tblInd w:w="0" w:type="dxa"/>
        <w:tblLayout w:type="autofit"/>
        <w:tblCellMar>
          <w:top w:w="0" w:type="dxa"/>
          <w:left w:w="108" w:type="dxa"/>
          <w:bottom w:w="0" w:type="dxa"/>
          <w:right w:w="108" w:type="dxa"/>
        </w:tblCellMar>
      </w:tblPr>
      <w:tblGrid>
        <w:gridCol w:w="615"/>
        <w:gridCol w:w="587"/>
        <w:gridCol w:w="587"/>
        <w:gridCol w:w="587"/>
        <w:gridCol w:w="936"/>
        <w:gridCol w:w="587"/>
        <w:gridCol w:w="587"/>
        <w:gridCol w:w="601"/>
        <w:gridCol w:w="587"/>
        <w:gridCol w:w="601"/>
        <w:gridCol w:w="937"/>
        <w:gridCol w:w="616"/>
        <w:gridCol w:w="602"/>
        <w:gridCol w:w="630"/>
      </w:tblGrid>
      <w:tr w14:paraId="01B1708F">
        <w:tblPrEx>
          <w:tblCellMar>
            <w:top w:w="0" w:type="dxa"/>
            <w:left w:w="108" w:type="dxa"/>
            <w:bottom w:w="0" w:type="dxa"/>
            <w:right w:w="108" w:type="dxa"/>
          </w:tblCellMar>
        </w:tblPrEx>
        <w:tc>
          <w:tcPr>
            <w:tcW w:w="8848" w:type="dxa"/>
            <w:gridSpan w:val="14"/>
            <w:vAlign w:val="center"/>
          </w:tcPr>
          <w:p w14:paraId="15477BC0">
            <w:pPr>
              <w:jc w:val="center"/>
            </w:pPr>
            <w:r>
              <w:rPr>
                <w:rFonts w:ascii="宋体" w:hAnsi="宋体" w:eastAsia="宋体"/>
                <w:sz w:val="24"/>
              </w:rPr>
              <w:t>项目支出绩效自评表</w:t>
            </w:r>
          </w:p>
        </w:tc>
      </w:tr>
      <w:tr w14:paraId="02FAC161">
        <w:tblPrEx>
          <w:tblCellMar>
            <w:top w:w="0" w:type="dxa"/>
            <w:left w:w="108" w:type="dxa"/>
            <w:bottom w:w="0" w:type="dxa"/>
            <w:right w:w="108" w:type="dxa"/>
          </w:tblCellMar>
        </w:tblPrEx>
        <w:tc>
          <w:tcPr>
            <w:tcW w:w="8848" w:type="dxa"/>
            <w:gridSpan w:val="14"/>
            <w:vAlign w:val="center"/>
          </w:tcPr>
          <w:p w14:paraId="228FC49A">
            <w:pPr>
              <w:jc w:val="center"/>
            </w:pPr>
            <w:r>
              <w:rPr>
                <w:rFonts w:ascii="宋体" w:hAnsi="宋体" w:eastAsia="宋体"/>
                <w:sz w:val="24"/>
              </w:rPr>
              <w:t>(2024年度)</w:t>
            </w:r>
          </w:p>
        </w:tc>
      </w:tr>
      <w:tr w14:paraId="5AC182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76A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B1C519">
            <w:pPr>
              <w:jc w:val="center"/>
            </w:pPr>
            <w:r>
              <w:rPr>
                <w:rFonts w:ascii="宋体" w:hAnsi="宋体" w:eastAsia="宋体"/>
                <w:sz w:val="16"/>
              </w:rPr>
              <w:t>消化2023年暂付款</w:t>
            </w:r>
          </w:p>
        </w:tc>
      </w:tr>
      <w:tr w14:paraId="48670E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D59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8D18AF">
            <w:pPr>
              <w:jc w:val="center"/>
            </w:pPr>
            <w:r>
              <w:rPr>
                <w:rFonts w:ascii="宋体" w:hAnsi="宋体" w:eastAsia="宋体"/>
                <w:sz w:val="16"/>
              </w:rPr>
              <w:t>乌鲁木齐市水磨沟区商务局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F6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66069F">
            <w:pPr>
              <w:jc w:val="center"/>
            </w:pPr>
            <w:r>
              <w:rPr>
                <w:rFonts w:ascii="宋体" w:hAnsi="宋体" w:eastAsia="宋体"/>
                <w:sz w:val="16"/>
              </w:rPr>
              <w:t>乌鲁木齐市水磨沟区商务局</w:t>
            </w:r>
          </w:p>
        </w:tc>
      </w:tr>
      <w:tr w14:paraId="20B0D0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98ED0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232D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8F6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B39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A64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2B41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970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1878">
            <w:pPr>
              <w:jc w:val="center"/>
            </w:pPr>
            <w:r>
              <w:rPr>
                <w:rFonts w:ascii="宋体" w:hAnsi="宋体" w:eastAsia="宋体"/>
                <w:sz w:val="16"/>
              </w:rPr>
              <w:t>得分</w:t>
            </w:r>
          </w:p>
        </w:tc>
      </w:tr>
      <w:tr w14:paraId="66A51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99C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2F4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CB014">
            <w:pPr>
              <w:jc w:val="center"/>
            </w:pPr>
            <w:r>
              <w:rPr>
                <w:rFonts w:ascii="宋体" w:hAnsi="宋体" w:eastAsia="宋体"/>
                <w:sz w:val="16"/>
              </w:rPr>
              <w:t>218.56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3193B">
            <w:pPr>
              <w:jc w:val="center"/>
            </w:pPr>
            <w:r>
              <w:rPr>
                <w:rFonts w:ascii="宋体" w:hAnsi="宋体" w:eastAsia="宋体"/>
                <w:sz w:val="16"/>
              </w:rPr>
              <w:t>218.56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54AB2">
            <w:pPr>
              <w:jc w:val="center"/>
            </w:pPr>
            <w:r>
              <w:rPr>
                <w:rFonts w:ascii="宋体" w:hAnsi="宋体" w:eastAsia="宋体"/>
                <w:sz w:val="16"/>
              </w:rPr>
              <w:t>218.56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08B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94F7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252F">
            <w:pPr>
              <w:jc w:val="center"/>
            </w:pPr>
            <w:r>
              <w:rPr>
                <w:rFonts w:ascii="宋体" w:hAnsi="宋体" w:eastAsia="宋体"/>
                <w:sz w:val="16"/>
              </w:rPr>
              <w:t>10.00分</w:t>
            </w:r>
          </w:p>
        </w:tc>
      </w:tr>
      <w:tr w14:paraId="5FEEB9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054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A1E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FFC4F">
            <w:pPr>
              <w:jc w:val="center"/>
            </w:pPr>
            <w:r>
              <w:rPr>
                <w:rFonts w:ascii="宋体" w:hAnsi="宋体" w:eastAsia="宋体"/>
                <w:sz w:val="16"/>
              </w:rPr>
              <w:t>218.56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19AE0">
            <w:pPr>
              <w:jc w:val="center"/>
            </w:pPr>
            <w:r>
              <w:rPr>
                <w:rFonts w:ascii="宋体" w:hAnsi="宋体" w:eastAsia="宋体"/>
                <w:sz w:val="16"/>
              </w:rPr>
              <w:t>218.56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F0B08">
            <w:pPr>
              <w:jc w:val="center"/>
            </w:pPr>
            <w:r>
              <w:rPr>
                <w:rFonts w:ascii="宋体" w:hAnsi="宋体" w:eastAsia="宋体"/>
                <w:sz w:val="16"/>
              </w:rPr>
              <w:t>218.56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580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AC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0430">
            <w:pPr>
              <w:jc w:val="center"/>
            </w:pPr>
            <w:r>
              <w:rPr>
                <w:rFonts w:ascii="宋体" w:hAnsi="宋体" w:eastAsia="宋体"/>
                <w:sz w:val="16"/>
              </w:rPr>
              <w:t>-</w:t>
            </w:r>
          </w:p>
        </w:tc>
      </w:tr>
      <w:tr w14:paraId="50258F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66E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E648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19F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70F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8E0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43A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EEF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DD175">
            <w:pPr>
              <w:jc w:val="center"/>
            </w:pPr>
            <w:r>
              <w:rPr>
                <w:rFonts w:ascii="宋体" w:hAnsi="宋体" w:eastAsia="宋体"/>
                <w:sz w:val="16"/>
              </w:rPr>
              <w:t>-</w:t>
            </w:r>
          </w:p>
        </w:tc>
      </w:tr>
      <w:tr w14:paraId="7E5281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13C12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2E637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2D80BD">
            <w:pPr>
              <w:jc w:val="center"/>
            </w:pPr>
            <w:r>
              <w:rPr>
                <w:rFonts w:ascii="宋体" w:hAnsi="宋体" w:eastAsia="宋体"/>
                <w:sz w:val="16"/>
              </w:rPr>
              <w:t>总体目标完成情况</w:t>
            </w:r>
          </w:p>
        </w:tc>
      </w:tr>
      <w:tr w14:paraId="33E4B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48E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F8D563">
            <w:pPr>
              <w:jc w:val="both"/>
            </w:pPr>
            <w:r>
              <w:rPr>
                <w:rFonts w:ascii="宋体" w:hAnsi="宋体" w:eastAsia="宋体"/>
                <w:sz w:val="16"/>
              </w:rPr>
              <w:t>加强提升全区商务事业发展，为</w:t>
            </w:r>
            <w:r>
              <w:rPr>
                <w:rFonts w:hint="eastAsia" w:ascii="宋体" w:hAnsi="宋体"/>
                <w:sz w:val="16"/>
                <w:lang w:eastAsia="zh-CN"/>
              </w:rPr>
              <w:t>居民</w:t>
            </w:r>
            <w:r>
              <w:rPr>
                <w:rFonts w:ascii="宋体" w:hAnsi="宋体" w:eastAsia="宋体"/>
                <w:sz w:val="16"/>
              </w:rPr>
              <w:t>基本生活物资供应，把“菜篮子”工程持续推进，为居民</w:t>
            </w:r>
            <w:r>
              <w:rPr>
                <w:rFonts w:hint="eastAsia" w:ascii="宋体" w:hAnsi="宋体"/>
                <w:sz w:val="16"/>
                <w:lang w:eastAsia="zh-CN"/>
              </w:rPr>
              <w:t>提供</w:t>
            </w:r>
            <w:r>
              <w:rPr>
                <w:rFonts w:ascii="宋体" w:hAnsi="宋体" w:eastAsia="宋体"/>
                <w:sz w:val="16"/>
              </w:rPr>
              <w:t>生活物资充足，没有菜品断档情况，日常监管力度到位，覆盖率完全达到预期目标，各类促销活动、宣传等服务工作不断跟进，不断提高了居民基本生活水平和满意度。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00B816">
            <w:pPr>
              <w:jc w:val="both"/>
            </w:pPr>
            <w:r>
              <w:rPr>
                <w:rFonts w:ascii="宋体" w:hAnsi="宋体" w:eastAsia="宋体"/>
                <w:sz w:val="16"/>
              </w:rPr>
              <w:t>消化2023年暂付款项，该项目资金金额218.56万元，包含雇员工资，蔬菜直销点专项，为工作的开展提供资金保障，最大限度保障工作正常进行。通过单位聘用雇员人员来补充单位工作人员不足的现状，协助单位正式人员完成单位各项工作任务。通过严格考勤制度、明确工作职责、</w:t>
            </w:r>
            <w:r>
              <w:rPr>
                <w:rFonts w:hint="eastAsia" w:ascii="宋体" w:hAnsi="宋体"/>
                <w:sz w:val="16"/>
                <w:lang w:eastAsia="zh-CN"/>
              </w:rPr>
              <w:t>按时</w:t>
            </w:r>
            <w:r>
              <w:rPr>
                <w:rFonts w:ascii="宋体" w:hAnsi="宋体" w:eastAsia="宋体"/>
                <w:sz w:val="16"/>
              </w:rPr>
              <w:t>发放月工资等方式，提高雇员工作效率及满意度，以缓解</w:t>
            </w:r>
            <w:r>
              <w:rPr>
                <w:rFonts w:hint="eastAsia" w:ascii="宋体" w:hAnsi="宋体"/>
                <w:sz w:val="16"/>
                <w:lang w:eastAsia="zh-CN"/>
              </w:rPr>
              <w:t>本单位</w:t>
            </w:r>
            <w:r>
              <w:rPr>
                <w:rFonts w:ascii="宋体" w:hAnsi="宋体" w:eastAsia="宋体"/>
                <w:sz w:val="16"/>
              </w:rPr>
              <w:t>人手不够的情况，保障了单位工作正常运行，全面完成各项工作任务，持续为水区建设服务。</w:t>
            </w:r>
          </w:p>
        </w:tc>
      </w:tr>
      <w:tr w14:paraId="760B4A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DCA8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499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83A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6C5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C37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0371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9E0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18D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F02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294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2D6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26FC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6F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8F2C">
            <w:pPr>
              <w:jc w:val="center"/>
            </w:pPr>
            <w:r>
              <w:rPr>
                <w:rFonts w:ascii="宋体" w:hAnsi="宋体" w:eastAsia="宋体"/>
                <w:sz w:val="16"/>
              </w:rPr>
              <w:t>偏差原因分析及改进措施</w:t>
            </w:r>
          </w:p>
        </w:tc>
      </w:tr>
      <w:tr w14:paraId="1AAB1B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C5A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45D7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CD8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2559">
            <w:pPr>
              <w:jc w:val="center"/>
            </w:pPr>
            <w:r>
              <w:rPr>
                <w:rFonts w:ascii="宋体" w:hAnsi="宋体" w:eastAsia="宋体"/>
                <w:sz w:val="16"/>
              </w:rPr>
              <w:t>拨付单位数量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3441">
            <w:pPr>
              <w:jc w:val="center"/>
            </w:pPr>
            <w:r>
              <w:rPr>
                <w:rFonts w:ascii="宋体" w:hAnsi="宋体" w:eastAsia="宋体"/>
                <w:sz w:val="16"/>
              </w:rPr>
              <w:t>=11家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E9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F48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56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C0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9AF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8A75">
            <w:pPr>
              <w:jc w:val="center"/>
            </w:pPr>
            <w:r>
              <w:rPr>
                <w:rFonts w:ascii="宋体" w:hAnsi="宋体" w:eastAsia="宋体"/>
                <w:sz w:val="16"/>
              </w:rPr>
              <w:t>=11家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7E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97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FE110">
            <w:pPr>
              <w:jc w:val="center"/>
            </w:pPr>
          </w:p>
        </w:tc>
      </w:tr>
      <w:tr w14:paraId="3D4B4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5C1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D4C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684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13689">
            <w:pPr>
              <w:jc w:val="center"/>
            </w:pPr>
            <w:r>
              <w:rPr>
                <w:rFonts w:ascii="宋体" w:hAnsi="宋体" w:eastAsia="宋体"/>
                <w:sz w:val="16"/>
              </w:rPr>
              <w:t>拨付款项次数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4DDB">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39F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518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21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341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3D5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5819">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891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226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2710">
            <w:pPr>
              <w:jc w:val="center"/>
            </w:pPr>
          </w:p>
        </w:tc>
      </w:tr>
      <w:tr w14:paraId="0EC0B3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8FE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90A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DE0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81B2">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43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A8B5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8CA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A8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434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A083">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7A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C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19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6D61">
            <w:pPr>
              <w:jc w:val="center"/>
            </w:pPr>
          </w:p>
        </w:tc>
      </w:tr>
      <w:tr w14:paraId="28B59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7EB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246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B76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0C56C">
            <w:pPr>
              <w:jc w:val="center"/>
            </w:pPr>
            <w:r>
              <w:rPr>
                <w:rFonts w:ascii="宋体" w:hAnsi="宋体" w:eastAsia="宋体"/>
                <w:sz w:val="16"/>
              </w:rPr>
              <w:t>拨付资金及时率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79E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91D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38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09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B87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7FE1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1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ED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FE1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D9F9F">
            <w:pPr>
              <w:jc w:val="center"/>
            </w:pPr>
          </w:p>
        </w:tc>
      </w:tr>
      <w:tr w14:paraId="6F993F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255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88FB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A00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AFC1">
            <w:pPr>
              <w:jc w:val="center"/>
            </w:pPr>
            <w:r>
              <w:rPr>
                <w:rFonts w:ascii="宋体" w:hAnsi="宋体" w:eastAsia="宋体"/>
                <w:sz w:val="16"/>
              </w:rPr>
              <w:t>拨付9家企业款项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2816">
            <w:pPr>
              <w:jc w:val="center"/>
            </w:pPr>
            <w:r>
              <w:rPr>
                <w:rFonts w:ascii="宋体" w:hAnsi="宋体" w:eastAsia="宋体"/>
                <w:sz w:val="16"/>
              </w:rPr>
              <w:t>=958652.6元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FBF0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F2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61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618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72C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1175">
            <w:pPr>
              <w:jc w:val="center"/>
            </w:pPr>
            <w:r>
              <w:rPr>
                <w:rFonts w:ascii="宋体" w:hAnsi="宋体" w:eastAsia="宋体"/>
                <w:sz w:val="16"/>
              </w:rPr>
              <w:t>=958652.6元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14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961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87318">
            <w:pPr>
              <w:jc w:val="center"/>
            </w:pPr>
          </w:p>
        </w:tc>
      </w:tr>
      <w:tr w14:paraId="0DAD86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52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B3D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F05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5F1C">
            <w:pPr>
              <w:jc w:val="center"/>
            </w:pPr>
            <w:r>
              <w:rPr>
                <w:rFonts w:ascii="宋体" w:hAnsi="宋体" w:eastAsia="宋体"/>
                <w:sz w:val="16"/>
              </w:rPr>
              <w:t>拨付乌鲁木齐依源明珠商贸有限公司款项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6BD01">
            <w:pPr>
              <w:jc w:val="center"/>
            </w:pPr>
            <w:r>
              <w:rPr>
                <w:rFonts w:ascii="宋体" w:hAnsi="宋体" w:eastAsia="宋体"/>
                <w:sz w:val="16"/>
              </w:rPr>
              <w:t>=602510元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6E24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D8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1E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E38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9A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A593C">
            <w:pPr>
              <w:jc w:val="center"/>
            </w:pPr>
            <w:r>
              <w:rPr>
                <w:rFonts w:ascii="宋体" w:hAnsi="宋体" w:eastAsia="宋体"/>
                <w:sz w:val="16"/>
              </w:rPr>
              <w:t>=6025.1元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AA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DB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757A">
            <w:pPr>
              <w:jc w:val="center"/>
            </w:pPr>
          </w:p>
        </w:tc>
      </w:tr>
      <w:tr w14:paraId="603BE0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83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939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E07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DFB0">
            <w:pPr>
              <w:jc w:val="center"/>
            </w:pPr>
            <w:r>
              <w:rPr>
                <w:rFonts w:ascii="宋体" w:hAnsi="宋体" w:eastAsia="宋体"/>
                <w:sz w:val="16"/>
              </w:rPr>
              <w:t>拨付乌鲁木齐市亿佳惠商贸有限公司款项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D297">
            <w:pPr>
              <w:jc w:val="center"/>
            </w:pPr>
            <w:r>
              <w:rPr>
                <w:rFonts w:ascii="宋体" w:hAnsi="宋体" w:eastAsia="宋体"/>
                <w:sz w:val="16"/>
              </w:rPr>
              <w:t>=624527元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606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972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E6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83C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B15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9C173">
            <w:pPr>
              <w:jc w:val="center"/>
            </w:pPr>
            <w:r>
              <w:rPr>
                <w:rFonts w:ascii="宋体" w:hAnsi="宋体" w:eastAsia="宋体"/>
                <w:sz w:val="16"/>
              </w:rPr>
              <w:t>=624527元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58D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39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6BB1">
            <w:pPr>
              <w:jc w:val="center"/>
            </w:pPr>
          </w:p>
        </w:tc>
      </w:tr>
      <w:tr w14:paraId="517AFF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3B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CE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20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D747">
            <w:pPr>
              <w:jc w:val="center"/>
            </w:pPr>
            <w:r>
              <w:rPr>
                <w:rFonts w:ascii="宋体" w:hAnsi="宋体" w:eastAsia="宋体"/>
                <w:sz w:val="16"/>
              </w:rPr>
              <w:t>保障社会稳定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69B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264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C3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D645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37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8EDE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95B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9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1B16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DDE7E">
            <w:pPr>
              <w:jc w:val="center"/>
            </w:pPr>
          </w:p>
        </w:tc>
      </w:tr>
      <w:tr w14:paraId="71F092B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4EF7F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CE8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A2E3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DA6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5A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F14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BE6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7DEB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F46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547E8">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EEBAF"/>
        </w:tc>
      </w:tr>
    </w:tbl>
    <w:p w14:paraId="4A06C5B8">
      <w:r>
        <w:br w:type="page"/>
      </w:r>
    </w:p>
    <w:p w14:paraId="54A34462">
      <w:pPr>
        <w:spacing w:line="640" w:lineRule="exact"/>
        <w:ind w:firstLine="640"/>
        <w:jc w:val="both"/>
        <w:outlineLvl w:val="2"/>
      </w:pPr>
      <w:r>
        <w:rPr>
          <w:rFonts w:ascii="黑体" w:hAnsi="黑体" w:eastAsia="黑体"/>
          <w:sz w:val="32"/>
        </w:rPr>
        <w:t>十二、其他需说明的事项</w:t>
      </w:r>
    </w:p>
    <w:p w14:paraId="2D4EE78C">
      <w:pPr>
        <w:spacing w:line="580" w:lineRule="exact"/>
        <w:ind w:firstLine="640"/>
        <w:jc w:val="both"/>
      </w:pPr>
      <w:r>
        <w:rPr>
          <w:rFonts w:ascii="仿宋_GB2312" w:hAnsi="仿宋_GB2312" w:eastAsia="仿宋_GB2312"/>
          <w:b w:val="0"/>
          <w:sz w:val="32"/>
        </w:rPr>
        <w:t>本单位无其他需说明的事项。</w:t>
      </w:r>
    </w:p>
    <w:p w14:paraId="2BC8DBA3">
      <w:r>
        <w:br w:type="page"/>
      </w:r>
    </w:p>
    <w:p w14:paraId="46AC3709">
      <w:pPr>
        <w:spacing w:line="240" w:lineRule="auto"/>
        <w:jc w:val="center"/>
        <w:outlineLvl w:val="1"/>
      </w:pPr>
      <w:r>
        <w:rPr>
          <w:rFonts w:ascii="黑体" w:hAnsi="黑体" w:eastAsia="黑体"/>
          <w:sz w:val="32"/>
        </w:rPr>
        <w:t>第三部分 专业名词解释</w:t>
      </w:r>
    </w:p>
    <w:p w14:paraId="41A52D8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BBEEF4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0080A2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2D43FB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7135E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8EDBD6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DF9A1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0F9C01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4A2605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B557A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3A4C47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5974C1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31F30D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1F93C5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71C87A6">
      <w:r>
        <w:br w:type="page"/>
      </w:r>
    </w:p>
    <w:p w14:paraId="75BA58AE">
      <w:pPr>
        <w:spacing w:line="240" w:lineRule="auto"/>
        <w:jc w:val="center"/>
        <w:outlineLvl w:val="1"/>
      </w:pPr>
      <w:r>
        <w:rPr>
          <w:rFonts w:ascii="黑体" w:hAnsi="黑体" w:eastAsia="黑体"/>
          <w:sz w:val="32"/>
        </w:rPr>
        <w:t>第四部分 部门决算报表（见附表）</w:t>
      </w:r>
    </w:p>
    <w:p w14:paraId="328EA9BF">
      <w:pPr>
        <w:spacing w:line="240" w:lineRule="auto"/>
        <w:ind w:firstLine="640"/>
        <w:jc w:val="both"/>
      </w:pPr>
      <w:r>
        <w:rPr>
          <w:rFonts w:ascii="仿宋_GB2312" w:hAnsi="仿宋_GB2312" w:eastAsia="仿宋_GB2312"/>
          <w:b w:val="0"/>
          <w:sz w:val="32"/>
        </w:rPr>
        <w:t>一、《收入支出决算总表》</w:t>
      </w:r>
    </w:p>
    <w:p w14:paraId="662CE9B6">
      <w:pPr>
        <w:spacing w:line="240" w:lineRule="auto"/>
        <w:ind w:firstLine="640"/>
        <w:jc w:val="both"/>
      </w:pPr>
      <w:r>
        <w:rPr>
          <w:rFonts w:ascii="仿宋_GB2312" w:hAnsi="仿宋_GB2312" w:eastAsia="仿宋_GB2312"/>
          <w:b w:val="0"/>
          <w:sz w:val="32"/>
        </w:rPr>
        <w:t>二、《收入决算表》</w:t>
      </w:r>
    </w:p>
    <w:p w14:paraId="003F93D0">
      <w:pPr>
        <w:spacing w:line="240" w:lineRule="auto"/>
        <w:ind w:firstLine="640"/>
        <w:jc w:val="both"/>
      </w:pPr>
      <w:r>
        <w:rPr>
          <w:rFonts w:ascii="仿宋_GB2312" w:hAnsi="仿宋_GB2312" w:eastAsia="仿宋_GB2312"/>
          <w:b w:val="0"/>
          <w:sz w:val="32"/>
        </w:rPr>
        <w:t>三、《支出决算表》</w:t>
      </w:r>
    </w:p>
    <w:p w14:paraId="1E75826F">
      <w:pPr>
        <w:spacing w:line="240" w:lineRule="auto"/>
        <w:ind w:firstLine="640"/>
        <w:jc w:val="both"/>
      </w:pPr>
      <w:r>
        <w:rPr>
          <w:rFonts w:ascii="仿宋_GB2312" w:hAnsi="仿宋_GB2312" w:eastAsia="仿宋_GB2312"/>
          <w:b w:val="0"/>
          <w:sz w:val="32"/>
        </w:rPr>
        <w:t>四、《财政拨款收入支出决算总表》</w:t>
      </w:r>
    </w:p>
    <w:p w14:paraId="759564EE">
      <w:pPr>
        <w:spacing w:line="240" w:lineRule="auto"/>
        <w:ind w:firstLine="640"/>
        <w:jc w:val="both"/>
      </w:pPr>
      <w:r>
        <w:rPr>
          <w:rFonts w:ascii="仿宋_GB2312" w:hAnsi="仿宋_GB2312" w:eastAsia="仿宋_GB2312"/>
          <w:b w:val="0"/>
          <w:sz w:val="32"/>
        </w:rPr>
        <w:t>五、《一般公共预算财政拨款支出决算表》</w:t>
      </w:r>
    </w:p>
    <w:p w14:paraId="08D3415A">
      <w:pPr>
        <w:spacing w:line="240" w:lineRule="auto"/>
        <w:ind w:firstLine="640"/>
        <w:jc w:val="both"/>
      </w:pPr>
      <w:r>
        <w:rPr>
          <w:rFonts w:ascii="仿宋_GB2312" w:hAnsi="仿宋_GB2312" w:eastAsia="仿宋_GB2312"/>
          <w:b w:val="0"/>
          <w:sz w:val="32"/>
        </w:rPr>
        <w:t>六、《一般公共预算财政拨款基本支出决算表》</w:t>
      </w:r>
    </w:p>
    <w:p w14:paraId="49015BCC">
      <w:pPr>
        <w:spacing w:line="240" w:lineRule="auto"/>
        <w:ind w:firstLine="640"/>
        <w:jc w:val="both"/>
      </w:pPr>
      <w:r>
        <w:rPr>
          <w:rFonts w:ascii="仿宋_GB2312" w:hAnsi="仿宋_GB2312" w:eastAsia="仿宋_GB2312"/>
          <w:b w:val="0"/>
          <w:sz w:val="32"/>
        </w:rPr>
        <w:t>七、《政府性基金预算财政拨款收入支出决算表》</w:t>
      </w:r>
    </w:p>
    <w:p w14:paraId="6D2C0C52">
      <w:pPr>
        <w:spacing w:line="240" w:lineRule="auto"/>
        <w:ind w:firstLine="640"/>
        <w:jc w:val="both"/>
      </w:pPr>
      <w:r>
        <w:rPr>
          <w:rFonts w:ascii="仿宋_GB2312" w:hAnsi="仿宋_GB2312" w:eastAsia="仿宋_GB2312"/>
          <w:b w:val="0"/>
          <w:sz w:val="32"/>
        </w:rPr>
        <w:t>八、《国有资本经营预算财政拨款收入支出决算表》</w:t>
      </w:r>
    </w:p>
    <w:p w14:paraId="459F161E">
      <w:pPr>
        <w:spacing w:line="240" w:lineRule="auto"/>
        <w:ind w:firstLine="640"/>
        <w:jc w:val="both"/>
      </w:pPr>
      <w:r>
        <w:rPr>
          <w:rFonts w:ascii="仿宋_GB2312" w:hAnsi="仿宋_GB2312" w:eastAsia="仿宋_GB2312"/>
          <w:b w:val="0"/>
          <w:sz w:val="32"/>
        </w:rPr>
        <w:t>九、《财政拨款“三公”经费支出决算表》</w:t>
      </w:r>
    </w:p>
    <w:p w14:paraId="5693A4CE">
      <w:pPr>
        <w:spacing w:line="240" w:lineRule="auto"/>
        <w:ind w:firstLine="640"/>
        <w:jc w:val="both"/>
      </w:pPr>
    </w:p>
    <w:p w14:paraId="271DD8A6">
      <w:pPr>
        <w:spacing w:line="240" w:lineRule="auto"/>
        <w:ind w:firstLine="640"/>
        <w:jc w:val="both"/>
      </w:pPr>
    </w:p>
    <w:p w14:paraId="46CE9A95">
      <w:pPr>
        <w:spacing w:line="240" w:lineRule="auto"/>
        <w:ind w:firstLine="640"/>
        <w:jc w:val="both"/>
      </w:pPr>
    </w:p>
    <w:p w14:paraId="7D3802E7">
      <w:pPr>
        <w:spacing w:line="240" w:lineRule="auto"/>
        <w:ind w:firstLine="640"/>
        <w:jc w:val="both"/>
      </w:pPr>
    </w:p>
    <w:p w14:paraId="356F538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977FE4-8608-402E-AC4F-C5F3C77EE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49F6AC9-06B5-4C29-BB00-D875BAEADDA5}"/>
  </w:font>
  <w:font w:name="仿宋_GB2312">
    <w:altName w:val="仿宋"/>
    <w:panose1 w:val="02010609030101010101"/>
    <w:charset w:val="86"/>
    <w:family w:val="modern"/>
    <w:pitch w:val="default"/>
    <w:sig w:usb0="00000000" w:usb1="00000000" w:usb2="00000000" w:usb3="00000000" w:csb0="00040000" w:csb1="00000000"/>
    <w:embedRegular r:id="rId3" w:fontKey="{DED26F84-26E8-41BD-9CA5-0CB8C6F575A7}"/>
  </w:font>
  <w:font w:name="楷体_GB2312">
    <w:altName w:val="楷体"/>
    <w:panose1 w:val="00000000000000000000"/>
    <w:charset w:val="00"/>
    <w:family w:val="auto"/>
    <w:pitch w:val="default"/>
    <w:sig w:usb0="00000000" w:usb1="00000000" w:usb2="00000000" w:usb3="00000000" w:csb0="00000000" w:csb1="00000000"/>
    <w:embedRegular r:id="rId4" w:fontKey="{DF8F75BF-FFE7-4B6E-B5EB-5D0659A9114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63253A"/>
    <w:rsid w:val="09A729D8"/>
    <w:rsid w:val="0A3C58E8"/>
    <w:rsid w:val="0A7B4867"/>
    <w:rsid w:val="0B8C3ECC"/>
    <w:rsid w:val="0C3613A3"/>
    <w:rsid w:val="0C7227A7"/>
    <w:rsid w:val="0DCA6EF7"/>
    <w:rsid w:val="0E4B1576"/>
    <w:rsid w:val="0EA04331"/>
    <w:rsid w:val="0F9811B3"/>
    <w:rsid w:val="11E15093"/>
    <w:rsid w:val="120E0809"/>
    <w:rsid w:val="171C621A"/>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551</Words>
  <Characters>554</Characters>
  <Lines>0</Lines>
  <Paragraphs>0</Paragraphs>
  <TotalTime>5</TotalTime>
  <ScaleCrop>false</ScaleCrop>
  <LinksUpToDate>false</LinksUpToDate>
  <CharactersWithSpaces>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2025-11-06T02:26:33Z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eyJoZGlkIjoiMjEwMjVmNmU3OTQwZDBjNjI0ZTM3MTBmNDI0OGIzYzIiLCJ1c2VySWQiOiIyMDM3MTI1NTkifQ==</vt:lpwstr>
  </property>
</Properties>
</file>