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乌鲁木齐市水磨沟区龙盛街街道办事处2024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7274F4D">
      <w:r>
        <w:br w:type="page"/>
      </w:r>
    </w:p>
    <w:p w14:paraId="21B6E03D">
      <w:pPr>
        <w:spacing w:line="640" w:lineRule="exact"/>
        <w:jc w:val="center"/>
        <w:outlineLvl w:val="1"/>
      </w:pPr>
      <w:r>
        <w:rPr>
          <w:rFonts w:ascii="黑体" w:hAnsi="黑体" w:eastAsia="黑体"/>
          <w:sz w:val="32"/>
        </w:rPr>
        <w:t>第一部分 单位概况</w:t>
      </w:r>
    </w:p>
    <w:p w14:paraId="48B35E15">
      <w:pPr>
        <w:spacing w:line="640" w:lineRule="exact"/>
        <w:ind w:firstLine="640"/>
        <w:jc w:val="both"/>
        <w:outlineLvl w:val="2"/>
      </w:pPr>
      <w:r>
        <w:rPr>
          <w:rFonts w:ascii="黑体" w:hAnsi="黑体" w:eastAsia="黑体"/>
          <w:sz w:val="32"/>
        </w:rPr>
        <w:t>一、主要职能</w:t>
      </w:r>
    </w:p>
    <w:p w14:paraId="29DE56AD">
      <w:pPr>
        <w:spacing w:line="580" w:lineRule="exact"/>
        <w:ind w:firstLine="640"/>
        <w:jc w:val="both"/>
      </w:pPr>
      <w:r>
        <w:rPr>
          <w:rFonts w:ascii="仿宋_GB2312" w:hAnsi="仿宋_GB2312" w:eastAsia="仿宋_GB2312"/>
          <w:sz w:val="32"/>
        </w:rPr>
        <w:t>（一）加强党的建设。坚持党的全面领导，推进基层党的</w:t>
      </w:r>
      <w:r>
        <w:rPr>
          <w:rFonts w:hint="eastAsia" w:ascii="仿宋_GB2312" w:hAnsi="仿宋_GB2312" w:eastAsia="仿宋_GB2312"/>
          <w:sz w:val="32"/>
          <w:lang w:eastAsia="zh-CN"/>
        </w:rPr>
        <w:t>建设</w:t>
      </w:r>
      <w:r>
        <w:rPr>
          <w:rFonts w:ascii="仿宋_GB2312" w:hAnsi="仿宋_GB2312" w:eastAsia="仿宋_GB2312"/>
          <w:sz w:val="32"/>
        </w:rPr>
        <w:t>工作，强化基层党组织系统建设和整体建设，打造坚强战斗堡垒，构建城市基层党建工作新格局；落实全面从严治党政治责任和意识形态工作责任，负责辖区宣传思想、统一战线、民族宗教和精神文明建设等工作；统筹推进党建引领基层治理和基层政权建设，推动基层民主政治建设，健全基层群众自治机制，提升基层治理体系和治理能力现代化水平。</w:t>
      </w:r>
    </w:p>
    <w:p w14:paraId="1FFB2B84">
      <w:pPr>
        <w:spacing w:line="580" w:lineRule="exact"/>
        <w:ind w:firstLine="640"/>
        <w:jc w:val="both"/>
      </w:pPr>
      <w:r>
        <w:rPr>
          <w:rFonts w:ascii="仿宋_GB2312" w:hAnsi="仿宋_GB2312" w:eastAsia="仿宋_GB2312"/>
          <w:sz w:val="32"/>
        </w:rPr>
        <w:t>（二）统筹辖区发展。落实法治政府建设相关要求和辖区经济社会发展重大决策，参与辖区公共服务设施建设规划，推动辖区健康、有序、可持续发展；讨论决定本街道城市管理、经济发展、民生服务和社会管理中的重大问题；协调有关部门，动员各方力量，整合各类资源，服务社区群众，共同推进社区建设。</w:t>
      </w:r>
    </w:p>
    <w:p w14:paraId="7FC23AA9">
      <w:pPr>
        <w:spacing w:line="580" w:lineRule="exact"/>
        <w:ind w:firstLine="640"/>
        <w:jc w:val="both"/>
      </w:pPr>
      <w:r>
        <w:rPr>
          <w:rFonts w:ascii="仿宋_GB2312" w:hAnsi="仿宋_GB2312" w:eastAsia="仿宋_GB2312"/>
          <w:sz w:val="32"/>
        </w:rPr>
        <w:t>（三）服务保障民生。组织实施辖区内与居民生活密切相关的各项公共服务；落实文体旅游、卫生健康、就业创业、住房保障、社会救助、养老助残、退役军人事务服务等领域的相关法律法规和政策；完善政务服务流程，构建高效便民审批服务体系；优化公共服务供给模式，推动民生实事落地落实。</w:t>
      </w:r>
    </w:p>
    <w:p w14:paraId="3676D5E9">
      <w:pPr>
        <w:spacing w:line="580" w:lineRule="exact"/>
        <w:ind w:firstLine="640"/>
        <w:jc w:val="both"/>
      </w:pPr>
      <w:r>
        <w:rPr>
          <w:rFonts w:ascii="仿宋_GB2312" w:hAnsi="仿宋_GB2312" w:eastAsia="仿宋_GB2312"/>
          <w:sz w:val="32"/>
        </w:rPr>
        <w:t>（四）推动经济发展。贯彻执行辖区经济发展规划，整合辖区资源，持续优化营商环境，引导和扶持各类经济组织发展；服务保障重点产业、重大项目等，配合做好招商引资、项目落地、重点项目跟踪等工作，推动区域高质量发展；负责协税护税工作；负责辖区相关统计工作。</w:t>
      </w:r>
    </w:p>
    <w:p w14:paraId="5CEF3B3A">
      <w:pPr>
        <w:spacing w:line="580" w:lineRule="exact"/>
        <w:ind w:firstLine="640"/>
        <w:jc w:val="both"/>
      </w:pPr>
      <w:r>
        <w:rPr>
          <w:rFonts w:ascii="仿宋_GB2312" w:hAnsi="仿宋_GB2312" w:eastAsia="仿宋_GB2312"/>
          <w:sz w:val="32"/>
        </w:rPr>
        <w:t>（五）加强城市管理。依法行使各项行政管理职能，组织领导和综合协调辖区内地区性、综合性社会管理工作；协调配合开展辖区内生态环保、街巷治理、园林绿化、物业监管、环境卫生、市场监管、老旧小区改造等工作。</w:t>
      </w:r>
    </w:p>
    <w:p w14:paraId="2D757035">
      <w:pPr>
        <w:spacing w:line="580" w:lineRule="exact"/>
        <w:ind w:firstLine="640"/>
        <w:jc w:val="both"/>
      </w:pPr>
      <w:r>
        <w:rPr>
          <w:rFonts w:ascii="仿宋_GB2312" w:hAnsi="仿宋_GB2312" w:eastAsia="仿宋_GB2312"/>
          <w:sz w:val="32"/>
        </w:rPr>
        <w:t>（六）推进平安建设。组织实施辖区内平安法治建设工作，完善基层社会治安防控体系；承担辖区内社会治安综合治理、流动人口服务管理、出租房屋管理、应急管理、安全生产等相关工作；处理群众来信来访，调解矛盾纠纷；动员辖区群众和社会力量参与群防群治工作，有效维护治安稳定与社会和谐；协助做好刑满释放人员的安置帮教工作。</w:t>
      </w:r>
    </w:p>
    <w:p w14:paraId="16C5874B">
      <w:pPr>
        <w:spacing w:line="580" w:lineRule="exact"/>
        <w:ind w:firstLine="640"/>
        <w:jc w:val="both"/>
      </w:pPr>
      <w:r>
        <w:rPr>
          <w:rFonts w:ascii="仿宋_GB2312" w:hAnsi="仿宋_GB2312" w:eastAsia="仿宋_GB2312"/>
          <w:sz w:val="32"/>
        </w:rPr>
        <w:t>（七）指导社区建设。组织辖区居民和单位参与社区建设和管理，健全完善自治、法治、德治相结合的城乡基层治理体系；指导居民委员会工作，支持居民依法自治；指导、协调辖区业主委员会建设，监督业主委员会依法履行职责；引导、动员辖区内各类单位、社会组织和社区居民等社会力量参与社区治理，为区域发展服务。</w:t>
      </w:r>
    </w:p>
    <w:p w14:paraId="3829A35E">
      <w:pPr>
        <w:spacing w:line="580" w:lineRule="exact"/>
        <w:ind w:firstLine="640"/>
        <w:jc w:val="both"/>
      </w:pPr>
      <w:r>
        <w:rPr>
          <w:rFonts w:ascii="仿宋_GB2312" w:hAnsi="仿宋_GB2312" w:eastAsia="仿宋_GB2312"/>
          <w:sz w:val="32"/>
        </w:rPr>
        <w:t>（八）开展综合执法。承担辖区内综合行政执法相关工作，依法相对集中行使行政处罚权；受委托承担相关领域行政执法事项；统筹区级部门派驻机构和其他执法力量，推动工作职责、人员队伍、配套机制深度融合，构建上下协同、高效联动、权责统一的基层综合行政执法工作体系。</w:t>
      </w:r>
    </w:p>
    <w:p w14:paraId="3B947E53">
      <w:pPr>
        <w:spacing w:line="580" w:lineRule="exact"/>
        <w:ind w:firstLine="640"/>
        <w:jc w:val="both"/>
      </w:pPr>
      <w:r>
        <w:rPr>
          <w:rFonts w:ascii="仿宋_GB2312" w:hAnsi="仿宋_GB2312" w:eastAsia="仿宋_GB2312"/>
          <w:sz w:val="32"/>
        </w:rPr>
        <w:t>（九）完成区委、区人民政府交办的其他事项。</w:t>
      </w:r>
    </w:p>
    <w:p w14:paraId="25663649">
      <w:pPr>
        <w:spacing w:line="640" w:lineRule="exact"/>
        <w:ind w:firstLine="640"/>
        <w:jc w:val="both"/>
        <w:outlineLvl w:val="2"/>
      </w:pPr>
      <w:r>
        <w:rPr>
          <w:rFonts w:ascii="黑体" w:hAnsi="黑体" w:eastAsia="黑体"/>
          <w:sz w:val="32"/>
        </w:rPr>
        <w:t>二、机构设置及人员情况</w:t>
      </w:r>
    </w:p>
    <w:p w14:paraId="51D9F9A4">
      <w:pPr>
        <w:spacing w:line="580" w:lineRule="exact"/>
        <w:ind w:firstLine="640"/>
        <w:jc w:val="both"/>
      </w:pPr>
      <w:r>
        <w:rPr>
          <w:rFonts w:ascii="仿宋_GB2312" w:hAnsi="仿宋_GB2312" w:eastAsia="仿宋_GB2312"/>
          <w:sz w:val="32"/>
        </w:rPr>
        <w:t>乌鲁木齐市水磨沟区龙盛街街道办事处2024年度，实有人数105人，其中：在职人员101人，减少6人；离休人员0人，增加0人；退休人员4人,增加4人。</w:t>
      </w:r>
    </w:p>
    <w:p w14:paraId="61506D76">
      <w:pPr>
        <w:spacing w:line="580" w:lineRule="exact"/>
        <w:ind w:firstLine="640"/>
        <w:jc w:val="both"/>
      </w:pPr>
      <w:r>
        <w:rPr>
          <w:rFonts w:ascii="仿宋_GB2312" w:hAnsi="仿宋_GB2312" w:eastAsia="仿宋_GB2312"/>
          <w:sz w:val="32"/>
        </w:rPr>
        <w:t>乌鲁木齐市水磨沟区龙盛街街道办事处无下属预算单位，下设7个科室，分别是：综合协调办公室、党建工作办公室、综合执法办公室、党群服务中心、社会事务服务中心（退役军人服务站）、综治和网格化服务中心、经济发展中心。</w:t>
      </w:r>
    </w:p>
    <w:p w14:paraId="47A88702">
      <w:r>
        <w:br w:type="page"/>
      </w:r>
    </w:p>
    <w:p w14:paraId="28171E1F">
      <w:pPr>
        <w:spacing w:line="240" w:lineRule="auto"/>
        <w:jc w:val="center"/>
        <w:outlineLvl w:val="1"/>
      </w:pPr>
      <w:r>
        <w:rPr>
          <w:rFonts w:ascii="黑体" w:hAnsi="黑体" w:eastAsia="黑体"/>
          <w:sz w:val="32"/>
        </w:rPr>
        <w:t>第二部分 部门决算情况说明</w:t>
      </w:r>
    </w:p>
    <w:p w14:paraId="6494A883">
      <w:pPr>
        <w:spacing w:line="640" w:lineRule="exact"/>
        <w:ind w:firstLine="640"/>
        <w:jc w:val="both"/>
        <w:outlineLvl w:val="2"/>
      </w:pPr>
      <w:r>
        <w:rPr>
          <w:rFonts w:ascii="黑体" w:hAnsi="黑体" w:eastAsia="黑体"/>
          <w:sz w:val="32"/>
        </w:rPr>
        <w:t>一、收入支出决算总体情况说明</w:t>
      </w:r>
    </w:p>
    <w:p w14:paraId="39B9946E">
      <w:pPr>
        <w:spacing w:line="580" w:lineRule="exact"/>
        <w:ind w:firstLine="640"/>
        <w:jc w:val="both"/>
      </w:pPr>
      <w:r>
        <w:rPr>
          <w:rFonts w:ascii="仿宋_GB2312" w:hAnsi="仿宋_GB2312" w:eastAsia="仿宋_GB2312"/>
          <w:b/>
          <w:sz w:val="32"/>
        </w:rPr>
        <w:t>2024年度收入总计1,816.89万元，</w:t>
      </w:r>
      <w:r>
        <w:rPr>
          <w:rFonts w:ascii="仿宋_GB2312" w:hAnsi="仿宋_GB2312" w:eastAsia="仿宋_GB2312"/>
          <w:b w:val="0"/>
          <w:sz w:val="32"/>
        </w:rPr>
        <w:t>其中：本年收入合计1,816.32万元，使用非财政拨款结余（含专用结余）0.00万元，年初结转和结余0.57万元。</w:t>
      </w:r>
    </w:p>
    <w:p w14:paraId="1953C2A9">
      <w:pPr>
        <w:spacing w:line="580" w:lineRule="exact"/>
        <w:ind w:firstLine="640"/>
        <w:jc w:val="both"/>
      </w:pPr>
      <w:r>
        <w:rPr>
          <w:rFonts w:ascii="仿宋_GB2312" w:hAnsi="仿宋_GB2312" w:eastAsia="仿宋_GB2312"/>
          <w:b/>
          <w:sz w:val="32"/>
        </w:rPr>
        <w:t>2024年度支出总计1,816.89万元，</w:t>
      </w:r>
      <w:r>
        <w:rPr>
          <w:rFonts w:ascii="仿宋_GB2312" w:hAnsi="仿宋_GB2312" w:eastAsia="仿宋_GB2312"/>
          <w:b w:val="0"/>
          <w:sz w:val="32"/>
        </w:rPr>
        <w:t>其中：本年支出合计1,783.93万元，结余分配0.00万元，年末结转和结余32.96万元。</w:t>
      </w:r>
    </w:p>
    <w:p w14:paraId="4189A1FF">
      <w:pPr>
        <w:spacing w:line="580" w:lineRule="exact"/>
        <w:ind w:firstLine="640"/>
        <w:jc w:val="both"/>
      </w:pPr>
      <w:r>
        <w:rPr>
          <w:rFonts w:ascii="仿宋_GB2312" w:hAnsi="仿宋_GB2312" w:eastAsia="仿宋_GB2312"/>
          <w:b w:val="0"/>
          <w:sz w:val="32"/>
        </w:rPr>
        <w:t>收入支出总体与上年相比，减少2,692.39万元，下降59.71%，主要原因是：1.本年减少“金石榴杯”合唱比赛相关费用、消化2022年暂付款项（临聘人员经费、便民服务站人员伙食费、便民服务站运行经费、封闭化岗亭人员经费、工作经费、人员类项目支出、社区经费、社区食堂补助经费）等项目；2.YQ防控财力补助、美术馆、公共图书馆、文化馆【站】免费开放补助资金较上年减少。</w:t>
      </w:r>
    </w:p>
    <w:p w14:paraId="18549F41">
      <w:pPr>
        <w:spacing w:line="640" w:lineRule="exact"/>
        <w:ind w:firstLine="640"/>
        <w:jc w:val="both"/>
        <w:outlineLvl w:val="2"/>
      </w:pPr>
      <w:r>
        <w:rPr>
          <w:rFonts w:ascii="黑体" w:hAnsi="黑体" w:eastAsia="黑体"/>
          <w:sz w:val="32"/>
        </w:rPr>
        <w:t>二、收入决算情况说明</w:t>
      </w:r>
    </w:p>
    <w:p w14:paraId="4B827A3C">
      <w:pPr>
        <w:spacing w:line="580" w:lineRule="exact"/>
        <w:ind w:firstLine="640"/>
        <w:jc w:val="both"/>
      </w:pPr>
      <w:r>
        <w:rPr>
          <w:rFonts w:ascii="仿宋_GB2312" w:hAnsi="仿宋_GB2312" w:eastAsia="仿宋_GB2312"/>
          <w:b/>
          <w:sz w:val="32"/>
        </w:rPr>
        <w:t>本年收入1,816.32万元，</w:t>
      </w:r>
      <w:r>
        <w:rPr>
          <w:rFonts w:ascii="仿宋_GB2312" w:hAnsi="仿宋_GB2312" w:eastAsia="仿宋_GB2312"/>
          <w:b w:val="0"/>
          <w:sz w:val="32"/>
        </w:rPr>
        <w:t>其中：财政拨款收入1,816.21万元，占99.99%；上级补助收入0.00万元，占0.00%；事业收入0.00万元，占0.00%；经营收入0.00万元，占0.00%；附属单位上缴收入0.00万元，占0.00%；其他收入0.11万元，占0.006%。</w:t>
      </w:r>
    </w:p>
    <w:p w14:paraId="4518215C">
      <w:pPr>
        <w:spacing w:line="640" w:lineRule="exact"/>
        <w:ind w:firstLine="640"/>
        <w:jc w:val="both"/>
        <w:outlineLvl w:val="2"/>
      </w:pPr>
      <w:r>
        <w:rPr>
          <w:rFonts w:ascii="黑体" w:hAnsi="黑体" w:eastAsia="黑体"/>
          <w:sz w:val="32"/>
        </w:rPr>
        <w:t>三、支出决算情况说明</w:t>
      </w:r>
    </w:p>
    <w:p w14:paraId="7C42DEBE">
      <w:pPr>
        <w:spacing w:line="580" w:lineRule="exact"/>
        <w:ind w:firstLine="640"/>
        <w:jc w:val="both"/>
      </w:pPr>
      <w:r>
        <w:rPr>
          <w:rFonts w:ascii="仿宋_GB2312" w:hAnsi="仿宋_GB2312" w:eastAsia="仿宋_GB2312"/>
          <w:b/>
          <w:sz w:val="32"/>
        </w:rPr>
        <w:t>本年支出1,783.93万元，</w:t>
      </w:r>
      <w:r>
        <w:rPr>
          <w:rFonts w:ascii="仿宋_GB2312" w:hAnsi="仿宋_GB2312" w:eastAsia="仿宋_GB2312"/>
          <w:b w:val="0"/>
          <w:sz w:val="32"/>
        </w:rPr>
        <w:t>其中：基本支出1,620.96万元，占90.86%；项目支出162.97万元，占9.14%；上缴上级支出0.00万元，占0.00%；经营支出0.00万元，占0.00%；对附属单位补助支出0.00万元，占0.00%。</w:t>
      </w:r>
    </w:p>
    <w:p w14:paraId="08EB961F">
      <w:pPr>
        <w:spacing w:line="640" w:lineRule="exact"/>
        <w:ind w:firstLine="640"/>
        <w:jc w:val="both"/>
        <w:outlineLvl w:val="2"/>
      </w:pPr>
      <w:r>
        <w:rPr>
          <w:rFonts w:ascii="黑体" w:hAnsi="黑体" w:eastAsia="黑体"/>
          <w:sz w:val="32"/>
        </w:rPr>
        <w:t>四、财政拨款收入支出决算总体情况说明</w:t>
      </w:r>
    </w:p>
    <w:p w14:paraId="24F1D010">
      <w:pPr>
        <w:spacing w:line="580" w:lineRule="exact"/>
        <w:ind w:firstLine="640"/>
        <w:jc w:val="both"/>
      </w:pPr>
      <w:r>
        <w:rPr>
          <w:rFonts w:ascii="仿宋_GB2312" w:hAnsi="仿宋_GB2312" w:eastAsia="仿宋_GB2312"/>
          <w:b/>
          <w:sz w:val="32"/>
        </w:rPr>
        <w:t>2024年度财政拨款收入总计1,816.21万元，</w:t>
      </w:r>
      <w:r>
        <w:rPr>
          <w:rFonts w:ascii="仿宋_GB2312" w:hAnsi="仿宋_GB2312" w:eastAsia="仿宋_GB2312"/>
          <w:b w:val="0"/>
          <w:sz w:val="32"/>
        </w:rPr>
        <w:t>其中：年初财政拨款结转和结余0.00万元，本年财政拨款收入1,816.21万元。</w:t>
      </w:r>
      <w:r>
        <w:rPr>
          <w:rFonts w:ascii="仿宋_GB2312" w:hAnsi="仿宋_GB2312" w:eastAsia="仿宋_GB2312"/>
          <w:b/>
          <w:sz w:val="32"/>
        </w:rPr>
        <w:t>财政拨款支出总计1,816.21万元，</w:t>
      </w:r>
      <w:r>
        <w:rPr>
          <w:rFonts w:ascii="仿宋_GB2312" w:hAnsi="仿宋_GB2312" w:eastAsia="仿宋_GB2312"/>
          <w:b w:val="0"/>
          <w:sz w:val="32"/>
        </w:rPr>
        <w:t>其中：年末财政拨款结转和结余32.91万元，本年财政拨款支出1,783.30万元。</w:t>
      </w:r>
    </w:p>
    <w:p w14:paraId="165D8F1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2,625.82万元，下降59.11%，主要原因是：1.本年减少“金石榴杯”合唱比赛相关费用、消化2022年暂付款项（临聘人员经费、便民服务站人员伙食费、便民服务站运行经费、封闭化岗亭人员经费、工作经费、人员类项目支出、社区经费、社区食堂补助经费）等项目；2.YQ防控财力补助、美术馆、公共图书馆、文化馆【站】免费开放补助资金较上年减少。</w:t>
      </w:r>
      <w:r>
        <w:rPr>
          <w:rFonts w:ascii="仿宋_GB2312" w:hAnsi="仿宋_GB2312" w:eastAsia="仿宋_GB2312"/>
          <w:b/>
          <w:sz w:val="32"/>
        </w:rPr>
        <w:t>与年初预算相比，</w:t>
      </w:r>
      <w:r>
        <w:rPr>
          <w:rFonts w:ascii="仿宋_GB2312" w:hAnsi="仿宋_GB2312" w:eastAsia="仿宋_GB2312"/>
          <w:b w:val="0"/>
          <w:sz w:val="32"/>
        </w:rPr>
        <w:t>年初预算数2,114.34万元，决算数1,816.21万元，预决算差异率-14.10%，主要原因是：年中调减纪检监察转移支付资金、美术馆、公共图书馆、文化馆【站】免费开放补助资金、YQ防控财力补助项目资金，导致预决算存在差异。</w:t>
      </w:r>
    </w:p>
    <w:p w14:paraId="33709942">
      <w:pPr>
        <w:spacing w:line="640" w:lineRule="exact"/>
        <w:ind w:firstLine="640"/>
        <w:jc w:val="both"/>
        <w:outlineLvl w:val="2"/>
      </w:pPr>
      <w:r>
        <w:rPr>
          <w:rFonts w:ascii="黑体" w:hAnsi="黑体" w:eastAsia="黑体"/>
          <w:sz w:val="32"/>
        </w:rPr>
        <w:t>五、一般公共预算财政拨款支出决算情况说明</w:t>
      </w:r>
    </w:p>
    <w:p w14:paraId="08CBF46E">
      <w:pPr>
        <w:spacing w:line="640" w:lineRule="exact"/>
        <w:ind w:firstLine="640"/>
        <w:jc w:val="both"/>
        <w:outlineLvl w:val="3"/>
      </w:pPr>
      <w:r>
        <w:rPr>
          <w:rFonts w:ascii="楷体_GB2312" w:hAnsi="楷体_GB2312" w:eastAsia="楷体_GB2312"/>
          <w:b/>
          <w:sz w:val="32"/>
        </w:rPr>
        <w:t>（一）一般公共预算财政拨款支出决算总体情况</w:t>
      </w:r>
    </w:p>
    <w:p w14:paraId="13568546">
      <w:pPr>
        <w:spacing w:line="580" w:lineRule="exact"/>
        <w:ind w:firstLine="640"/>
        <w:jc w:val="both"/>
      </w:pPr>
      <w:r>
        <w:rPr>
          <w:rFonts w:ascii="仿宋_GB2312" w:hAnsi="仿宋_GB2312" w:eastAsia="仿宋_GB2312"/>
          <w:b/>
          <w:sz w:val="32"/>
        </w:rPr>
        <w:t>2024年度一般公共预算财政拨款支出1,767.55万元，</w:t>
      </w:r>
      <w:r>
        <w:rPr>
          <w:rFonts w:ascii="仿宋_GB2312" w:hAnsi="仿宋_GB2312" w:eastAsia="仿宋_GB2312"/>
          <w:b w:val="0"/>
          <w:sz w:val="32"/>
        </w:rPr>
        <w:t>占本年支出合计的99.08%。</w:t>
      </w:r>
      <w:r>
        <w:rPr>
          <w:rFonts w:ascii="仿宋_GB2312" w:hAnsi="仿宋_GB2312" w:eastAsia="仿宋_GB2312"/>
          <w:b/>
          <w:sz w:val="32"/>
        </w:rPr>
        <w:t>与上年相比，</w:t>
      </w:r>
      <w:r>
        <w:rPr>
          <w:rFonts w:ascii="仿宋_GB2312" w:hAnsi="仿宋_GB2312" w:eastAsia="仿宋_GB2312"/>
          <w:b w:val="0"/>
          <w:sz w:val="32"/>
        </w:rPr>
        <w:t>减少2,646.57万元，下降59.96%，主要原因是：1.本年减少“金石榴杯”合唱比赛相关费用、消化2022年暂付款项（临聘人员经费、便民服务站人员伙食费、便民服务站运行经费、封闭化岗亭人员经费、工作经费、人员类项目支出、社区经费、社区食堂补助经费）等项目；2.YQ防控财力补助、美术馆、公共图书馆、文化馆【站】免费开放补助资金较上年减少。</w:t>
      </w:r>
      <w:r>
        <w:rPr>
          <w:rFonts w:ascii="仿宋_GB2312" w:hAnsi="仿宋_GB2312" w:eastAsia="仿宋_GB2312"/>
          <w:b/>
          <w:sz w:val="32"/>
        </w:rPr>
        <w:t>与年初预算相比,</w:t>
      </w:r>
      <w:r>
        <w:rPr>
          <w:rFonts w:ascii="仿宋_GB2312" w:hAnsi="仿宋_GB2312" w:eastAsia="仿宋_GB2312"/>
          <w:b w:val="0"/>
          <w:sz w:val="32"/>
        </w:rPr>
        <w:t>年初预算数2,114.34万元，决算数1,767.55万元，预决算差异率-16.40%，主要原因是：年中调减纪检监察转移支付资金、美术馆、公共图书馆、文化馆【站】免费开放补助资金、YQ防控财力补助项目资金，导致预决算存在差异。</w:t>
      </w:r>
    </w:p>
    <w:p w14:paraId="009E4E9C">
      <w:pPr>
        <w:spacing w:line="640" w:lineRule="exact"/>
        <w:ind w:firstLine="640"/>
        <w:jc w:val="both"/>
        <w:outlineLvl w:val="3"/>
      </w:pPr>
      <w:r>
        <w:rPr>
          <w:rFonts w:ascii="楷体_GB2312" w:hAnsi="楷体_GB2312" w:eastAsia="楷体_GB2312"/>
          <w:b/>
          <w:sz w:val="32"/>
        </w:rPr>
        <w:t>（二）一般公共预算财政拨款支出决算结构情况</w:t>
      </w:r>
    </w:p>
    <w:p w14:paraId="37545CD3">
      <w:pPr>
        <w:spacing w:line="580" w:lineRule="exact"/>
        <w:ind w:firstLine="640"/>
        <w:jc w:val="both"/>
      </w:pPr>
      <w:r>
        <w:rPr>
          <w:rFonts w:ascii="仿宋_GB2312" w:hAnsi="仿宋_GB2312" w:eastAsia="仿宋_GB2312"/>
          <w:b w:val="0"/>
          <w:sz w:val="32"/>
        </w:rPr>
        <w:t>1.一般公共服务支出(类)454.34万元,占25.70%。</w:t>
      </w:r>
    </w:p>
    <w:p w14:paraId="633FD865">
      <w:pPr>
        <w:spacing w:line="580" w:lineRule="exact"/>
        <w:ind w:firstLine="640"/>
        <w:jc w:val="both"/>
      </w:pPr>
      <w:r>
        <w:rPr>
          <w:rFonts w:ascii="仿宋_GB2312" w:hAnsi="仿宋_GB2312" w:eastAsia="仿宋_GB2312"/>
          <w:b w:val="0"/>
          <w:sz w:val="32"/>
        </w:rPr>
        <w:t>2.文化旅游体育与传媒支出(类)0.93万元,占0.05%。</w:t>
      </w:r>
    </w:p>
    <w:p w14:paraId="1B2D7C0B">
      <w:pPr>
        <w:spacing w:line="580" w:lineRule="exact"/>
        <w:ind w:firstLine="640"/>
        <w:jc w:val="both"/>
      </w:pPr>
      <w:r>
        <w:rPr>
          <w:rFonts w:ascii="仿宋_GB2312" w:hAnsi="仿宋_GB2312" w:eastAsia="仿宋_GB2312"/>
          <w:b w:val="0"/>
          <w:sz w:val="32"/>
        </w:rPr>
        <w:t>3.社会保障和就业支出(类)1,285.63万元,占72.74%。</w:t>
      </w:r>
    </w:p>
    <w:p w14:paraId="033BFED8">
      <w:pPr>
        <w:spacing w:line="580" w:lineRule="exact"/>
        <w:ind w:firstLine="640"/>
        <w:jc w:val="both"/>
      </w:pPr>
      <w:r>
        <w:rPr>
          <w:rFonts w:ascii="仿宋_GB2312" w:hAnsi="仿宋_GB2312" w:eastAsia="仿宋_GB2312"/>
          <w:b w:val="0"/>
          <w:sz w:val="32"/>
        </w:rPr>
        <w:t>4.卫生健康支出(类)4.91万元,占0.28%。</w:t>
      </w:r>
    </w:p>
    <w:p w14:paraId="66543DD3">
      <w:pPr>
        <w:spacing w:line="580" w:lineRule="exact"/>
        <w:ind w:firstLine="640"/>
        <w:jc w:val="both"/>
      </w:pPr>
      <w:r>
        <w:rPr>
          <w:rFonts w:ascii="仿宋_GB2312" w:hAnsi="仿宋_GB2312" w:eastAsia="仿宋_GB2312"/>
          <w:b w:val="0"/>
          <w:sz w:val="32"/>
        </w:rPr>
        <w:t>5.城乡社区支出(类)21.74万元,占1.23%。</w:t>
      </w:r>
    </w:p>
    <w:p w14:paraId="74EACF00">
      <w:pPr>
        <w:spacing w:line="640" w:lineRule="exact"/>
        <w:ind w:firstLine="640"/>
        <w:jc w:val="both"/>
        <w:outlineLvl w:val="3"/>
      </w:pPr>
      <w:r>
        <w:rPr>
          <w:rFonts w:ascii="楷体_GB2312" w:hAnsi="楷体_GB2312" w:eastAsia="楷体_GB2312"/>
          <w:b/>
          <w:sz w:val="32"/>
        </w:rPr>
        <w:t>（三）一般公共预算财政拨款支出决算具体情况</w:t>
      </w:r>
    </w:p>
    <w:p w14:paraId="29F1C668">
      <w:pPr>
        <w:spacing w:line="580" w:lineRule="exact"/>
        <w:ind w:firstLine="640"/>
        <w:jc w:val="both"/>
      </w:pPr>
      <w:r>
        <w:rPr>
          <w:rFonts w:ascii="仿宋_GB2312" w:hAnsi="仿宋_GB2312" w:eastAsia="仿宋_GB2312"/>
          <w:b w:val="0"/>
          <w:sz w:val="32"/>
        </w:rPr>
        <w:t>1.一般公共服务支出(类)人大事务(款)其他人大事务支出(项):支出决算数为0.33万元，比上年决算增加0.33万元，增长100.00%,主要原因是：本年新增2024年度自治区基层人大补助经费项目。</w:t>
      </w:r>
    </w:p>
    <w:p w14:paraId="07C87F6F">
      <w:pPr>
        <w:spacing w:line="580" w:lineRule="exact"/>
        <w:ind w:firstLine="640"/>
        <w:jc w:val="both"/>
      </w:pPr>
      <w:r>
        <w:rPr>
          <w:rFonts w:ascii="仿宋_GB2312" w:hAnsi="仿宋_GB2312" w:eastAsia="仿宋_GB2312"/>
          <w:b w:val="0"/>
          <w:sz w:val="32"/>
        </w:rPr>
        <w:t>2.一般公共服务支出(类)政府办公厅（室）及相关机构事务(款)行政运行(项):支出决算数为231.05万元，比上年决算减少16.88万元，下降6.81%,主要原因是：本年行政在职人员减少，相应人员经费较上年减少。</w:t>
      </w:r>
    </w:p>
    <w:p w14:paraId="6CF4A7E1">
      <w:pPr>
        <w:spacing w:line="580" w:lineRule="exact"/>
        <w:ind w:firstLine="640"/>
        <w:jc w:val="both"/>
      </w:pPr>
      <w:r>
        <w:rPr>
          <w:rFonts w:ascii="仿宋_GB2312" w:hAnsi="仿宋_GB2312" w:eastAsia="仿宋_GB2312"/>
          <w:b w:val="0"/>
          <w:sz w:val="32"/>
        </w:rPr>
        <w:t>3.一般公共服务支出(类)政府办公厅（室）及相关机构事务(款)事业运行(项):支出决算数为220.96万元，比上年决算增加0.82万元，增长0.37%,主要原因是：本年事业在职人员工资调增，导致相关人员经费较上年有所增加。</w:t>
      </w:r>
    </w:p>
    <w:p w14:paraId="54C8D0FF">
      <w:pPr>
        <w:spacing w:line="580" w:lineRule="exact"/>
        <w:ind w:firstLine="640"/>
        <w:jc w:val="both"/>
      </w:pPr>
      <w:r>
        <w:rPr>
          <w:rFonts w:ascii="仿宋_GB2312" w:hAnsi="仿宋_GB2312" w:eastAsia="仿宋_GB2312"/>
          <w:b w:val="0"/>
          <w:sz w:val="32"/>
        </w:rPr>
        <w:t>4.一般公共服务支出(类)纪检监察事务(款)其他纪检监察事务支出(项):支出决算数为2.00万元，比上年决算减少0.03万元，下降1.48%,主要原因是：本年中央纪检监察转移支付资金较上年减少。</w:t>
      </w:r>
    </w:p>
    <w:p w14:paraId="2CD71FA4">
      <w:pPr>
        <w:spacing w:line="580" w:lineRule="exact"/>
        <w:ind w:firstLine="640"/>
        <w:jc w:val="both"/>
      </w:pPr>
      <w:r>
        <w:rPr>
          <w:rFonts w:ascii="仿宋_GB2312" w:hAnsi="仿宋_GB2312" w:eastAsia="仿宋_GB2312"/>
          <w:b w:val="0"/>
          <w:sz w:val="32"/>
        </w:rPr>
        <w:t>5.文化旅游体育与传媒支出(类)文化和旅游(款)其他文化和旅游支出(项):支出决算数为0.93万元，比上年决算减少0.70万元，下降42.94%,主要原因是：本年开展活动较少，免费开放补助资金较上年减少。</w:t>
      </w:r>
    </w:p>
    <w:p w14:paraId="640DA380">
      <w:pPr>
        <w:spacing w:line="580" w:lineRule="exact"/>
        <w:ind w:firstLine="640"/>
        <w:jc w:val="both"/>
      </w:pPr>
      <w:r>
        <w:rPr>
          <w:rFonts w:ascii="仿宋_GB2312" w:hAnsi="仿宋_GB2312" w:eastAsia="仿宋_GB2312"/>
          <w:b w:val="0"/>
          <w:sz w:val="32"/>
        </w:rPr>
        <w:t>6.社会保障和就业支出(类)民政管理事务(款)基层政权建设和社区治理(项):支出决算数为1,111.09万元，比上年决算减少2,549.22万元，下降69.64%,主要原因是：1.本年未安排消化历年欠款（临聘人员经费、便民服务站人员伙食费、便民服务站运行经费、封闭化岗亭人员经费、工作经费、人员类项目支出、社区经费、社区食堂补助经费）项目；2.本年功能科目调整，年中追加的部分人员工资由基层政权建设和社区治理科目调整至其他城乡社区管理事务支出科目，经费较上年减少。</w:t>
      </w:r>
    </w:p>
    <w:p w14:paraId="55779F1F">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159.31万元，比上年决算增加8.83万元，增长5.87%,主要原因是：本年在职人员工资基数调增，养老缴费基数上涨，相应支出增加。</w:t>
      </w:r>
    </w:p>
    <w:p w14:paraId="196D3321">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15.24万元，比上年决算增加5.92万元，增长63.52%,主要原因是：本年新增退休人员较上年增加，职业年金缴费支出增加。</w:t>
      </w:r>
    </w:p>
    <w:p w14:paraId="21F24069">
      <w:pPr>
        <w:spacing w:line="580" w:lineRule="exact"/>
        <w:ind w:firstLine="640"/>
        <w:jc w:val="both"/>
      </w:pPr>
      <w:r>
        <w:rPr>
          <w:rFonts w:ascii="仿宋_GB2312" w:hAnsi="仿宋_GB2312" w:eastAsia="仿宋_GB2312"/>
          <w:b w:val="0"/>
          <w:sz w:val="32"/>
        </w:rPr>
        <w:t>9.卫生健康支出(类)公共卫生(款)突发公共卫生事件应急处置(项):支出决算数为4.91万元，比上年决算减少117.37万元，下降95.98%,主要原因是：中央YQ防控财力补助项目资金较上年减少。</w:t>
      </w:r>
    </w:p>
    <w:p w14:paraId="1BF69F86">
      <w:pPr>
        <w:spacing w:line="580" w:lineRule="exact"/>
        <w:ind w:firstLine="640"/>
        <w:jc w:val="both"/>
      </w:pPr>
      <w:r>
        <w:rPr>
          <w:rFonts w:ascii="仿宋_GB2312" w:hAnsi="仿宋_GB2312" w:eastAsia="仿宋_GB2312"/>
          <w:b w:val="0"/>
          <w:sz w:val="32"/>
        </w:rPr>
        <w:t>10.城乡社区支出(类)城乡社区管理事务(款)其他城乡社区管理事务支出(项):支出决算数为11.74万元，比上年决算增加11.74万元，增长100.00%,主要原因是：本年功能科目调整，年中追加的部分人员工资由基层政权建设和社区治理科目调整至其他城乡社区管理事务支出科目，经费较上年增加。</w:t>
      </w:r>
    </w:p>
    <w:p w14:paraId="6BE79FA7">
      <w:pPr>
        <w:spacing w:line="580" w:lineRule="exact"/>
        <w:ind w:firstLine="640"/>
        <w:jc w:val="both"/>
      </w:pPr>
      <w:r>
        <w:rPr>
          <w:rFonts w:ascii="仿宋_GB2312" w:hAnsi="仿宋_GB2312" w:eastAsia="仿宋_GB2312"/>
          <w:b w:val="0"/>
          <w:sz w:val="32"/>
        </w:rPr>
        <w:t>11.城乡社区支出(类)城乡社区公共设施(款)其他城乡社区公共设施支出(项):支出决算数为10.00万元，比上年决算增加10.00万元，增长100.00%,主要原因是：本年增加支付中小企业账款项目。</w:t>
      </w:r>
    </w:p>
    <w:p w14:paraId="7B89BC2E">
      <w:pPr>
        <w:spacing w:line="640" w:lineRule="exact"/>
        <w:ind w:firstLine="640"/>
        <w:jc w:val="both"/>
        <w:outlineLvl w:val="2"/>
      </w:pPr>
      <w:r>
        <w:rPr>
          <w:rFonts w:ascii="黑体" w:hAnsi="黑体" w:eastAsia="黑体"/>
          <w:sz w:val="32"/>
        </w:rPr>
        <w:t>六、一般公共预算财政拨款基本支出决算情况说明</w:t>
      </w:r>
    </w:p>
    <w:p w14:paraId="0E4DE2A1">
      <w:pPr>
        <w:spacing w:line="580" w:lineRule="exact"/>
        <w:ind w:firstLine="640"/>
        <w:jc w:val="both"/>
      </w:pPr>
      <w:r>
        <w:rPr>
          <w:rFonts w:ascii="仿宋_GB2312" w:hAnsi="仿宋_GB2312" w:eastAsia="仿宋_GB2312"/>
          <w:b w:val="0"/>
          <w:sz w:val="32"/>
        </w:rPr>
        <w:t>2024年度一般公共预算财政拨款基本支出1,620.32万元，其中：</w:t>
      </w:r>
      <w:r>
        <w:rPr>
          <w:rFonts w:ascii="仿宋_GB2312" w:hAnsi="仿宋_GB2312" w:eastAsia="仿宋_GB2312"/>
          <w:b/>
          <w:sz w:val="32"/>
        </w:rPr>
        <w:t>人员经费1,604.43万元，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w:t>
      </w:r>
    </w:p>
    <w:p w14:paraId="1BDB3FA8">
      <w:pPr>
        <w:spacing w:line="580" w:lineRule="exact"/>
        <w:ind w:firstLine="640"/>
        <w:jc w:val="both"/>
      </w:pPr>
      <w:r>
        <w:rPr>
          <w:rFonts w:ascii="仿宋_GB2312" w:hAnsi="仿宋_GB2312" w:eastAsia="仿宋_GB2312"/>
          <w:b/>
          <w:sz w:val="32"/>
        </w:rPr>
        <w:t>公用经费15.90万元，</w:t>
      </w:r>
      <w:r>
        <w:rPr>
          <w:rFonts w:ascii="仿宋_GB2312" w:hAnsi="仿宋_GB2312" w:eastAsia="仿宋_GB2312"/>
          <w:b w:val="0"/>
          <w:sz w:val="32"/>
        </w:rPr>
        <w:t>包括：办公费、水费、电费、邮电费、培训费、福利费。</w:t>
      </w:r>
    </w:p>
    <w:p w14:paraId="5364F938">
      <w:pPr>
        <w:spacing w:line="640" w:lineRule="exact"/>
        <w:ind w:firstLine="640"/>
        <w:jc w:val="both"/>
        <w:outlineLvl w:val="2"/>
      </w:pPr>
      <w:r>
        <w:rPr>
          <w:rFonts w:ascii="黑体" w:hAnsi="黑体" w:eastAsia="黑体"/>
          <w:sz w:val="32"/>
        </w:rPr>
        <w:t>七、政府性基金预算财政拨款收入支出决算情况说明</w:t>
      </w:r>
    </w:p>
    <w:p w14:paraId="509F5786">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117D8BF5">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减少27.91万元，下降100.00%，主要原因是：本年减少第七批[新增保洁人员工资补助]项目。</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年初预算数0.00万元，决算数0.00万元，预决算差异率0.00%，主要原因是：本年未安排政府性基金项目。</w:t>
      </w:r>
    </w:p>
    <w:p w14:paraId="32C1C7CD">
      <w:pPr>
        <w:spacing w:line="580" w:lineRule="exact"/>
        <w:ind w:firstLine="640"/>
        <w:jc w:val="both"/>
      </w:pPr>
      <w:r>
        <w:rPr>
          <w:rFonts w:ascii="仿宋_GB2312" w:hAnsi="仿宋_GB2312" w:eastAsia="仿宋_GB2312"/>
          <w:b w:val="0"/>
          <w:sz w:val="32"/>
        </w:rPr>
        <w:t>政府性基金预算财政拨款支出0.00万元。</w:t>
      </w:r>
    </w:p>
    <w:p w14:paraId="09B7D2CE">
      <w:pPr>
        <w:spacing w:line="580" w:lineRule="exact"/>
        <w:ind w:firstLine="640"/>
        <w:jc w:val="both"/>
      </w:pPr>
      <w:r>
        <w:rPr>
          <w:rFonts w:ascii="仿宋_GB2312" w:hAnsi="仿宋_GB2312" w:eastAsia="仿宋_GB2312"/>
          <w:b w:val="0"/>
          <w:sz w:val="32"/>
        </w:rPr>
        <w:t>1.城乡社区支出(类)城市基础设施配套费安排的支出(款)城市环境卫生(项):支出决算数为0.00万元，比上年决算减少27.91万元，下降100.00%,主要原因是：本年减少第七批[新增保洁人员工资补助]项目。</w:t>
      </w:r>
    </w:p>
    <w:p w14:paraId="73090A51">
      <w:pPr>
        <w:spacing w:line="640" w:lineRule="exact"/>
        <w:ind w:firstLine="640"/>
        <w:jc w:val="both"/>
        <w:outlineLvl w:val="2"/>
      </w:pPr>
      <w:r>
        <w:rPr>
          <w:rFonts w:ascii="黑体" w:hAnsi="黑体" w:eastAsia="黑体"/>
          <w:sz w:val="32"/>
        </w:rPr>
        <w:t>八、国有资本经营预算财政拨款收入支出决算情况说明</w:t>
      </w:r>
    </w:p>
    <w:p w14:paraId="0A4F3ED7">
      <w:pPr>
        <w:spacing w:line="580" w:lineRule="exact"/>
        <w:ind w:firstLine="640"/>
        <w:jc w:val="both"/>
      </w:pPr>
      <w:r>
        <w:rPr>
          <w:rFonts w:ascii="仿宋_GB2312" w:hAnsi="仿宋_GB2312" w:eastAsia="仿宋_GB2312"/>
          <w:b/>
          <w:sz w:val="32"/>
        </w:rPr>
        <w:t>2024年度国有资本经营预算财政拨款收入总计15.74万元，</w:t>
      </w:r>
      <w:r>
        <w:rPr>
          <w:rFonts w:ascii="仿宋_GB2312" w:hAnsi="仿宋_GB2312" w:eastAsia="仿宋_GB2312"/>
          <w:b w:val="0"/>
          <w:sz w:val="32"/>
        </w:rPr>
        <w:t>其中：年初结转和结余0.00万元，本年收入15.74万元。</w:t>
      </w:r>
      <w:r>
        <w:rPr>
          <w:rFonts w:ascii="仿宋_GB2312" w:hAnsi="仿宋_GB2312" w:eastAsia="仿宋_GB2312"/>
          <w:b/>
          <w:sz w:val="32"/>
        </w:rPr>
        <w:t>国有资本经营预算财政拨款支出总计15.74万元，</w:t>
      </w:r>
      <w:r>
        <w:rPr>
          <w:rFonts w:ascii="仿宋_GB2312" w:hAnsi="仿宋_GB2312" w:eastAsia="仿宋_GB2312"/>
          <w:b w:val="0"/>
          <w:sz w:val="32"/>
        </w:rPr>
        <w:t>其中：年末结转和结余0.00万元，本年支出15.74万元。</w:t>
      </w:r>
    </w:p>
    <w:p w14:paraId="21A5837F">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增加15.74万元，增长100.00%，主要原因是：本年新增国有企业退休人员社会化管理补助支出项目。</w:t>
      </w:r>
      <w:r>
        <w:rPr>
          <w:rFonts w:ascii="仿宋_GB2312" w:hAnsi="仿宋_GB2312" w:eastAsia="仿宋_GB2312"/>
          <w:b/>
          <w:sz w:val="32"/>
        </w:rPr>
        <w:t>与年初预算相比，</w:t>
      </w:r>
      <w:r>
        <w:rPr>
          <w:rFonts w:ascii="仿宋_GB2312" w:hAnsi="仿宋_GB2312" w:eastAsia="仿宋_GB2312"/>
          <w:b w:val="0"/>
          <w:sz w:val="32"/>
        </w:rPr>
        <w:t>年初预算数0.00万元，决算数15.74万元，预决算差异率100.00%，主要原因是：年中追加国有企业退休人员社会化管理补助支出项目，导致预决算存在差异。</w:t>
      </w:r>
    </w:p>
    <w:p w14:paraId="44629633">
      <w:pPr>
        <w:spacing w:line="580" w:lineRule="exact"/>
        <w:ind w:firstLine="640"/>
        <w:jc w:val="both"/>
      </w:pPr>
      <w:r>
        <w:rPr>
          <w:rFonts w:ascii="仿宋_GB2312" w:hAnsi="仿宋_GB2312" w:eastAsia="仿宋_GB2312"/>
          <w:sz w:val="32"/>
        </w:rPr>
        <w:t>国有资本经营预算财政拨款支出15.74万元。</w:t>
      </w:r>
    </w:p>
    <w:p w14:paraId="2D8E6669">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15.74万元，比上年决算增加15.74万元，增长100.00%,主要原因是：本年新增国有企业退休人员社会化管理补助支出项目。</w:t>
      </w:r>
    </w:p>
    <w:p w14:paraId="1563D7AE">
      <w:pPr>
        <w:spacing w:line="640" w:lineRule="exact"/>
        <w:ind w:firstLine="640"/>
        <w:jc w:val="both"/>
        <w:outlineLvl w:val="2"/>
      </w:pPr>
      <w:r>
        <w:rPr>
          <w:rFonts w:ascii="黑体" w:hAnsi="黑体" w:eastAsia="黑体"/>
          <w:sz w:val="32"/>
        </w:rPr>
        <w:t>九、财政拨款“三公”经费支出决算情况说明</w:t>
      </w:r>
    </w:p>
    <w:p w14:paraId="2889C34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EE045A2">
      <w:pPr>
        <w:spacing w:line="580" w:lineRule="exact"/>
        <w:ind w:firstLine="640"/>
        <w:jc w:val="both"/>
      </w:pPr>
      <w:r>
        <w:rPr>
          <w:rFonts w:ascii="仿宋_GB2312" w:hAnsi="仿宋_GB2312" w:eastAsia="仿宋_GB2312"/>
          <w:b/>
          <w:sz w:val="32"/>
        </w:rPr>
        <w:t>具体情况如下：</w:t>
      </w:r>
    </w:p>
    <w:p w14:paraId="47A149E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51F09D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4辆，与公务用车保有量差异原因是：街道及社区巡逻车，在</w:t>
      </w:r>
      <w:r>
        <w:rPr>
          <w:rFonts w:hint="eastAsia" w:ascii="仿宋_GB2312" w:hAnsi="仿宋_GB2312" w:eastAsia="仿宋_GB2312"/>
          <w:b w:val="0"/>
          <w:sz w:val="32"/>
          <w:lang w:val="en-US" w:eastAsia="zh-CN"/>
        </w:rPr>
        <w:t>项目</w:t>
      </w:r>
      <w:r>
        <w:rPr>
          <w:rFonts w:ascii="仿宋_GB2312" w:hAnsi="仿宋_GB2312" w:eastAsia="仿宋_GB2312"/>
          <w:b w:val="0"/>
          <w:sz w:val="32"/>
        </w:rPr>
        <w:t>其他交通费用中列支。</w:t>
      </w:r>
    </w:p>
    <w:p w14:paraId="6ED366A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1BBABB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DB0F909">
      <w:pPr>
        <w:spacing w:line="640" w:lineRule="exact"/>
        <w:ind w:firstLine="640"/>
        <w:jc w:val="both"/>
        <w:outlineLvl w:val="2"/>
      </w:pPr>
      <w:r>
        <w:rPr>
          <w:rFonts w:ascii="黑体" w:hAnsi="黑体" w:eastAsia="黑体"/>
          <w:sz w:val="32"/>
        </w:rPr>
        <w:t>十、其他重要事项的情况说明</w:t>
      </w:r>
    </w:p>
    <w:p w14:paraId="31F915FA">
      <w:pPr>
        <w:spacing w:line="640" w:lineRule="exact"/>
        <w:ind w:firstLine="640"/>
        <w:jc w:val="both"/>
        <w:outlineLvl w:val="3"/>
      </w:pPr>
      <w:r>
        <w:rPr>
          <w:rFonts w:ascii="楷体_GB2312" w:hAnsi="楷体_GB2312" w:eastAsia="楷体_GB2312"/>
          <w:b/>
          <w:sz w:val="32"/>
        </w:rPr>
        <w:t>（一）机关运行经费及公用经费支出情况</w:t>
      </w:r>
    </w:p>
    <w:p w14:paraId="321CFF0C">
      <w:pPr>
        <w:spacing w:line="580" w:lineRule="exact"/>
        <w:ind w:firstLine="640"/>
        <w:jc w:val="both"/>
      </w:pPr>
      <w:r>
        <w:rPr>
          <w:rFonts w:ascii="仿宋_GB2312" w:hAnsi="仿宋_GB2312" w:eastAsia="仿宋_GB2312"/>
          <w:b w:val="0"/>
          <w:sz w:val="32"/>
        </w:rPr>
        <w:t>2024年度乌鲁木齐市水磨沟区龙盛街街道办事处（行政单位和参照公务员法管理事业单位）机关运行经费支出15.90万元，比上年减少22.21万元，下降58.28%，主要原因是：本年八辆车划拨至公安局，导致其他交通费较上年减少。</w:t>
      </w:r>
    </w:p>
    <w:p w14:paraId="43CCB107">
      <w:pPr>
        <w:spacing w:line="640" w:lineRule="exact"/>
        <w:ind w:firstLine="640"/>
        <w:jc w:val="both"/>
        <w:outlineLvl w:val="3"/>
      </w:pPr>
      <w:r>
        <w:rPr>
          <w:rFonts w:ascii="楷体_GB2312" w:hAnsi="楷体_GB2312" w:eastAsia="楷体_GB2312"/>
          <w:b/>
          <w:sz w:val="32"/>
        </w:rPr>
        <w:t>（二）政府采购情况</w:t>
      </w:r>
    </w:p>
    <w:p w14:paraId="0BADF9C0">
      <w:pPr>
        <w:spacing w:line="580" w:lineRule="exact"/>
        <w:ind w:firstLine="640"/>
        <w:jc w:val="both"/>
      </w:pPr>
      <w:r>
        <w:rPr>
          <w:rFonts w:ascii="仿宋_GB2312" w:hAnsi="仿宋_GB2312" w:eastAsia="仿宋_GB2312"/>
          <w:b w:val="0"/>
          <w:sz w:val="32"/>
        </w:rPr>
        <w:t>2024年度政府采购支出总额4.63万元，其中：政府采购货物支出4.11万元、政府采购工程支出0.00万元、政府采购服务支出0.53万元。</w:t>
      </w:r>
    </w:p>
    <w:p w14:paraId="488A1034">
      <w:pPr>
        <w:spacing w:line="580" w:lineRule="exact"/>
        <w:ind w:firstLine="640"/>
        <w:jc w:val="both"/>
      </w:pPr>
      <w:r>
        <w:rPr>
          <w:rFonts w:ascii="仿宋_GB2312" w:hAnsi="仿宋_GB2312" w:eastAsia="仿宋_GB2312"/>
          <w:b w:val="0"/>
          <w:sz w:val="32"/>
        </w:rPr>
        <w:t>授予中小企业合同金额2.56万元，占政府采购支出总额的55.29%，其中：授予小微企业合同金额0.93万元，占政府采购支出总额的20.09%。</w:t>
      </w:r>
    </w:p>
    <w:p w14:paraId="0B62AD82">
      <w:pPr>
        <w:spacing w:line="640" w:lineRule="exact"/>
        <w:ind w:firstLine="640"/>
        <w:jc w:val="both"/>
        <w:outlineLvl w:val="3"/>
      </w:pPr>
      <w:r>
        <w:rPr>
          <w:rFonts w:ascii="楷体_GB2312" w:hAnsi="楷体_GB2312" w:eastAsia="楷体_GB2312"/>
          <w:b/>
          <w:sz w:val="32"/>
        </w:rPr>
        <w:t>（三）国有资产占用情况说明</w:t>
      </w:r>
    </w:p>
    <w:p w14:paraId="35A51933">
      <w:pPr>
        <w:spacing w:line="580" w:lineRule="exact"/>
        <w:ind w:firstLine="640"/>
        <w:jc w:val="both"/>
      </w:pPr>
      <w:r>
        <w:rPr>
          <w:rFonts w:ascii="仿宋_GB2312" w:hAnsi="仿宋_GB2312" w:eastAsia="仿宋_GB2312"/>
          <w:b w:val="0"/>
          <w:sz w:val="32"/>
        </w:rPr>
        <w:t>截至2024年12月31日，房屋6,583.07平方米，价值1,714.65万元。车辆4辆，价值32.82万元，其中：副部（省）级及以上领导用车0辆、主要负责人用车0辆、机要通信用车0辆、应急保障用车0辆、执法执勤用车4辆、特种专业技术用车0辆、离退休干部服务用车0辆、其他用车0辆，其他用车主要是：本单位无其他用车。单价100万元（含）以上设备（不含车辆）0台（套）。</w:t>
      </w:r>
    </w:p>
    <w:p w14:paraId="48AAB549">
      <w:pPr>
        <w:spacing w:line="640" w:lineRule="exact"/>
        <w:ind w:firstLine="640"/>
        <w:jc w:val="both"/>
        <w:outlineLvl w:val="2"/>
      </w:pPr>
      <w:r>
        <w:rPr>
          <w:rFonts w:ascii="黑体" w:hAnsi="黑体" w:eastAsia="黑体"/>
          <w:sz w:val="32"/>
        </w:rPr>
        <w:t>十一、预算绩效的情况说明</w:t>
      </w:r>
    </w:p>
    <w:p w14:paraId="6D4961D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1,816.88万元，实际执行总额1,783.92万元；预算绩效评价项目7个，全年预算数374.04万元，全年执行数159.83万元。预算绩效管理取得的成效：一是保障了社区、片区管委会的正常运转；二是为辖区居民提供了安居乐业的生产生活环境；三</w:t>
      </w:r>
      <w:r>
        <w:rPr>
          <w:rFonts w:hint="eastAsia" w:ascii="仿宋_GB2312" w:hAnsi="仿宋_GB2312" w:eastAsia="仿宋_GB2312"/>
          <w:b w:val="0"/>
          <w:sz w:val="32"/>
          <w:lang w:eastAsia="zh-CN"/>
        </w:rPr>
        <w:t>是</w:t>
      </w:r>
      <w:r>
        <w:rPr>
          <w:rFonts w:ascii="仿宋_GB2312" w:hAnsi="仿宋_GB2312" w:eastAsia="仿宋_GB2312"/>
          <w:b w:val="0"/>
          <w:sz w:val="32"/>
        </w:rPr>
        <w:t>稳定了社区工作人员队伍；四是减少了辖区安全生产事故；五是提高了各单位间沟通效率；六是提升了工作人员的工作热情与积极性。发现的问题及原因：一是个别工作分工不清晰，人员培训和绩效考核制度不够完善，考核方案部分内容没有与时俱进；二是绩效考核人员的配备和综合素质亟待加强。随着各项工作要求越来越细化和规范，特别是绩效管理系统上线以来，绩效工作</w:t>
      </w:r>
      <w:r>
        <w:rPr>
          <w:rFonts w:hint="eastAsia" w:ascii="仿宋_GB2312" w:hAnsi="仿宋_GB2312" w:eastAsia="仿宋_GB2312"/>
          <w:b w:val="0"/>
          <w:sz w:val="32"/>
          <w:lang w:eastAsia="zh-CN"/>
        </w:rPr>
        <w:t>成为</w:t>
      </w:r>
      <w:r>
        <w:rPr>
          <w:rFonts w:ascii="仿宋_GB2312" w:hAnsi="仿宋_GB2312" w:eastAsia="仿宋_GB2312"/>
          <w:b w:val="0"/>
          <w:sz w:val="32"/>
        </w:rPr>
        <w:t>各项工作的统领，作用越来越明显。但随着工作范围和内容的逐步加大，人员配备不到位的问题也越来越明显，人员的不足致使绩效管理工作不能真正地发挥作用，在效果上受到一定程度的制约。三是固定资产控制薄弱。实行政府集中采购制度以后，行政事业单位固定资产的采购得到了有效控制，但使用管理仍缺乏相关的内部控制，重购轻管现象比较普遍。如未按规定建立起定期资产盘点制度，责任不明确等，导致资产账实不符及资产流失。四是岗位设置不够合理。由于人员配置较少等多种原因，一些岗位安排不尽合理，存在一人多岗兼职现象。记账人员、保管人员、经济业务决策人员及经办人员没有很好</w:t>
      </w:r>
      <w:r>
        <w:rPr>
          <w:rFonts w:hint="eastAsia" w:ascii="仿宋_GB2312" w:hAnsi="仿宋_GB2312" w:eastAsia="仿宋_GB2312"/>
          <w:b w:val="0"/>
          <w:sz w:val="32"/>
          <w:lang w:eastAsia="zh-CN"/>
        </w:rPr>
        <w:t>地</w:t>
      </w:r>
      <w:r>
        <w:rPr>
          <w:rFonts w:ascii="仿宋_GB2312" w:hAnsi="仿宋_GB2312" w:eastAsia="仿宋_GB2312"/>
          <w:b w:val="0"/>
          <w:sz w:val="32"/>
        </w:rPr>
        <w:t>分离制约，出现管理漏洞。下一步改进措施：一是构建专业、客观、独立、多样的绩效评价主体。在可能的条件下，引入社会绩效评价组织，专家，</w:t>
      </w:r>
      <w:r>
        <w:rPr>
          <w:rFonts w:hint="eastAsia" w:ascii="仿宋_GB2312" w:hAnsi="仿宋_GB2312" w:eastAsia="仿宋_GB2312"/>
          <w:b w:val="0"/>
          <w:sz w:val="32"/>
          <w:lang w:eastAsia="zh-CN"/>
        </w:rPr>
        <w:t>高校</w:t>
      </w:r>
      <w:r>
        <w:rPr>
          <w:rFonts w:ascii="仿宋_GB2312" w:hAnsi="仿宋_GB2312" w:eastAsia="仿宋_GB2312"/>
          <w:b w:val="0"/>
          <w:sz w:val="32"/>
        </w:rPr>
        <w:t>研究人员等。还应加强对外公开的效率，促使公众参与到部门整体绩效评价执行的过程中，重视社会公众对绩效评价的监督。最后，要加强部门内部绩效评价人员的培训，提高其指标设计和绩效评价的专业技能。二是压实绩效责任，严格落实主体责任和监督责任。提高预算执行率，加快支付进度，确保“保工资、保运转、保民生”各项资金支付合理合规，有序加快预算执行力度，确保执行率与完成率匹配，强化内控管理制度，加强部门协同配合，压实各方责任，推动形成分工协作、齐抓共管的工作机制，同时建立健全考核机制，使项目更高效</w:t>
      </w:r>
      <w:r>
        <w:rPr>
          <w:rFonts w:hint="eastAsia" w:ascii="仿宋_GB2312" w:hAnsi="仿宋_GB2312" w:eastAsia="仿宋_GB2312"/>
          <w:b w:val="0"/>
          <w:sz w:val="32"/>
          <w:lang w:eastAsia="zh-CN"/>
        </w:rPr>
        <w:t>地</w:t>
      </w:r>
      <w:r>
        <w:rPr>
          <w:rFonts w:ascii="仿宋_GB2312" w:hAnsi="仿宋_GB2312" w:eastAsia="仿宋_GB2312"/>
          <w:b w:val="0"/>
          <w:sz w:val="32"/>
        </w:rPr>
        <w:t>完成年度计划任务，切实提高财政资金使用绩效。三是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整体支出绩效自评表，项目支出绩效自评表和评价报告。</w:t>
      </w:r>
    </w:p>
    <w:p w14:paraId="0B9FCBB4">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6F50AC6">
        <w:tblPrEx>
          <w:tblCellMar>
            <w:top w:w="0" w:type="dxa"/>
            <w:left w:w="108" w:type="dxa"/>
            <w:bottom w:w="0" w:type="dxa"/>
            <w:right w:w="108" w:type="dxa"/>
          </w:tblCellMar>
        </w:tblPrEx>
        <w:tc>
          <w:tcPr>
            <w:tcW w:w="8840" w:type="dxa"/>
            <w:gridSpan w:val="8"/>
            <w:vAlign w:val="center"/>
          </w:tcPr>
          <w:p w14:paraId="7DAA2A4B">
            <w:pPr>
              <w:jc w:val="center"/>
            </w:pPr>
            <w:r>
              <w:rPr>
                <w:rFonts w:ascii="宋体" w:hAnsi="宋体" w:eastAsia="宋体"/>
                <w:sz w:val="24"/>
              </w:rPr>
              <w:t>单位整体支出绩效自评表</w:t>
            </w:r>
          </w:p>
        </w:tc>
      </w:tr>
      <w:tr w14:paraId="42D70B70">
        <w:tblPrEx>
          <w:tblCellMar>
            <w:top w:w="0" w:type="dxa"/>
            <w:left w:w="108" w:type="dxa"/>
            <w:bottom w:w="0" w:type="dxa"/>
            <w:right w:w="108" w:type="dxa"/>
          </w:tblCellMar>
        </w:tblPrEx>
        <w:tc>
          <w:tcPr>
            <w:tcW w:w="8840" w:type="dxa"/>
            <w:gridSpan w:val="8"/>
            <w:vAlign w:val="center"/>
          </w:tcPr>
          <w:p w14:paraId="78748E54">
            <w:pPr>
              <w:jc w:val="center"/>
            </w:pPr>
            <w:r>
              <w:rPr>
                <w:rFonts w:ascii="宋体" w:hAnsi="宋体" w:eastAsia="宋体"/>
                <w:sz w:val="24"/>
              </w:rPr>
              <w:t>（2024年度）</w:t>
            </w:r>
          </w:p>
        </w:tc>
      </w:tr>
      <w:tr w14:paraId="3CCFCF1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5828E4">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F896B6">
            <w:pPr>
              <w:jc w:val="center"/>
            </w:pPr>
            <w:r>
              <w:rPr>
                <w:rFonts w:ascii="宋体" w:hAnsi="宋体" w:eastAsia="宋体"/>
                <w:sz w:val="16"/>
              </w:rPr>
              <w:t>乌鲁木齐市水磨沟区龙盛街街道办事处</w:t>
            </w:r>
          </w:p>
        </w:tc>
      </w:tr>
      <w:tr w14:paraId="0A95B96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2BF3DE">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686A70">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9E032C">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4DEE43">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2A2400">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109D3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A3ECD0">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8DBF17">
            <w:pPr>
              <w:jc w:val="center"/>
            </w:pPr>
            <w:r>
              <w:rPr>
                <w:rFonts w:ascii="宋体" w:hAnsi="宋体" w:eastAsia="宋体"/>
                <w:sz w:val="16"/>
              </w:rPr>
              <w:t>得分</w:t>
            </w:r>
          </w:p>
        </w:tc>
      </w:tr>
      <w:tr w14:paraId="0FC76F9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02D9C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8E6487">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E8A861">
            <w:pPr>
              <w:jc w:val="center"/>
            </w:pPr>
            <w:r>
              <w:rPr>
                <w:rFonts w:ascii="宋体" w:hAnsi="宋体" w:eastAsia="宋体"/>
                <w:sz w:val="16"/>
              </w:rPr>
              <w:t>2,114.34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A4DF76">
            <w:pPr>
              <w:jc w:val="center"/>
            </w:pPr>
            <w:r>
              <w:rPr>
                <w:rFonts w:ascii="宋体" w:hAnsi="宋体" w:eastAsia="宋体"/>
                <w:sz w:val="16"/>
              </w:rPr>
              <w:t>1,816.88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570DF9">
            <w:pPr>
              <w:jc w:val="center"/>
            </w:pPr>
            <w:r>
              <w:rPr>
                <w:rFonts w:ascii="宋体" w:hAnsi="宋体" w:eastAsia="宋体"/>
                <w:sz w:val="16"/>
              </w:rPr>
              <w:t>1,783.92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E157ED">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719A0E">
            <w:pPr>
              <w:jc w:val="center"/>
            </w:pPr>
            <w:r>
              <w:rPr>
                <w:rFonts w:ascii="宋体" w:hAnsi="宋体" w:eastAsia="宋体"/>
                <w:sz w:val="16"/>
              </w:rPr>
              <w:t>98.19%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6D22F1">
            <w:pPr>
              <w:jc w:val="center"/>
            </w:pPr>
            <w:r>
              <w:rPr>
                <w:rFonts w:ascii="宋体" w:hAnsi="宋体" w:eastAsia="宋体"/>
                <w:sz w:val="16"/>
              </w:rPr>
              <w:t>9.82</w:t>
            </w:r>
          </w:p>
        </w:tc>
      </w:tr>
      <w:tr w14:paraId="1CFC960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D06D0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402C15">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E13769">
            <w:pPr>
              <w:jc w:val="center"/>
            </w:pPr>
            <w:r>
              <w:rPr>
                <w:rFonts w:ascii="宋体" w:hAnsi="宋体" w:eastAsia="宋体"/>
                <w:sz w:val="16"/>
              </w:rPr>
              <w:t>25.86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CB001B">
            <w:pPr>
              <w:jc w:val="center"/>
            </w:pPr>
            <w:r>
              <w:rPr>
                <w:rFonts w:ascii="宋体" w:hAnsi="宋体" w:eastAsia="宋体"/>
                <w:sz w:val="16"/>
              </w:rPr>
              <w:t>25.28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7CE921">
            <w:pPr>
              <w:jc w:val="center"/>
            </w:pPr>
            <w:r>
              <w:rPr>
                <w:rFonts w:ascii="宋体" w:hAnsi="宋体" w:eastAsia="宋体"/>
                <w:sz w:val="16"/>
              </w:rPr>
              <w:t>25.28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C43C7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A6C48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28BA5A">
            <w:pPr>
              <w:jc w:val="center"/>
            </w:pPr>
            <w:r>
              <w:rPr>
                <w:rFonts w:ascii="宋体" w:hAnsi="宋体" w:eastAsia="宋体"/>
                <w:sz w:val="16"/>
              </w:rPr>
              <w:t>-</w:t>
            </w:r>
          </w:p>
        </w:tc>
      </w:tr>
      <w:tr w14:paraId="31F1A78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03DC2E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E57F39">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29C52D">
            <w:pPr>
              <w:jc w:val="center"/>
            </w:pPr>
            <w:r>
              <w:rPr>
                <w:rFonts w:ascii="宋体" w:hAnsi="宋体" w:eastAsia="宋体"/>
                <w:sz w:val="16"/>
              </w:rPr>
              <w:t>2,069.58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761D07">
            <w:pPr>
              <w:jc w:val="center"/>
            </w:pPr>
            <w:r>
              <w:rPr>
                <w:rFonts w:ascii="宋体" w:hAnsi="宋体" w:eastAsia="宋体"/>
                <w:sz w:val="16"/>
              </w:rPr>
              <w:t>1,786.01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064B4A">
            <w:pPr>
              <w:jc w:val="center"/>
            </w:pPr>
            <w:r>
              <w:rPr>
                <w:rFonts w:ascii="宋体" w:hAnsi="宋体" w:eastAsia="宋体"/>
                <w:sz w:val="16"/>
              </w:rPr>
              <w:t>1,753.16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6301B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63432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BD8BD6">
            <w:pPr>
              <w:jc w:val="center"/>
            </w:pPr>
            <w:r>
              <w:rPr>
                <w:rFonts w:ascii="宋体" w:hAnsi="宋体" w:eastAsia="宋体"/>
                <w:sz w:val="16"/>
              </w:rPr>
              <w:t>-</w:t>
            </w:r>
          </w:p>
        </w:tc>
      </w:tr>
      <w:tr w14:paraId="255EEE3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1DA379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50A27B">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9CDD46">
            <w:pPr>
              <w:jc w:val="center"/>
            </w:pPr>
            <w:r>
              <w:rPr>
                <w:rFonts w:ascii="宋体" w:hAnsi="宋体" w:eastAsia="宋体"/>
                <w:sz w:val="16"/>
              </w:rPr>
              <w:t>18.90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A0CFB1">
            <w:pPr>
              <w:jc w:val="center"/>
            </w:pPr>
            <w:r>
              <w:rPr>
                <w:rFonts w:ascii="宋体" w:hAnsi="宋体" w:eastAsia="宋体"/>
                <w:sz w:val="16"/>
              </w:rPr>
              <w:t>5.59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0D3194">
            <w:pPr>
              <w:jc w:val="center"/>
            </w:pPr>
            <w:r>
              <w:rPr>
                <w:rFonts w:ascii="宋体" w:hAnsi="宋体" w:eastAsia="宋体"/>
                <w:sz w:val="16"/>
              </w:rPr>
              <w:t>5.48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57BFD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BC795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D29619">
            <w:pPr>
              <w:jc w:val="center"/>
            </w:pPr>
            <w:r>
              <w:rPr>
                <w:rFonts w:ascii="宋体" w:hAnsi="宋体" w:eastAsia="宋体"/>
                <w:sz w:val="16"/>
              </w:rPr>
              <w:t>-</w:t>
            </w:r>
          </w:p>
        </w:tc>
      </w:tr>
      <w:tr w14:paraId="2C9743F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2703A">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3AB19C">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1DD5E8">
            <w:pPr>
              <w:jc w:val="center"/>
            </w:pPr>
            <w:r>
              <w:rPr>
                <w:rFonts w:ascii="宋体" w:hAnsi="宋体" w:eastAsia="宋体"/>
                <w:sz w:val="16"/>
              </w:rPr>
              <w:t>实际完成情况</w:t>
            </w:r>
          </w:p>
        </w:tc>
      </w:tr>
      <w:tr w14:paraId="7BC031E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38F74E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F78E268">
            <w:pPr>
              <w:jc w:val="both"/>
            </w:pPr>
            <w:r>
              <w:rPr>
                <w:rFonts w:ascii="宋体" w:hAnsi="宋体" w:eastAsia="宋体"/>
                <w:sz w:val="16"/>
              </w:rPr>
              <w:t>2024年，乌鲁木齐市水磨沟区龙盛街片区管理委员会在区委、区政府统一领导下，积极做好以下工作：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一、全面从严治党方面：①每月开展党务工作指导检查1次；②建设国际化社区1个；</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二、维护稳定方面：①加强流动人口和出租房屋管理；②规范网格化组织、阵地建设；③强化社会面管控</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三、安全生产方面：①加强安全教育宣传，</w:t>
            </w:r>
            <w:r>
              <w:rPr>
                <w:rFonts w:hint="eastAsia" w:ascii="宋体" w:hAnsi="宋体"/>
                <w:sz w:val="16"/>
                <w:lang w:eastAsia="zh-CN"/>
              </w:rPr>
              <w:t>增强</w:t>
            </w:r>
            <w:r>
              <w:rPr>
                <w:rFonts w:ascii="宋体" w:hAnsi="宋体" w:eastAsia="宋体"/>
                <w:sz w:val="16"/>
              </w:rPr>
              <w:t>全民安全意识；②加强安监机构队伍建设；③强化安全责任意识，筑牢安全防线</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四、推动经济高质量发展方面：①持续优化营商环境；②提供人才支持，定期举办人才招聘会，提供人才培训；③提供政策咨询服务，加强政策宣传和解读</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五、基层社会服务建设方面：①做好社会救助，保障困难群众基本生活；②推进居家养老服务，积极建设社区老年日间照料中心及百姓食堂；③坚持拥军优属，做好退役军人服务保障工作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六、环境卫生整治方面：①加强生态环境保护，每月至少召开一次宣传环境保护的工作</w:t>
            </w:r>
            <w:r>
              <w:rPr>
                <w:rFonts w:hint="eastAsia" w:ascii="宋体" w:hAnsi="宋体"/>
                <w:sz w:val="16"/>
                <w:lang w:eastAsia="zh-CN"/>
              </w:rPr>
              <w:t>会议</w:t>
            </w:r>
            <w:r>
              <w:rPr>
                <w:rFonts w:ascii="宋体" w:hAnsi="宋体" w:eastAsia="宋体"/>
                <w:sz w:val="16"/>
              </w:rPr>
              <w:t>；②加大环境卫生整治力度</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2338FE">
            <w:pPr>
              <w:jc w:val="both"/>
            </w:pPr>
            <w:r>
              <w:rPr>
                <w:rFonts w:ascii="宋体" w:hAnsi="宋体" w:eastAsia="宋体"/>
                <w:sz w:val="16"/>
              </w:rPr>
              <w:t>2024年，在区委、区政府的统一领导下，龙盛街街道办事处围绕各项绩效目标扎实开展工作，取得了一定成效，现将年度绩效目标实际完成情况汇报如下：</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一、全面从严治党方面:严格按照每月1次的频率开展党务工作指导检查，全年共开展12次;成功建设1个国际化社区——红光山南社区。</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维护稳定方面:加强了对流动人口和出租房屋的动态管理，建立健全了详细的管理台账；规范了网格化组织架构，明确了网格员职责，共划分网格14个，配备网格员84名；每月开展1次安保人员培训，全年共开展12次，有效维护了社会面稳定，群众安全感显著提升。</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三、安全生产方面：积极开展安全教育宣传活动，通过举办安全知识讲座、发放宣传资料、开展应急演练等形式，</w:t>
            </w:r>
            <w:r>
              <w:rPr>
                <w:rFonts w:hint="eastAsia" w:ascii="宋体" w:hAnsi="宋体"/>
                <w:sz w:val="16"/>
                <w:lang w:eastAsia="zh-CN"/>
              </w:rPr>
              <w:t>增强</w:t>
            </w:r>
            <w:r>
              <w:rPr>
                <w:rFonts w:ascii="宋体" w:hAnsi="宋体" w:eastAsia="宋体"/>
                <w:sz w:val="16"/>
              </w:rPr>
              <w:t>全民安全意识；强化安监机构队伍建设，充实了安监人员力量，街道及社区共有安监人员17名；通过开展安全隐患排查整治等工作，强化了安全责任意识。</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推动经济高质量发展方面：持续优化营商环境，建立了企业走访制度，定期走访企业，了解企业需求，帮助企业解决实际问题；定期举办人才招聘会，全年共举办招聘会6场，吸引了100余家企业参与，提供就业岗位500余个，达成就业意向300余人；加强政策宣传和解读，通过举办政策宣讲会、发放政策宣传资料等形式，为企业和群众提供政策咨询服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五、基层社会服务建设方面：做好社会救助工作，保障困难群众基本生活；推进居家养老服务，积极建设社区老年日间照料中心及百姓食堂；坚持拥军优抚，做好退役军人服务保障工作。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六、环境卫生整治方面：严格按照每月至少召开1次宣传环境保护工作会的要求，全年共召开会议12次；加大了环境卫生整治力度，加强了对辖区内环境卫生的日常巡查和清理。</w:t>
            </w:r>
          </w:p>
        </w:tc>
      </w:tr>
      <w:tr w14:paraId="242D353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67282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CD8960">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5ADBF9">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02B264">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B72EB0">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22773F">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EBDE9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6C3951">
            <w:pPr>
              <w:jc w:val="center"/>
            </w:pPr>
            <w:r>
              <w:rPr>
                <w:rFonts w:ascii="宋体" w:hAnsi="宋体" w:eastAsia="宋体"/>
                <w:sz w:val="16"/>
              </w:rPr>
              <w:t>得分</w:t>
            </w:r>
          </w:p>
        </w:tc>
      </w:tr>
      <w:tr w14:paraId="29F7C6C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740080">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AAD82">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137ED7">
            <w:pPr>
              <w:jc w:val="center"/>
            </w:pPr>
            <w:r>
              <w:rPr>
                <w:rFonts w:ascii="宋体" w:hAnsi="宋体" w:eastAsia="宋体"/>
                <w:sz w:val="16"/>
              </w:rPr>
              <w:t>每月开展党务工作指导检查次数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872108">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5D090D">
            <w:pPr>
              <w:jc w:val="center"/>
            </w:pPr>
            <w:r>
              <w:rPr>
                <w:rFonts w:ascii="宋体" w:hAnsi="宋体" w:eastAsia="宋体"/>
                <w:sz w:val="16"/>
              </w:rPr>
              <w:t>龙盛街党函〔2024〕5号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475EEB">
            <w:pPr>
              <w:jc w:val="center"/>
            </w:pPr>
            <w:r>
              <w:rPr>
                <w:rFonts w:ascii="宋体" w:hAnsi="宋体" w:eastAsia="宋体"/>
                <w:sz w:val="16"/>
              </w:rPr>
              <w:tab/>
            </w: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1228C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8D2997">
            <w:pPr>
              <w:jc w:val="center"/>
            </w:pPr>
            <w:r>
              <w:rPr>
                <w:rFonts w:ascii="宋体" w:hAnsi="宋体" w:eastAsia="宋体"/>
                <w:sz w:val="16"/>
              </w:rPr>
              <w:t>30</w:t>
            </w:r>
          </w:p>
        </w:tc>
      </w:tr>
      <w:tr w14:paraId="1C08437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D9783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047E90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21EAE7">
            <w:pPr>
              <w:jc w:val="center"/>
            </w:pPr>
            <w:r>
              <w:rPr>
                <w:rFonts w:ascii="宋体" w:hAnsi="宋体" w:eastAsia="宋体"/>
                <w:sz w:val="16"/>
              </w:rPr>
              <w:t>每月召开宣传环境保护工作会次数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DBABC9">
            <w:pPr>
              <w:jc w:val="center"/>
            </w:pPr>
            <w:r>
              <w:rPr>
                <w:rFonts w:ascii="宋体" w:hAnsi="宋体" w:eastAsia="宋体"/>
                <w:sz w:val="16"/>
              </w:rPr>
              <w:t>&gt;=1次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366BC3">
            <w:pPr>
              <w:jc w:val="center"/>
            </w:pPr>
            <w:r>
              <w:rPr>
                <w:rFonts w:ascii="宋体" w:hAnsi="宋体" w:eastAsia="宋体"/>
                <w:sz w:val="16"/>
              </w:rPr>
              <w:t>龙盛街党函〔2024〕5号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E2411D">
            <w:pPr>
              <w:jc w:val="center"/>
            </w:pPr>
            <w:r>
              <w:rPr>
                <w:rFonts w:ascii="宋体" w:hAnsi="宋体" w:eastAsia="宋体"/>
                <w:sz w:val="16"/>
              </w:rPr>
              <w:tab/>
            </w: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1D1122">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277129">
            <w:pPr>
              <w:jc w:val="center"/>
            </w:pPr>
            <w:r>
              <w:rPr>
                <w:rFonts w:ascii="宋体" w:hAnsi="宋体" w:eastAsia="宋体"/>
                <w:sz w:val="16"/>
              </w:rPr>
              <w:t>30</w:t>
            </w:r>
          </w:p>
        </w:tc>
      </w:tr>
      <w:tr w14:paraId="45D94CC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EC274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CCFCAF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7B1FF8">
            <w:pPr>
              <w:jc w:val="center"/>
            </w:pPr>
            <w:r>
              <w:rPr>
                <w:rFonts w:ascii="宋体" w:hAnsi="宋体" w:eastAsia="宋体"/>
                <w:sz w:val="16"/>
              </w:rPr>
              <w:t>每月对安保人员开展培训次数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2ADE80">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A260A7">
            <w:pPr>
              <w:jc w:val="center"/>
            </w:pPr>
            <w:r>
              <w:rPr>
                <w:rFonts w:ascii="宋体" w:hAnsi="宋体" w:eastAsia="宋体"/>
                <w:sz w:val="16"/>
              </w:rPr>
              <w:t>龙盛街党函〔2024〕5号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DCFFCA">
            <w:pPr>
              <w:jc w:val="center"/>
            </w:pPr>
            <w:r>
              <w:rPr>
                <w:rFonts w:ascii="宋体" w:hAnsi="宋体" w:eastAsia="宋体"/>
                <w:sz w:val="16"/>
              </w:rPr>
              <w:tab/>
            </w: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732140">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F93417">
            <w:pPr>
              <w:jc w:val="center"/>
            </w:pPr>
            <w:r>
              <w:rPr>
                <w:rFonts w:ascii="宋体" w:hAnsi="宋体" w:eastAsia="宋体"/>
                <w:sz w:val="16"/>
              </w:rPr>
              <w:t>30</w:t>
            </w:r>
          </w:p>
        </w:tc>
      </w:tr>
    </w:tbl>
    <w:p w14:paraId="4320D462">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4"/>
        <w:gridCol w:w="624"/>
        <w:gridCol w:w="696"/>
        <w:gridCol w:w="624"/>
        <w:gridCol w:w="632"/>
        <w:gridCol w:w="627"/>
        <w:gridCol w:w="624"/>
        <w:gridCol w:w="627"/>
        <w:gridCol w:w="632"/>
        <w:gridCol w:w="776"/>
        <w:gridCol w:w="627"/>
        <w:gridCol w:w="696"/>
      </w:tblGrid>
      <w:tr w14:paraId="7D50755C">
        <w:tblPrEx>
          <w:tblCellMar>
            <w:top w:w="0" w:type="dxa"/>
            <w:left w:w="108" w:type="dxa"/>
            <w:bottom w:w="0" w:type="dxa"/>
            <w:right w:w="108" w:type="dxa"/>
          </w:tblCellMar>
        </w:tblPrEx>
        <w:tc>
          <w:tcPr>
            <w:tcW w:w="8848" w:type="dxa"/>
            <w:gridSpan w:val="14"/>
            <w:vAlign w:val="center"/>
          </w:tcPr>
          <w:p w14:paraId="6D191303">
            <w:pPr>
              <w:jc w:val="center"/>
            </w:pPr>
            <w:r>
              <w:rPr>
                <w:rFonts w:ascii="宋体" w:hAnsi="宋体" w:eastAsia="宋体"/>
                <w:sz w:val="24"/>
              </w:rPr>
              <w:t>项目支出绩效自评表</w:t>
            </w:r>
          </w:p>
        </w:tc>
      </w:tr>
      <w:tr w14:paraId="097AC33B">
        <w:tblPrEx>
          <w:tblCellMar>
            <w:top w:w="0" w:type="dxa"/>
            <w:left w:w="108" w:type="dxa"/>
            <w:bottom w:w="0" w:type="dxa"/>
            <w:right w:w="108" w:type="dxa"/>
          </w:tblCellMar>
        </w:tblPrEx>
        <w:tc>
          <w:tcPr>
            <w:tcW w:w="8848" w:type="dxa"/>
            <w:gridSpan w:val="14"/>
            <w:vAlign w:val="center"/>
          </w:tcPr>
          <w:p w14:paraId="55151595">
            <w:pPr>
              <w:jc w:val="center"/>
            </w:pPr>
            <w:r>
              <w:rPr>
                <w:rFonts w:ascii="宋体" w:hAnsi="宋体" w:eastAsia="宋体"/>
                <w:sz w:val="24"/>
              </w:rPr>
              <w:t>(2024年度)</w:t>
            </w:r>
          </w:p>
        </w:tc>
      </w:tr>
      <w:tr w14:paraId="6F4526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05D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8CBFBB">
            <w:pPr>
              <w:jc w:val="center"/>
            </w:pPr>
            <w:r>
              <w:rPr>
                <w:rFonts w:hint="eastAsia" w:ascii="宋体" w:hAnsi="宋体"/>
                <w:sz w:val="16"/>
                <w:lang w:eastAsia="zh-CN"/>
              </w:rPr>
              <w:t>“石榴子”</w:t>
            </w:r>
            <w:r>
              <w:rPr>
                <w:rFonts w:ascii="宋体" w:hAnsi="宋体" w:eastAsia="宋体"/>
                <w:sz w:val="16"/>
              </w:rPr>
              <w:t>服务建设资金</w:t>
            </w:r>
          </w:p>
        </w:tc>
      </w:tr>
      <w:tr w14:paraId="744A16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65D2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EDE39D">
            <w:pPr>
              <w:jc w:val="center"/>
            </w:pPr>
            <w:r>
              <w:rPr>
                <w:rFonts w:ascii="宋体" w:hAnsi="宋体" w:eastAsia="宋体"/>
                <w:sz w:val="16"/>
              </w:rPr>
              <w:t>乌鲁木齐市水磨沟区龙盛街片区管理委员会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7EF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51A3A1">
            <w:pPr>
              <w:jc w:val="center"/>
            </w:pPr>
            <w:r>
              <w:rPr>
                <w:rFonts w:ascii="宋体" w:hAnsi="宋体" w:eastAsia="宋体"/>
                <w:sz w:val="16"/>
              </w:rPr>
              <w:t>乌鲁木齐市水磨沟区龙盛街街道办事处</w:t>
            </w:r>
          </w:p>
        </w:tc>
      </w:tr>
      <w:tr w14:paraId="44BE9D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30A92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5EB9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DC6A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0762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97DB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BD35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052A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551D7">
            <w:pPr>
              <w:jc w:val="center"/>
            </w:pPr>
            <w:r>
              <w:rPr>
                <w:rFonts w:ascii="宋体" w:hAnsi="宋体" w:eastAsia="宋体"/>
                <w:sz w:val="16"/>
              </w:rPr>
              <w:t>得分</w:t>
            </w:r>
          </w:p>
        </w:tc>
      </w:tr>
      <w:tr w14:paraId="2CCE9D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0C5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1127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CDBC6">
            <w:pPr>
              <w:jc w:val="center"/>
            </w:pPr>
            <w:r>
              <w:rPr>
                <w:rFonts w:ascii="宋体" w:hAnsi="宋体" w:eastAsia="宋体"/>
                <w:sz w:val="16"/>
              </w:rPr>
              <w:t>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1BE96">
            <w:pPr>
              <w:jc w:val="center"/>
            </w:pPr>
            <w:r>
              <w:rPr>
                <w:rFonts w:ascii="宋体" w:hAnsi="宋体" w:eastAsia="宋体"/>
                <w:sz w:val="16"/>
              </w:rPr>
              <w:t>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93CB1">
            <w:pPr>
              <w:jc w:val="center"/>
            </w:pPr>
            <w:r>
              <w:rPr>
                <w:rFonts w:ascii="宋体" w:hAnsi="宋体" w:eastAsia="宋体"/>
                <w:sz w:val="16"/>
              </w:rPr>
              <w:t>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F4A9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32CC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E26C">
            <w:pPr>
              <w:jc w:val="center"/>
            </w:pPr>
            <w:r>
              <w:rPr>
                <w:rFonts w:ascii="宋体" w:hAnsi="宋体" w:eastAsia="宋体"/>
                <w:sz w:val="16"/>
              </w:rPr>
              <w:t>10.00分</w:t>
            </w:r>
          </w:p>
        </w:tc>
      </w:tr>
      <w:tr w14:paraId="1B723F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82F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4D84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072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EED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0B5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275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FD0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0A61">
            <w:pPr>
              <w:jc w:val="center"/>
            </w:pPr>
            <w:r>
              <w:rPr>
                <w:rFonts w:ascii="宋体" w:hAnsi="宋体" w:eastAsia="宋体"/>
                <w:sz w:val="16"/>
              </w:rPr>
              <w:t>-</w:t>
            </w:r>
          </w:p>
        </w:tc>
      </w:tr>
      <w:tr w14:paraId="660101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C9D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375A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F3192">
            <w:pPr>
              <w:jc w:val="center"/>
            </w:pPr>
            <w:r>
              <w:rPr>
                <w:rFonts w:ascii="宋体" w:hAnsi="宋体" w:eastAsia="宋体"/>
                <w:sz w:val="16"/>
              </w:rPr>
              <w:t>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10355">
            <w:pPr>
              <w:jc w:val="center"/>
            </w:pPr>
            <w:r>
              <w:rPr>
                <w:rFonts w:ascii="宋体" w:hAnsi="宋体" w:eastAsia="宋体"/>
                <w:sz w:val="16"/>
              </w:rPr>
              <w:t>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DACA1">
            <w:pPr>
              <w:jc w:val="center"/>
            </w:pPr>
            <w:r>
              <w:rPr>
                <w:rFonts w:ascii="宋体" w:hAnsi="宋体" w:eastAsia="宋体"/>
                <w:sz w:val="16"/>
              </w:rPr>
              <w:t>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3CC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876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2D49A">
            <w:pPr>
              <w:jc w:val="center"/>
            </w:pPr>
            <w:r>
              <w:rPr>
                <w:rFonts w:ascii="宋体" w:hAnsi="宋体" w:eastAsia="宋体"/>
                <w:sz w:val="16"/>
              </w:rPr>
              <w:t>-</w:t>
            </w:r>
          </w:p>
        </w:tc>
      </w:tr>
      <w:tr w14:paraId="3CEBC9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E79B3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4161B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DBE7F0">
            <w:pPr>
              <w:jc w:val="center"/>
            </w:pPr>
            <w:r>
              <w:rPr>
                <w:rFonts w:ascii="宋体" w:hAnsi="宋体" w:eastAsia="宋体"/>
                <w:sz w:val="16"/>
              </w:rPr>
              <w:t>总体目标完成情况</w:t>
            </w:r>
          </w:p>
        </w:tc>
      </w:tr>
      <w:tr w14:paraId="310501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072E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EBA145">
            <w:pPr>
              <w:jc w:val="both"/>
            </w:pPr>
            <w:r>
              <w:rPr>
                <w:rFonts w:hint="eastAsia" w:ascii="宋体" w:hAnsi="宋体"/>
                <w:sz w:val="16"/>
                <w:lang w:eastAsia="zh-CN"/>
              </w:rPr>
              <w:t>“石榴子”</w:t>
            </w:r>
            <w:r>
              <w:rPr>
                <w:rFonts w:ascii="宋体" w:hAnsi="宋体" w:eastAsia="宋体"/>
                <w:sz w:val="16"/>
              </w:rPr>
              <w:t>服务站建设资金，项目预算3.71万元，主要用于</w:t>
            </w:r>
            <w:r>
              <w:rPr>
                <w:rFonts w:hint="eastAsia" w:ascii="宋体" w:hAnsi="宋体"/>
                <w:sz w:val="16"/>
                <w:lang w:eastAsia="zh-CN"/>
              </w:rPr>
              <w:t>本单位</w:t>
            </w:r>
            <w:r>
              <w:rPr>
                <w:rFonts w:ascii="宋体" w:hAnsi="宋体" w:eastAsia="宋体"/>
                <w:sz w:val="16"/>
              </w:rPr>
              <w:t>苏州路立交桥社区</w:t>
            </w:r>
            <w:r>
              <w:rPr>
                <w:rFonts w:hint="eastAsia" w:ascii="宋体" w:hAnsi="宋体"/>
                <w:sz w:val="16"/>
                <w:lang w:eastAsia="zh-CN"/>
              </w:rPr>
              <w:t>“石榴子”</w:t>
            </w:r>
            <w:r>
              <w:rPr>
                <w:rFonts w:ascii="宋体" w:hAnsi="宋体" w:eastAsia="宋体"/>
                <w:sz w:val="16"/>
              </w:rPr>
              <w:t>服务站的功能室提升打造。项目打造功能室8间，各功能室物品采购3.71万元。功能室提升打造后，将吸引更多辖区群众参与到社区群众文化生活中，有效提升社区服务能力。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6176D6">
            <w:pPr>
              <w:jc w:val="both"/>
            </w:pPr>
            <w:r>
              <w:rPr>
                <w:rFonts w:ascii="宋体" w:hAnsi="宋体" w:eastAsia="宋体"/>
                <w:sz w:val="16"/>
              </w:rPr>
              <w:t>该项目预算资金3.71万元，实际执行3.71万元，执行率为100%，该项目聚焦打造社区功能室，开展各项群众活动，有效提升社区组织管理能力。该项目严格依照计划推进，各项目标顺利达成。通过项目的有效实施，开展了各项群众活动</w:t>
            </w:r>
            <w:r>
              <w:rPr>
                <w:rFonts w:hint="eastAsia" w:ascii="宋体" w:hAnsi="宋体"/>
                <w:sz w:val="16"/>
                <w:lang w:eastAsia="zh-CN"/>
              </w:rPr>
              <w:t>，让更</w:t>
            </w:r>
            <w:r>
              <w:rPr>
                <w:rFonts w:ascii="宋体" w:hAnsi="宋体" w:eastAsia="宋体"/>
                <w:sz w:val="16"/>
              </w:rPr>
              <w:t>多辖区群众参与到社区群众文化生活中，有效提升了社区服务能力。</w:t>
            </w:r>
          </w:p>
        </w:tc>
      </w:tr>
      <w:tr w14:paraId="498F9C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33BA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3FB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F2DB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0EA5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A7AF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5637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118C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1AE1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0B84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4428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11CA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16E0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6B5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4EF6">
            <w:pPr>
              <w:jc w:val="center"/>
            </w:pPr>
            <w:r>
              <w:rPr>
                <w:rFonts w:ascii="宋体" w:hAnsi="宋体" w:eastAsia="宋体"/>
                <w:sz w:val="16"/>
              </w:rPr>
              <w:t>偏差原因分析及改进措施</w:t>
            </w:r>
          </w:p>
        </w:tc>
      </w:tr>
      <w:tr w14:paraId="583CD6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42A4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1883A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FAB75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31C59">
            <w:pPr>
              <w:jc w:val="center"/>
            </w:pPr>
            <w:r>
              <w:rPr>
                <w:rFonts w:ascii="宋体" w:hAnsi="宋体" w:eastAsia="宋体"/>
                <w:sz w:val="16"/>
              </w:rPr>
              <w:t>打造功能室间数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F5600">
            <w:pPr>
              <w:jc w:val="center"/>
            </w:pPr>
            <w:r>
              <w:rPr>
                <w:rFonts w:ascii="宋体" w:hAnsi="宋体" w:eastAsia="宋体"/>
                <w:sz w:val="16"/>
              </w:rPr>
              <w:t>=8间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D26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2583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CBD8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7E2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9A0C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37E32">
            <w:pPr>
              <w:jc w:val="center"/>
            </w:pPr>
            <w:r>
              <w:rPr>
                <w:rFonts w:ascii="宋体" w:hAnsi="宋体" w:eastAsia="宋体"/>
                <w:sz w:val="16"/>
              </w:rPr>
              <w:t>=8间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F85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3ACD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BE1EA">
            <w:pPr>
              <w:jc w:val="center"/>
            </w:pPr>
          </w:p>
        </w:tc>
      </w:tr>
      <w:tr w14:paraId="5EBEA4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AB8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6C7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B40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DFD35">
            <w:pPr>
              <w:jc w:val="center"/>
            </w:pPr>
            <w:r>
              <w:rPr>
                <w:rFonts w:ascii="宋体" w:hAnsi="宋体" w:eastAsia="宋体"/>
                <w:sz w:val="16"/>
              </w:rPr>
              <w:t>社区开展群众活动场次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FFDB1">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822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A495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7A0A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4C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972F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612E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C83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571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A4538">
            <w:pPr>
              <w:jc w:val="center"/>
            </w:pPr>
          </w:p>
        </w:tc>
      </w:tr>
      <w:tr w14:paraId="2A4652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6C8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EF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B3A0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F26D">
            <w:pPr>
              <w:jc w:val="center"/>
            </w:pPr>
            <w:r>
              <w:rPr>
                <w:rFonts w:ascii="宋体" w:hAnsi="宋体" w:eastAsia="宋体"/>
                <w:sz w:val="16"/>
              </w:rPr>
              <w:t>功能室购置物品合格率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67C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3D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4BF0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BA7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6C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BDF4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6EB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9FFB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CAC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98CE">
            <w:pPr>
              <w:jc w:val="center"/>
            </w:pPr>
            <w:r>
              <w:rPr>
                <w:rFonts w:ascii="宋体" w:hAnsi="宋体" w:eastAsia="宋体"/>
                <w:sz w:val="16"/>
              </w:rPr>
              <w:t>由于购置的物品质量都非常好，验收合格率均为100%，设定的目标值为95%，因此存在偏差。</w:t>
            </w:r>
          </w:p>
        </w:tc>
      </w:tr>
      <w:tr w14:paraId="5005D2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BD40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F5B73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5D78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E4593">
            <w:pPr>
              <w:jc w:val="center"/>
            </w:pPr>
            <w:r>
              <w:rPr>
                <w:rFonts w:ascii="宋体" w:hAnsi="宋体" w:eastAsia="宋体"/>
                <w:sz w:val="16"/>
              </w:rPr>
              <w:t>购置空调金额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2C0EB">
            <w:pPr>
              <w:jc w:val="center"/>
            </w:pPr>
            <w:r>
              <w:rPr>
                <w:rFonts w:ascii="宋体" w:hAnsi="宋体" w:eastAsia="宋体"/>
                <w:sz w:val="16"/>
              </w:rPr>
              <w:t>&lt;=1.58万元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D8E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4CF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4951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692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1159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56782">
            <w:pPr>
              <w:jc w:val="center"/>
            </w:pPr>
            <w:r>
              <w:rPr>
                <w:rFonts w:ascii="宋体" w:hAnsi="宋体" w:eastAsia="宋体"/>
                <w:sz w:val="16"/>
              </w:rPr>
              <w:t>=1.58万元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F45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2CFE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BD60E">
            <w:pPr>
              <w:jc w:val="center"/>
            </w:pPr>
          </w:p>
        </w:tc>
      </w:tr>
      <w:tr w14:paraId="2B87A7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099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AB4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0C0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555E9">
            <w:pPr>
              <w:jc w:val="center"/>
            </w:pPr>
            <w:r>
              <w:rPr>
                <w:rFonts w:ascii="宋体" w:hAnsi="宋体" w:eastAsia="宋体"/>
                <w:sz w:val="16"/>
              </w:rPr>
              <w:t>购置桌椅板凳金额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ED09F">
            <w:pPr>
              <w:jc w:val="center"/>
            </w:pPr>
            <w:r>
              <w:rPr>
                <w:rFonts w:ascii="宋体" w:hAnsi="宋体" w:eastAsia="宋体"/>
                <w:sz w:val="16"/>
              </w:rPr>
              <w:t>&lt;=1.64万元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E76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4716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6E31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626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D979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D2B2">
            <w:pPr>
              <w:jc w:val="center"/>
            </w:pPr>
            <w:r>
              <w:rPr>
                <w:rFonts w:ascii="宋体" w:hAnsi="宋体" w:eastAsia="宋体"/>
                <w:sz w:val="16"/>
              </w:rPr>
              <w:t>=1.64万元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EDD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92F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D45FD">
            <w:pPr>
              <w:jc w:val="center"/>
            </w:pPr>
          </w:p>
        </w:tc>
      </w:tr>
      <w:tr w14:paraId="374D3A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173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816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AD5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D4483">
            <w:pPr>
              <w:jc w:val="center"/>
            </w:pPr>
            <w:r>
              <w:rPr>
                <w:rFonts w:ascii="宋体" w:hAnsi="宋体" w:eastAsia="宋体"/>
                <w:sz w:val="16"/>
              </w:rPr>
              <w:t>购置投影仪金额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C6709">
            <w:pPr>
              <w:jc w:val="center"/>
            </w:pPr>
            <w:r>
              <w:rPr>
                <w:rFonts w:ascii="宋体" w:hAnsi="宋体" w:eastAsia="宋体"/>
                <w:sz w:val="16"/>
              </w:rPr>
              <w:t>&lt;=0.49万元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9E8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96A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28FB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2CD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3FD2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1DA2D">
            <w:pPr>
              <w:jc w:val="center"/>
            </w:pPr>
            <w:r>
              <w:rPr>
                <w:rFonts w:ascii="宋体" w:hAnsi="宋体" w:eastAsia="宋体"/>
                <w:sz w:val="16"/>
              </w:rPr>
              <w:t>=0.49万元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FE5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D7F6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6C011">
            <w:pPr>
              <w:jc w:val="center"/>
            </w:pPr>
          </w:p>
        </w:tc>
      </w:tr>
      <w:tr w14:paraId="3D47BE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1F3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E5DA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7F47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379A6">
            <w:pPr>
              <w:jc w:val="center"/>
            </w:pPr>
            <w:r>
              <w:rPr>
                <w:rFonts w:ascii="宋体" w:hAnsi="宋体" w:eastAsia="宋体"/>
                <w:sz w:val="16"/>
              </w:rPr>
              <w:t>社区组织管理能力提升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282C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91DC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3127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C36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197A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DC76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2360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AB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DA0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FD4EC">
            <w:pPr>
              <w:jc w:val="center"/>
            </w:pPr>
          </w:p>
        </w:tc>
      </w:tr>
      <w:tr w14:paraId="450872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913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1C8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CA07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8B50">
            <w:pPr>
              <w:jc w:val="center"/>
            </w:pPr>
            <w:r>
              <w:rPr>
                <w:rFonts w:ascii="宋体" w:hAnsi="宋体" w:eastAsia="宋体"/>
                <w:sz w:val="16"/>
              </w:rPr>
              <w:t>参与</w:t>
            </w:r>
            <w:r>
              <w:rPr>
                <w:rFonts w:hint="eastAsia" w:ascii="宋体" w:hAnsi="宋体"/>
                <w:sz w:val="16"/>
                <w:lang w:eastAsia="zh-CN"/>
              </w:rPr>
              <w:t>社区</w:t>
            </w:r>
            <w:r>
              <w:rPr>
                <w:rFonts w:ascii="宋体" w:hAnsi="宋体" w:eastAsia="宋体"/>
                <w:sz w:val="16"/>
              </w:rPr>
              <w:t>活动群众满意度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2ED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A63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55A5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5B4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4360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B6C5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AF1D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F8E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559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2B57">
            <w:pPr>
              <w:jc w:val="center"/>
            </w:pPr>
          </w:p>
        </w:tc>
      </w:tr>
      <w:tr w14:paraId="72139C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C5D2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6E6F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7047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18A7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80F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9C08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FDC1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64A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5EBD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4CFFC">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164421"/>
        </w:tc>
      </w:tr>
    </w:tbl>
    <w:p w14:paraId="2578A06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96"/>
        <w:gridCol w:w="632"/>
        <w:gridCol w:w="632"/>
        <w:gridCol w:w="632"/>
        <w:gridCol w:w="632"/>
        <w:gridCol w:w="696"/>
        <w:gridCol w:w="632"/>
        <w:gridCol w:w="632"/>
      </w:tblGrid>
      <w:tr w14:paraId="0C7B1EF3">
        <w:tblPrEx>
          <w:tblCellMar>
            <w:top w:w="0" w:type="dxa"/>
            <w:left w:w="108" w:type="dxa"/>
            <w:bottom w:w="0" w:type="dxa"/>
            <w:right w:w="108" w:type="dxa"/>
          </w:tblCellMar>
        </w:tblPrEx>
        <w:tc>
          <w:tcPr>
            <w:tcW w:w="8848" w:type="dxa"/>
            <w:gridSpan w:val="14"/>
            <w:vAlign w:val="center"/>
          </w:tcPr>
          <w:p w14:paraId="1D373928">
            <w:pPr>
              <w:jc w:val="center"/>
            </w:pPr>
            <w:r>
              <w:rPr>
                <w:rFonts w:ascii="宋体" w:hAnsi="宋体" w:eastAsia="宋体"/>
                <w:sz w:val="24"/>
              </w:rPr>
              <w:t>项目支出绩效自评表</w:t>
            </w:r>
          </w:p>
        </w:tc>
      </w:tr>
      <w:tr w14:paraId="21A6E674">
        <w:tblPrEx>
          <w:tblCellMar>
            <w:top w:w="0" w:type="dxa"/>
            <w:left w:w="108" w:type="dxa"/>
            <w:bottom w:w="0" w:type="dxa"/>
            <w:right w:w="108" w:type="dxa"/>
          </w:tblCellMar>
        </w:tblPrEx>
        <w:tc>
          <w:tcPr>
            <w:tcW w:w="8848" w:type="dxa"/>
            <w:gridSpan w:val="14"/>
            <w:vAlign w:val="center"/>
          </w:tcPr>
          <w:p w14:paraId="0257470C">
            <w:pPr>
              <w:jc w:val="center"/>
            </w:pPr>
            <w:r>
              <w:rPr>
                <w:rFonts w:ascii="宋体" w:hAnsi="宋体" w:eastAsia="宋体"/>
                <w:sz w:val="24"/>
              </w:rPr>
              <w:t>(2024年度)</w:t>
            </w:r>
          </w:p>
        </w:tc>
      </w:tr>
      <w:tr w14:paraId="1FC35C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88E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CE2257">
            <w:pPr>
              <w:jc w:val="center"/>
            </w:pPr>
            <w:r>
              <w:rPr>
                <w:rFonts w:ascii="宋体" w:hAnsi="宋体" w:eastAsia="宋体"/>
                <w:sz w:val="16"/>
              </w:rPr>
              <w:t>乌财科教</w:t>
            </w:r>
            <w:r>
              <w:rPr>
                <w:rFonts w:hint="eastAsia" w:ascii="宋体" w:hAnsi="宋体"/>
                <w:sz w:val="16"/>
                <w:lang w:eastAsia="zh-CN"/>
              </w:rPr>
              <w:t>〔2023〕144号</w:t>
            </w:r>
            <w:r>
              <w:rPr>
                <w:rFonts w:ascii="宋体" w:hAnsi="宋体" w:eastAsia="宋体"/>
                <w:sz w:val="16"/>
              </w:rPr>
              <w:t xml:space="preserve"> 关于提前下达中央2024年美术馆、公共图书馆、文化馆[站]免费开放补助资金预算的通知、2024年美术馆、公共图书馆、文化馆（站）免费开放补助区县配套资金</w:t>
            </w:r>
          </w:p>
        </w:tc>
      </w:tr>
      <w:tr w14:paraId="1E1129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DCDC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B74BAB">
            <w:pPr>
              <w:jc w:val="center"/>
            </w:pPr>
            <w:r>
              <w:rPr>
                <w:rFonts w:ascii="宋体" w:hAnsi="宋体" w:eastAsia="宋体"/>
                <w:sz w:val="16"/>
              </w:rPr>
              <w:t>乌鲁木齐市水磨沟区龙盛街片区管理委员会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1BBA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DF0D3D">
            <w:pPr>
              <w:jc w:val="center"/>
            </w:pPr>
            <w:r>
              <w:rPr>
                <w:rFonts w:ascii="宋体" w:hAnsi="宋体" w:eastAsia="宋体"/>
                <w:sz w:val="16"/>
              </w:rPr>
              <w:t>乌鲁木齐市水磨沟区龙盛街街道办事处</w:t>
            </w:r>
          </w:p>
        </w:tc>
      </w:tr>
      <w:tr w14:paraId="2627CA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BDA8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8776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EE6E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C90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0308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E966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E216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A1C6">
            <w:pPr>
              <w:jc w:val="center"/>
            </w:pPr>
            <w:r>
              <w:rPr>
                <w:rFonts w:ascii="宋体" w:hAnsi="宋体" w:eastAsia="宋体"/>
                <w:sz w:val="16"/>
              </w:rPr>
              <w:t>得分</w:t>
            </w:r>
          </w:p>
        </w:tc>
      </w:tr>
      <w:tr w14:paraId="3E03B8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8A4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622F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0070F">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4B65B">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8808B">
            <w:pPr>
              <w:jc w:val="center"/>
            </w:pPr>
            <w:r>
              <w:rPr>
                <w:rFonts w:ascii="宋体" w:hAnsi="宋体" w:eastAsia="宋体"/>
                <w:sz w:val="16"/>
              </w:rPr>
              <w:t>0.93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6FF6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E9FAC">
            <w:pPr>
              <w:jc w:val="center"/>
            </w:pPr>
            <w:r>
              <w:rPr>
                <w:rFonts w:ascii="宋体" w:hAnsi="宋体" w:eastAsia="宋体"/>
                <w:sz w:val="16"/>
              </w:rPr>
              <w:t>20.2%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2731B">
            <w:pPr>
              <w:jc w:val="center"/>
            </w:pPr>
            <w:r>
              <w:rPr>
                <w:rFonts w:ascii="宋体" w:hAnsi="宋体" w:eastAsia="宋体"/>
                <w:sz w:val="16"/>
              </w:rPr>
              <w:t>2.02分</w:t>
            </w:r>
          </w:p>
        </w:tc>
      </w:tr>
      <w:tr w14:paraId="526990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E7B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6CAB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B163B">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E15CE">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2CE8A">
            <w:pPr>
              <w:jc w:val="center"/>
            </w:pPr>
            <w:r>
              <w:rPr>
                <w:rFonts w:ascii="宋体" w:hAnsi="宋体" w:eastAsia="宋体"/>
                <w:sz w:val="16"/>
              </w:rPr>
              <w:t>0.93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753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2B5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DC652">
            <w:pPr>
              <w:jc w:val="center"/>
            </w:pPr>
            <w:r>
              <w:rPr>
                <w:rFonts w:ascii="宋体" w:hAnsi="宋体" w:eastAsia="宋体"/>
                <w:sz w:val="16"/>
              </w:rPr>
              <w:t>-</w:t>
            </w:r>
          </w:p>
        </w:tc>
      </w:tr>
      <w:tr w14:paraId="2DF69D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487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5FE3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2B0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034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B56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C1CE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D98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D8700">
            <w:pPr>
              <w:jc w:val="center"/>
            </w:pPr>
            <w:r>
              <w:rPr>
                <w:rFonts w:ascii="宋体" w:hAnsi="宋体" w:eastAsia="宋体"/>
                <w:sz w:val="16"/>
              </w:rPr>
              <w:t>-</w:t>
            </w:r>
          </w:p>
        </w:tc>
      </w:tr>
      <w:tr w14:paraId="4A073D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DBC5E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B7EBB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D0CBBE">
            <w:pPr>
              <w:jc w:val="center"/>
            </w:pPr>
            <w:r>
              <w:rPr>
                <w:rFonts w:ascii="宋体" w:hAnsi="宋体" w:eastAsia="宋体"/>
                <w:sz w:val="16"/>
              </w:rPr>
              <w:t>总体目标完成情况</w:t>
            </w:r>
          </w:p>
        </w:tc>
      </w:tr>
      <w:tr w14:paraId="3F6ED4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ADCC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A10A8C">
            <w:pPr>
              <w:jc w:val="both"/>
            </w:pPr>
            <w:r>
              <w:rPr>
                <w:rFonts w:ascii="宋体" w:hAnsi="宋体" w:eastAsia="宋体"/>
                <w:sz w:val="16"/>
              </w:rPr>
              <w:t>该项目本年提前下达3.6万元，区级配套1万元，共计4.6万元，涉及8个图书馆，8个文化馆（站）</w:t>
            </w:r>
            <w:r>
              <w:rPr>
                <w:rFonts w:hint="eastAsia" w:ascii="宋体" w:hAnsi="宋体"/>
                <w:sz w:val="16"/>
                <w:lang w:eastAsia="zh-CN"/>
              </w:rPr>
              <w:t>，每</w:t>
            </w:r>
            <w:r>
              <w:rPr>
                <w:rFonts w:ascii="宋体" w:hAnsi="宋体" w:eastAsia="宋体"/>
                <w:sz w:val="16"/>
              </w:rPr>
              <w:t>年计划开展14次以上的文化活动，全民阅读推广次数12次以上，购置图书正版率为100%，文化活动知晓率达95%以上，文化馆（站）活动经费预计支出2.5万元，图书购置费预计支出1.5万元，图书馆、文化馆（站）零星物品购置费计划支出0.6万元，有效保障辖区居民精神文化需求，使辖区居民满意度达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539987">
            <w:pPr>
              <w:jc w:val="both"/>
            </w:pPr>
            <w:r>
              <w:rPr>
                <w:rFonts w:ascii="宋体" w:hAnsi="宋体" w:eastAsia="宋体"/>
                <w:sz w:val="16"/>
              </w:rPr>
              <w:t>实际完成目标：该项目全年预算资金4.6万元，实际执行0.93万元，免费开放街道及社区共计7个文化站、8个图书馆，开放后场馆按计划运营，图书馆藏书丰富、文化馆功能区域齐全。同时，举办读书分享会、文化讲座、红歌比赛、欢庆传统节日等形式多样的活动。经调查，有效保障了辖区居民的精神文化需求，对项目满意度高，有效达成预期目标，为社区文化建设奠定坚实基础。</w:t>
            </w:r>
          </w:p>
        </w:tc>
      </w:tr>
      <w:tr w14:paraId="4CD4DC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D50E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C0DC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5F4E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4346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0660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BCC2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0872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A937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D365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9E54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3CF2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2521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F54F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9BE4C">
            <w:pPr>
              <w:jc w:val="center"/>
            </w:pPr>
            <w:r>
              <w:rPr>
                <w:rFonts w:ascii="宋体" w:hAnsi="宋体" w:eastAsia="宋体"/>
                <w:sz w:val="16"/>
              </w:rPr>
              <w:t>偏差原因分析及改进措施</w:t>
            </w:r>
          </w:p>
        </w:tc>
      </w:tr>
      <w:tr w14:paraId="7ED207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E3924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52D5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F9393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CFD68">
            <w:pPr>
              <w:jc w:val="center"/>
            </w:pPr>
            <w:r>
              <w:rPr>
                <w:rFonts w:ascii="宋体" w:hAnsi="宋体" w:eastAsia="宋体"/>
                <w:sz w:val="16"/>
              </w:rPr>
              <w:t>公共图书馆数量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AA0DD">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334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2F3E3">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BC4D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106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94074">
            <w:pPr>
              <w:jc w:val="center"/>
            </w:pPr>
            <w:r>
              <w:rPr>
                <w:rFonts w:ascii="宋体" w:hAnsi="宋体" w:eastAsia="宋体"/>
                <w:sz w:val="16"/>
              </w:rPr>
              <w:t>正式材料,原始凭证,说明材料,工作资料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DBA87">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3C4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1881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FCCF7">
            <w:pPr>
              <w:jc w:val="center"/>
            </w:pPr>
          </w:p>
        </w:tc>
      </w:tr>
      <w:tr w14:paraId="0AA1E9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F78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FA2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104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91159">
            <w:pPr>
              <w:jc w:val="center"/>
            </w:pPr>
            <w:r>
              <w:rPr>
                <w:rFonts w:ascii="宋体" w:hAnsi="宋体" w:eastAsia="宋体"/>
                <w:sz w:val="16"/>
              </w:rPr>
              <w:t>文化馆（站）数量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4E1D3">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735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B2A11">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BFD4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049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38D0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EECB9">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0FC7F">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165E3">
            <w:pPr>
              <w:jc w:val="center"/>
            </w:pPr>
            <w:r>
              <w:rPr>
                <w:rFonts w:ascii="宋体" w:hAnsi="宋体" w:eastAsia="宋体"/>
                <w:sz w:val="16"/>
              </w:rPr>
              <w:t>6.13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0601B">
            <w:pPr>
              <w:jc w:val="center"/>
            </w:pPr>
            <w:r>
              <w:rPr>
                <w:rFonts w:ascii="宋体" w:hAnsi="宋体" w:eastAsia="宋体"/>
                <w:sz w:val="16"/>
              </w:rPr>
              <w:t>因办公场地</w:t>
            </w:r>
            <w:r>
              <w:rPr>
                <w:rFonts w:hint="eastAsia" w:ascii="宋体" w:hAnsi="宋体"/>
                <w:sz w:val="16"/>
                <w:lang w:eastAsia="zh-CN"/>
              </w:rPr>
              <w:t>减少</w:t>
            </w:r>
            <w:r>
              <w:rPr>
                <w:rFonts w:ascii="宋体" w:hAnsi="宋体" w:eastAsia="宋体"/>
                <w:sz w:val="16"/>
              </w:rPr>
              <w:t>，导致街道文化站没有场地，因此只有7个文化站，所以产生偏差。</w:t>
            </w:r>
          </w:p>
        </w:tc>
      </w:tr>
      <w:tr w14:paraId="0D9D18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7CA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E7D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326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7A02">
            <w:pPr>
              <w:jc w:val="center"/>
            </w:pPr>
            <w:r>
              <w:rPr>
                <w:rFonts w:ascii="宋体" w:hAnsi="宋体" w:eastAsia="宋体"/>
                <w:sz w:val="16"/>
              </w:rPr>
              <w:t>全民阅读推广次数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138FC">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441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64F2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6605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411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D720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53C2E">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DF217">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702A4">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A2488">
            <w:pPr>
              <w:jc w:val="center"/>
            </w:pPr>
            <w:r>
              <w:rPr>
                <w:rFonts w:ascii="宋体" w:hAnsi="宋体" w:eastAsia="宋体"/>
                <w:sz w:val="16"/>
              </w:rPr>
              <w:t>由于本年度</w:t>
            </w:r>
            <w:r>
              <w:rPr>
                <w:rFonts w:hint="eastAsia" w:ascii="宋体" w:hAnsi="宋体"/>
                <w:sz w:val="16"/>
                <w:lang w:eastAsia="zh-CN"/>
              </w:rPr>
              <w:t>的</w:t>
            </w:r>
            <w:r>
              <w:rPr>
                <w:rFonts w:ascii="宋体" w:hAnsi="宋体" w:eastAsia="宋体"/>
                <w:sz w:val="16"/>
              </w:rPr>
              <w:t>工作任务比较重，所以该活动举办</w:t>
            </w:r>
            <w:r>
              <w:rPr>
                <w:rFonts w:hint="eastAsia" w:ascii="宋体" w:hAnsi="宋体"/>
                <w:sz w:val="16"/>
                <w:lang w:eastAsia="zh-CN"/>
              </w:rPr>
              <w:t>得</w:t>
            </w:r>
            <w:r>
              <w:rPr>
                <w:rFonts w:ascii="宋体" w:hAnsi="宋体" w:eastAsia="宋体"/>
                <w:sz w:val="16"/>
              </w:rPr>
              <w:t>较少，因此产生偏差。</w:t>
            </w:r>
          </w:p>
        </w:tc>
      </w:tr>
      <w:tr w14:paraId="05BECA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CD9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F0B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32C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352C9">
            <w:pPr>
              <w:jc w:val="center"/>
            </w:pPr>
            <w:r>
              <w:rPr>
                <w:rFonts w:ascii="宋体" w:hAnsi="宋体" w:eastAsia="宋体"/>
                <w:sz w:val="16"/>
              </w:rPr>
              <w:t>文化馆（站）举办各项文化活动次数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BA1AF">
            <w:pPr>
              <w:jc w:val="center"/>
            </w:pPr>
            <w:r>
              <w:rPr>
                <w:rFonts w:ascii="宋体" w:hAnsi="宋体" w:eastAsia="宋体"/>
                <w:sz w:val="16"/>
              </w:rPr>
              <w:t>&gt;=14次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EB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DBE0A">
            <w:pPr>
              <w:jc w:val="center"/>
            </w:pPr>
            <w:r>
              <w:rPr>
                <w:rFonts w:ascii="宋体" w:hAnsi="宋体" w:eastAsia="宋体"/>
                <w:sz w:val="16"/>
              </w:rPr>
              <w:t>文化馆（站）举办各项文化活动次数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1C8A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2C9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8ED3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60ADA">
            <w:pPr>
              <w:jc w:val="center"/>
            </w:pPr>
            <w:r>
              <w:rPr>
                <w:rFonts w:ascii="宋体" w:hAnsi="宋体" w:eastAsia="宋体"/>
                <w:sz w:val="16"/>
              </w:rPr>
              <w:t>=14次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F2F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B69F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E531F">
            <w:pPr>
              <w:jc w:val="center"/>
            </w:pPr>
          </w:p>
        </w:tc>
      </w:tr>
      <w:tr w14:paraId="6FA5A9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895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85F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83B6F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942A7">
            <w:pPr>
              <w:jc w:val="center"/>
            </w:pPr>
            <w:r>
              <w:rPr>
                <w:rFonts w:ascii="宋体" w:hAnsi="宋体" w:eastAsia="宋体"/>
                <w:sz w:val="16"/>
              </w:rPr>
              <w:t>购置图书正版率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4B3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10D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1C45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2FC3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8C3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6D12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E9B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5315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0B65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C20A2">
            <w:pPr>
              <w:jc w:val="center"/>
            </w:pPr>
            <w:r>
              <w:rPr>
                <w:rFonts w:ascii="宋体" w:hAnsi="宋体" w:eastAsia="宋体"/>
                <w:sz w:val="16"/>
              </w:rPr>
              <w:t>因图书购置未执行，因此图书正版率为0%，所以产生偏差。</w:t>
            </w:r>
          </w:p>
        </w:tc>
      </w:tr>
      <w:tr w14:paraId="031608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CC0A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918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684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EBFB9">
            <w:pPr>
              <w:jc w:val="center"/>
            </w:pPr>
            <w:r>
              <w:rPr>
                <w:rFonts w:ascii="宋体" w:hAnsi="宋体" w:eastAsia="宋体"/>
                <w:sz w:val="16"/>
              </w:rPr>
              <w:t>文化活动知晓率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3DA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0C3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F7C1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2E2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857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382B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2BA0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BF0E0">
            <w:pPr>
              <w:jc w:val="center"/>
            </w:pPr>
            <w:r>
              <w:rPr>
                <w:rFonts w:ascii="宋体" w:hAnsi="宋体" w:eastAsia="宋体"/>
                <w:sz w:val="16"/>
              </w:rPr>
              <w:t>94.74%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DF2F3">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6DD53">
            <w:pPr>
              <w:jc w:val="center"/>
            </w:pPr>
            <w:r>
              <w:rPr>
                <w:rFonts w:ascii="宋体" w:hAnsi="宋体" w:eastAsia="宋体"/>
                <w:sz w:val="16"/>
              </w:rPr>
              <w:t>因宣传方式较为单一，导致知晓活动的居民人数较少，所以知晓率偏低。</w:t>
            </w:r>
          </w:p>
        </w:tc>
      </w:tr>
      <w:tr w14:paraId="3C23E3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48F1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3C770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9846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F3593">
            <w:pPr>
              <w:jc w:val="center"/>
            </w:pPr>
            <w:r>
              <w:rPr>
                <w:rFonts w:ascii="宋体" w:hAnsi="宋体" w:eastAsia="宋体"/>
                <w:sz w:val="16"/>
              </w:rPr>
              <w:t>文化馆（站）活动经费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0D863">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6B6F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49CE9">
            <w:pPr>
              <w:jc w:val="center"/>
            </w:pPr>
            <w:r>
              <w:rPr>
                <w:rFonts w:ascii="宋体" w:hAnsi="宋体" w:eastAsia="宋体"/>
                <w:sz w:val="16"/>
              </w:rPr>
              <w:t>1.06万元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78A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927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2C57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54471">
            <w:pPr>
              <w:jc w:val="center"/>
            </w:pPr>
            <w:r>
              <w:rPr>
                <w:rFonts w:ascii="宋体" w:hAnsi="宋体" w:eastAsia="宋体"/>
                <w:sz w:val="16"/>
              </w:rPr>
              <w:t>=0.49万元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CAEEA">
            <w:pPr>
              <w:jc w:val="center"/>
            </w:pPr>
            <w:r>
              <w:rPr>
                <w:rFonts w:ascii="宋体" w:hAnsi="宋体" w:eastAsia="宋体"/>
                <w:sz w:val="16"/>
              </w:rPr>
              <w:t>19.6%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2BE6E">
            <w:pPr>
              <w:jc w:val="center"/>
            </w:pPr>
            <w:r>
              <w:rPr>
                <w:rFonts w:ascii="宋体" w:hAnsi="宋体" w:eastAsia="宋体"/>
                <w:sz w:val="16"/>
              </w:rPr>
              <w:t>1.96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44799">
            <w:pPr>
              <w:jc w:val="center"/>
            </w:pPr>
            <w:r>
              <w:rPr>
                <w:rFonts w:ascii="宋体" w:hAnsi="宋体" w:eastAsia="宋体"/>
                <w:sz w:val="16"/>
              </w:rPr>
              <w:t>因资金紧张，未能完全执行预算，导致出现偏差。</w:t>
            </w:r>
          </w:p>
        </w:tc>
      </w:tr>
      <w:tr w14:paraId="2EF5CC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545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8B7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4F4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9529D">
            <w:pPr>
              <w:jc w:val="center"/>
            </w:pPr>
            <w:r>
              <w:rPr>
                <w:rFonts w:ascii="宋体" w:hAnsi="宋体" w:eastAsia="宋体"/>
                <w:sz w:val="16"/>
              </w:rPr>
              <w:t>图书购置费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ED092">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98E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4D8E2">
            <w:pPr>
              <w:jc w:val="center"/>
            </w:pPr>
            <w:r>
              <w:rPr>
                <w:rFonts w:ascii="宋体" w:hAnsi="宋体" w:eastAsia="宋体"/>
                <w:sz w:val="16"/>
              </w:rPr>
              <w:t>0.16万元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EEC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816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0539F">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07DD1">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8B2B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29FE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C27D6">
            <w:pPr>
              <w:jc w:val="center"/>
            </w:pPr>
            <w:r>
              <w:rPr>
                <w:rFonts w:ascii="宋体" w:hAnsi="宋体" w:eastAsia="宋体"/>
                <w:sz w:val="16"/>
              </w:rPr>
              <w:t>因资金紧张，未能完全执行预算，导致出现偏差。</w:t>
            </w:r>
          </w:p>
        </w:tc>
      </w:tr>
      <w:tr w14:paraId="76A506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99C6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35F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DEE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851C4">
            <w:pPr>
              <w:jc w:val="center"/>
            </w:pPr>
            <w:r>
              <w:rPr>
                <w:rFonts w:ascii="宋体" w:hAnsi="宋体" w:eastAsia="宋体"/>
                <w:sz w:val="16"/>
              </w:rPr>
              <w:t>图书馆、文化馆（站）零星物品购置费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F1C81">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A419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3350B">
            <w:pPr>
              <w:jc w:val="center"/>
            </w:pPr>
            <w:r>
              <w:rPr>
                <w:rFonts w:ascii="宋体" w:hAnsi="宋体" w:eastAsia="宋体"/>
                <w:sz w:val="16"/>
              </w:rPr>
              <w:t>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AA26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08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94D0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CE2B1">
            <w:pPr>
              <w:jc w:val="center"/>
            </w:pPr>
            <w:r>
              <w:rPr>
                <w:rFonts w:ascii="宋体" w:hAnsi="宋体" w:eastAsia="宋体"/>
                <w:sz w:val="16"/>
              </w:rPr>
              <w:t>=0.44万元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B810A">
            <w:pPr>
              <w:jc w:val="center"/>
            </w:pPr>
            <w:r>
              <w:rPr>
                <w:rFonts w:ascii="宋体" w:hAnsi="宋体" w:eastAsia="宋体"/>
                <w:sz w:val="16"/>
              </w:rPr>
              <w:t>73.33%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62A8E">
            <w:pPr>
              <w:jc w:val="center"/>
            </w:pPr>
            <w:r>
              <w:rPr>
                <w:rFonts w:ascii="宋体" w:hAnsi="宋体" w:eastAsia="宋体"/>
                <w:sz w:val="16"/>
              </w:rPr>
              <w:t>2.93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84047">
            <w:pPr>
              <w:jc w:val="center"/>
            </w:pPr>
            <w:r>
              <w:rPr>
                <w:rFonts w:ascii="宋体" w:hAnsi="宋体" w:eastAsia="宋体"/>
                <w:sz w:val="16"/>
              </w:rPr>
              <w:t>因资金紧张，未能完全执行预算，导致出现偏差。</w:t>
            </w:r>
          </w:p>
        </w:tc>
      </w:tr>
      <w:tr w14:paraId="34492E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09F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2D47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634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A8FCD">
            <w:pPr>
              <w:jc w:val="center"/>
            </w:pPr>
            <w:r>
              <w:rPr>
                <w:rFonts w:ascii="宋体" w:hAnsi="宋体" w:eastAsia="宋体"/>
                <w:sz w:val="16"/>
              </w:rPr>
              <w:t>保障辖区居民精神文化需求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4ABA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BA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5C93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91C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8964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7CF4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837C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2E3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E027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0168">
            <w:pPr>
              <w:jc w:val="center"/>
            </w:pPr>
          </w:p>
        </w:tc>
      </w:tr>
      <w:tr w14:paraId="0AAEBA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34B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1399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963D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9A046">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E5F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3FF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70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364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F752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6A04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06FF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9CE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07B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47D0A">
            <w:pPr>
              <w:jc w:val="center"/>
            </w:pPr>
          </w:p>
        </w:tc>
      </w:tr>
      <w:tr w14:paraId="44556FB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7CAEF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AC12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0975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769F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E6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03D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7D06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138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4A82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9BD64">
            <w:pPr>
              <w:jc w:val="center"/>
            </w:pPr>
            <w:r>
              <w:rPr>
                <w:rFonts w:ascii="宋体" w:hAnsi="宋体" w:eastAsia="宋体"/>
                <w:sz w:val="16"/>
              </w:rPr>
              <w:t>66.22分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EAE192"/>
        </w:tc>
      </w:tr>
    </w:tbl>
    <w:p w14:paraId="779F904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0486D513">
        <w:tblPrEx>
          <w:tblCellMar>
            <w:top w:w="0" w:type="dxa"/>
            <w:left w:w="108" w:type="dxa"/>
            <w:bottom w:w="0" w:type="dxa"/>
            <w:right w:w="108" w:type="dxa"/>
          </w:tblCellMar>
        </w:tblPrEx>
        <w:tc>
          <w:tcPr>
            <w:tcW w:w="8848" w:type="dxa"/>
            <w:gridSpan w:val="14"/>
            <w:vAlign w:val="center"/>
          </w:tcPr>
          <w:p w14:paraId="74B62FEA">
            <w:pPr>
              <w:jc w:val="center"/>
            </w:pPr>
            <w:r>
              <w:rPr>
                <w:rFonts w:ascii="宋体" w:hAnsi="宋体" w:eastAsia="宋体"/>
                <w:sz w:val="24"/>
              </w:rPr>
              <w:t>项目支出绩效自评表</w:t>
            </w:r>
          </w:p>
        </w:tc>
      </w:tr>
      <w:tr w14:paraId="16602CDA">
        <w:tblPrEx>
          <w:tblCellMar>
            <w:top w:w="0" w:type="dxa"/>
            <w:left w:w="108" w:type="dxa"/>
            <w:bottom w:w="0" w:type="dxa"/>
            <w:right w:w="108" w:type="dxa"/>
          </w:tblCellMar>
        </w:tblPrEx>
        <w:tc>
          <w:tcPr>
            <w:tcW w:w="8848" w:type="dxa"/>
            <w:gridSpan w:val="14"/>
            <w:vAlign w:val="center"/>
          </w:tcPr>
          <w:p w14:paraId="4989F626">
            <w:pPr>
              <w:jc w:val="center"/>
            </w:pPr>
            <w:r>
              <w:rPr>
                <w:rFonts w:ascii="宋体" w:hAnsi="宋体" w:eastAsia="宋体"/>
                <w:sz w:val="24"/>
              </w:rPr>
              <w:t>(2024年度)</w:t>
            </w:r>
          </w:p>
        </w:tc>
      </w:tr>
      <w:tr w14:paraId="5E1B4D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A2EA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CE12BA">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w:t>
            </w:r>
          </w:p>
        </w:tc>
      </w:tr>
      <w:tr w14:paraId="6160AF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1FC7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A6C0E8">
            <w:pPr>
              <w:jc w:val="center"/>
            </w:pPr>
            <w:r>
              <w:rPr>
                <w:rFonts w:ascii="宋体" w:hAnsi="宋体" w:eastAsia="宋体"/>
                <w:sz w:val="16"/>
              </w:rPr>
              <w:t>乌鲁木齐市水磨沟区龙盛街片区管理委员会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A293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9E654C">
            <w:pPr>
              <w:jc w:val="center"/>
            </w:pPr>
            <w:r>
              <w:rPr>
                <w:rFonts w:ascii="宋体" w:hAnsi="宋体" w:eastAsia="宋体"/>
                <w:sz w:val="16"/>
              </w:rPr>
              <w:t>乌鲁木齐市水磨沟区龙盛街街道办事处</w:t>
            </w:r>
          </w:p>
        </w:tc>
      </w:tr>
      <w:tr w14:paraId="5F19FB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72FF8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CBE4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1D20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0AB0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978A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B960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EA4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16FFB">
            <w:pPr>
              <w:jc w:val="center"/>
            </w:pPr>
            <w:r>
              <w:rPr>
                <w:rFonts w:ascii="宋体" w:hAnsi="宋体" w:eastAsia="宋体"/>
                <w:sz w:val="16"/>
              </w:rPr>
              <w:t>得分</w:t>
            </w:r>
          </w:p>
        </w:tc>
      </w:tr>
      <w:tr w14:paraId="718F9F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70A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4D4B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C4D16">
            <w:pPr>
              <w:jc w:val="center"/>
            </w:pPr>
            <w:r>
              <w:rPr>
                <w:rFonts w:ascii="宋体" w:hAnsi="宋体" w:eastAsia="宋体"/>
                <w:sz w:val="16"/>
              </w:rPr>
              <w:t>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7589A">
            <w:pPr>
              <w:jc w:val="center"/>
            </w:pPr>
            <w:r>
              <w:rPr>
                <w:rFonts w:ascii="宋体" w:hAnsi="宋体" w:eastAsia="宋体"/>
                <w:sz w:val="16"/>
              </w:rPr>
              <w:t>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26049">
            <w:pPr>
              <w:jc w:val="center"/>
            </w:pPr>
            <w:r>
              <w:rPr>
                <w:rFonts w:ascii="宋体" w:hAnsi="宋体" w:eastAsia="宋体"/>
                <w:sz w:val="16"/>
              </w:rPr>
              <w:t>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F5E0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FC24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68B9">
            <w:pPr>
              <w:jc w:val="center"/>
            </w:pPr>
            <w:r>
              <w:rPr>
                <w:rFonts w:ascii="宋体" w:hAnsi="宋体" w:eastAsia="宋体"/>
                <w:sz w:val="16"/>
              </w:rPr>
              <w:t>10.00分</w:t>
            </w:r>
          </w:p>
        </w:tc>
      </w:tr>
      <w:tr w14:paraId="167300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154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B4E8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64B35">
            <w:pPr>
              <w:jc w:val="center"/>
            </w:pPr>
            <w:r>
              <w:rPr>
                <w:rFonts w:ascii="宋体" w:hAnsi="宋体" w:eastAsia="宋体"/>
                <w:sz w:val="16"/>
              </w:rPr>
              <w:t>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1D8AA">
            <w:pPr>
              <w:jc w:val="center"/>
            </w:pPr>
            <w:r>
              <w:rPr>
                <w:rFonts w:ascii="宋体" w:hAnsi="宋体" w:eastAsia="宋体"/>
                <w:sz w:val="16"/>
              </w:rPr>
              <w:t>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043E5">
            <w:pPr>
              <w:jc w:val="center"/>
            </w:pPr>
            <w:r>
              <w:rPr>
                <w:rFonts w:ascii="宋体" w:hAnsi="宋体" w:eastAsia="宋体"/>
                <w:sz w:val="16"/>
              </w:rPr>
              <w:t>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2EB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F5C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7C09D">
            <w:pPr>
              <w:jc w:val="center"/>
            </w:pPr>
            <w:r>
              <w:rPr>
                <w:rFonts w:ascii="宋体" w:hAnsi="宋体" w:eastAsia="宋体"/>
                <w:sz w:val="16"/>
              </w:rPr>
              <w:t>-</w:t>
            </w:r>
          </w:p>
        </w:tc>
      </w:tr>
      <w:tr w14:paraId="3B0D13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B1D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EDA9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942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71E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A3B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BA0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550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33FD">
            <w:pPr>
              <w:jc w:val="center"/>
            </w:pPr>
            <w:r>
              <w:rPr>
                <w:rFonts w:ascii="宋体" w:hAnsi="宋体" w:eastAsia="宋体"/>
                <w:sz w:val="16"/>
              </w:rPr>
              <w:t>-</w:t>
            </w:r>
          </w:p>
        </w:tc>
      </w:tr>
      <w:tr w14:paraId="54B3EF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2EBFF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08C1A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F2DF0B">
            <w:pPr>
              <w:jc w:val="center"/>
            </w:pPr>
            <w:r>
              <w:rPr>
                <w:rFonts w:ascii="宋体" w:hAnsi="宋体" w:eastAsia="宋体"/>
                <w:sz w:val="16"/>
              </w:rPr>
              <w:t>总体目标完成情况</w:t>
            </w:r>
          </w:p>
        </w:tc>
      </w:tr>
      <w:tr w14:paraId="57D3CE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FBA6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5B2D18">
            <w:pPr>
              <w:jc w:val="both"/>
            </w:pPr>
            <w:r>
              <w:rPr>
                <w:rFonts w:ascii="宋体" w:hAnsi="宋体" w:eastAsia="宋体"/>
                <w:sz w:val="16"/>
              </w:rPr>
              <w:t>该经费主要用于</w:t>
            </w:r>
            <w:r>
              <w:rPr>
                <w:rFonts w:hint="eastAsia" w:ascii="宋体" w:hAnsi="宋体"/>
                <w:sz w:val="16"/>
                <w:lang w:eastAsia="zh-CN"/>
              </w:rPr>
              <w:t>基层</w:t>
            </w:r>
            <w:r>
              <w:rPr>
                <w:rFonts w:ascii="宋体" w:hAnsi="宋体" w:eastAsia="宋体"/>
                <w:sz w:val="16"/>
              </w:rPr>
              <w:t>改善基层人大办公条件，本年为会盛巷社区人大工作站及新跃社区人大工作站订购相关报刊订购报刊、制作人大牌匾，采购办公用品等，报刊费用预计2016元，人大牌匾制作预计560元，购置办公用品724元，通过报刊及办公用品的购置，</w:t>
            </w:r>
            <w:r>
              <w:rPr>
                <w:rFonts w:hint="eastAsia" w:ascii="宋体" w:hAnsi="宋体"/>
                <w:sz w:val="16"/>
                <w:lang w:eastAsia="zh-CN"/>
              </w:rPr>
              <w:t>提高</w:t>
            </w:r>
            <w:r>
              <w:rPr>
                <w:rFonts w:ascii="宋体" w:hAnsi="宋体" w:eastAsia="宋体"/>
                <w:sz w:val="16"/>
              </w:rPr>
              <w:t>基层人大办公效率及整体效能。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84FD84">
            <w:pPr>
              <w:jc w:val="both"/>
            </w:pPr>
            <w:r>
              <w:rPr>
                <w:rFonts w:ascii="宋体" w:hAnsi="宋体" w:eastAsia="宋体"/>
                <w:sz w:val="16"/>
              </w:rPr>
              <w:t>该项目预算资金0.33万元，实际执行0.33万元，执行率为100%，该项目聚焦改善人大站点办公环境、提升办公效率与整体效能。该项目严格依照计划推进，各项目标顺利达成。通过项目的有效实施，我街道2个基层人大站点办公条件显著改善，办公效率大幅提升，为人大代表履职与服务群众奠定了坚实基础，</w:t>
            </w:r>
          </w:p>
        </w:tc>
      </w:tr>
      <w:tr w14:paraId="27EA61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072F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B6C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810B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0B1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1972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263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159E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05D9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D52D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1A39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D57F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0564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35BD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5B0D2">
            <w:pPr>
              <w:jc w:val="center"/>
            </w:pPr>
            <w:r>
              <w:rPr>
                <w:rFonts w:ascii="宋体" w:hAnsi="宋体" w:eastAsia="宋体"/>
                <w:sz w:val="16"/>
              </w:rPr>
              <w:t>偏差原因分析及改进措施</w:t>
            </w:r>
          </w:p>
        </w:tc>
      </w:tr>
      <w:tr w14:paraId="237B6E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CBAF2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C054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77C5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624CE">
            <w:pPr>
              <w:jc w:val="center"/>
            </w:pPr>
            <w:r>
              <w:rPr>
                <w:rFonts w:ascii="宋体" w:hAnsi="宋体" w:eastAsia="宋体"/>
                <w:sz w:val="16"/>
              </w:rPr>
              <w:t>基本人大站点数量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672F7">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198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E5F6F">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2F3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B97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335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ACCF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06E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E272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9D70">
            <w:pPr>
              <w:jc w:val="center"/>
            </w:pPr>
          </w:p>
        </w:tc>
      </w:tr>
      <w:tr w14:paraId="7C7682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B035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76B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A0A7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A11B6">
            <w:pPr>
              <w:jc w:val="center"/>
            </w:pPr>
            <w:r>
              <w:rPr>
                <w:rFonts w:ascii="宋体" w:hAnsi="宋体" w:eastAsia="宋体"/>
                <w:sz w:val="16"/>
              </w:rPr>
              <w:t>办公用品采购合格率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EB31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518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5776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E21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FDC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11A5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22C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3ED3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C9C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F1A10">
            <w:pPr>
              <w:jc w:val="center"/>
            </w:pPr>
            <w:r>
              <w:rPr>
                <w:rFonts w:ascii="宋体" w:hAnsi="宋体" w:eastAsia="宋体"/>
                <w:sz w:val="16"/>
              </w:rPr>
              <w:t>办公用品采购合格率设置目标值为95%，但因采购的办公用品质量较好，合格率为100%，因此产生偏差。</w:t>
            </w:r>
          </w:p>
        </w:tc>
      </w:tr>
      <w:tr w14:paraId="60A885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C7D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D0D17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2333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0F5F5">
            <w:pPr>
              <w:jc w:val="center"/>
            </w:pPr>
            <w:r>
              <w:rPr>
                <w:rFonts w:ascii="宋体" w:hAnsi="宋体" w:eastAsia="宋体"/>
                <w:sz w:val="16"/>
              </w:rPr>
              <w:t>订购报刊款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A0175">
            <w:pPr>
              <w:jc w:val="center"/>
            </w:pPr>
            <w:r>
              <w:rPr>
                <w:rFonts w:ascii="宋体" w:hAnsi="宋体" w:eastAsia="宋体"/>
                <w:sz w:val="16"/>
              </w:rPr>
              <w:t>=2016元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AA3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3B6E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02D3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B3E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F2C85">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B8B54">
            <w:pPr>
              <w:jc w:val="center"/>
            </w:pPr>
            <w:r>
              <w:rPr>
                <w:rFonts w:ascii="宋体" w:hAnsi="宋体" w:eastAsia="宋体"/>
                <w:sz w:val="16"/>
              </w:rPr>
              <w:t>=2016元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ABA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E3A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69D74">
            <w:pPr>
              <w:jc w:val="center"/>
            </w:pPr>
          </w:p>
        </w:tc>
      </w:tr>
      <w:tr w14:paraId="4211EE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F00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2F6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CE4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D96F6">
            <w:pPr>
              <w:jc w:val="center"/>
            </w:pPr>
            <w:r>
              <w:rPr>
                <w:rFonts w:ascii="宋体" w:hAnsi="宋体" w:eastAsia="宋体"/>
                <w:sz w:val="16"/>
              </w:rPr>
              <w:t>人大牌匾款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AD767">
            <w:pPr>
              <w:jc w:val="center"/>
            </w:pPr>
            <w:r>
              <w:rPr>
                <w:rFonts w:ascii="宋体" w:hAnsi="宋体" w:eastAsia="宋体"/>
                <w:sz w:val="16"/>
              </w:rPr>
              <w:t>=560元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76F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CB1A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CF22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ECF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975F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C3A8">
            <w:pPr>
              <w:jc w:val="center"/>
            </w:pPr>
            <w:r>
              <w:rPr>
                <w:rFonts w:ascii="宋体" w:hAnsi="宋体" w:eastAsia="宋体"/>
                <w:sz w:val="16"/>
              </w:rPr>
              <w:t>=560元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185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91B7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8317B">
            <w:pPr>
              <w:jc w:val="center"/>
            </w:pPr>
          </w:p>
        </w:tc>
      </w:tr>
      <w:tr w14:paraId="0B2F3D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749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801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0F16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C81D9">
            <w:pPr>
              <w:jc w:val="center"/>
            </w:pPr>
            <w:r>
              <w:rPr>
                <w:rFonts w:ascii="宋体" w:hAnsi="宋体" w:eastAsia="宋体"/>
                <w:sz w:val="16"/>
              </w:rPr>
              <w:t>购置办公用品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9EB03">
            <w:pPr>
              <w:jc w:val="center"/>
            </w:pPr>
            <w:r>
              <w:rPr>
                <w:rFonts w:ascii="宋体" w:hAnsi="宋体" w:eastAsia="宋体"/>
                <w:sz w:val="16"/>
              </w:rPr>
              <w:t>=724元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E1A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4540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2F61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293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B42A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FDBC9">
            <w:pPr>
              <w:jc w:val="center"/>
            </w:pPr>
            <w:r>
              <w:rPr>
                <w:rFonts w:ascii="宋体" w:hAnsi="宋体" w:eastAsia="宋体"/>
                <w:sz w:val="16"/>
              </w:rPr>
              <w:t>=724元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D4B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8DCD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A50C9">
            <w:pPr>
              <w:jc w:val="center"/>
            </w:pPr>
          </w:p>
        </w:tc>
      </w:tr>
      <w:tr w14:paraId="6D0D58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AD1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16A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E55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E07B1">
            <w:pPr>
              <w:jc w:val="center"/>
            </w:pPr>
            <w:r>
              <w:rPr>
                <w:rFonts w:ascii="宋体" w:hAnsi="宋体" w:eastAsia="宋体"/>
                <w:sz w:val="16"/>
              </w:rPr>
              <w:t>改善人大站点办公环境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FDDDF">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842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EF7DC">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F9A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1BF2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7B09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9DE7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598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E53F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3E219">
            <w:pPr>
              <w:jc w:val="center"/>
            </w:pPr>
          </w:p>
        </w:tc>
      </w:tr>
      <w:tr w14:paraId="559275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CA6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67C2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9136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2BFC1">
            <w:pPr>
              <w:jc w:val="center"/>
            </w:pPr>
            <w:r>
              <w:rPr>
                <w:rFonts w:ascii="宋体" w:hAnsi="宋体" w:eastAsia="宋体"/>
                <w:sz w:val="16"/>
              </w:rPr>
              <w:t>人大站点工作人员满意度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6B3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16B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4C80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AED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CD7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2517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8CAF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718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FE9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1E63F">
            <w:pPr>
              <w:jc w:val="center"/>
            </w:pPr>
          </w:p>
        </w:tc>
      </w:tr>
      <w:tr w14:paraId="6A0711F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6D9E7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F885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5480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F0E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BD9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3002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7D03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EC69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8789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882D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8143C"/>
        </w:tc>
      </w:tr>
    </w:tbl>
    <w:p w14:paraId="23DF59BE">
      <w:r>
        <w:br w:type="page"/>
      </w:r>
    </w:p>
    <w:tbl>
      <w:tblPr>
        <w:tblStyle w:val="9"/>
        <w:tblW w:w="9205" w:type="dxa"/>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gridCol w:w="149"/>
      </w:tblGrid>
      <w:tr w14:paraId="08B8B0FF">
        <w:tblPrEx>
          <w:tblCellMar>
            <w:top w:w="0" w:type="dxa"/>
            <w:left w:w="108" w:type="dxa"/>
            <w:bottom w:w="0" w:type="dxa"/>
            <w:right w:w="108" w:type="dxa"/>
          </w:tblCellMar>
        </w:tblPrEx>
        <w:trPr>
          <w:gridAfter w:val="1"/>
          <w:wAfter w:w="149" w:type="dxa"/>
        </w:trPr>
        <w:tc>
          <w:tcPr>
            <w:tcW w:w="9056" w:type="dxa"/>
            <w:gridSpan w:val="14"/>
            <w:vAlign w:val="center"/>
          </w:tcPr>
          <w:p w14:paraId="7719EAE6">
            <w:pPr>
              <w:jc w:val="center"/>
            </w:pPr>
            <w:r>
              <w:rPr>
                <w:rFonts w:ascii="宋体" w:hAnsi="宋体" w:eastAsia="宋体"/>
                <w:sz w:val="24"/>
              </w:rPr>
              <w:t>项目支出绩效自评表</w:t>
            </w:r>
          </w:p>
        </w:tc>
      </w:tr>
      <w:tr w14:paraId="57ACFA02">
        <w:tblPrEx>
          <w:tblCellMar>
            <w:top w:w="0" w:type="dxa"/>
            <w:left w:w="108" w:type="dxa"/>
            <w:bottom w:w="0" w:type="dxa"/>
            <w:right w:w="108" w:type="dxa"/>
          </w:tblCellMar>
        </w:tblPrEx>
        <w:trPr>
          <w:gridAfter w:val="1"/>
          <w:wAfter w:w="149" w:type="dxa"/>
        </w:trPr>
        <w:tc>
          <w:tcPr>
            <w:tcW w:w="9056" w:type="dxa"/>
            <w:gridSpan w:val="14"/>
            <w:vAlign w:val="center"/>
          </w:tcPr>
          <w:p w14:paraId="3DB25494">
            <w:pPr>
              <w:jc w:val="center"/>
            </w:pPr>
            <w:r>
              <w:rPr>
                <w:rFonts w:ascii="宋体" w:hAnsi="宋体" w:eastAsia="宋体"/>
                <w:sz w:val="24"/>
              </w:rPr>
              <w:t>(2024年度)</w:t>
            </w:r>
          </w:p>
        </w:tc>
      </w:tr>
      <w:tr w14:paraId="66317B21">
        <w:tblPrEx>
          <w:tblCellMar>
            <w:top w:w="0" w:type="dxa"/>
            <w:left w:w="108" w:type="dxa"/>
            <w:bottom w:w="0" w:type="dxa"/>
            <w:right w:w="108" w:type="dxa"/>
          </w:tblCellMar>
        </w:tblPrEx>
        <w:trPr>
          <w:gridAfter w:val="1"/>
          <w:wAfter w:w="149" w:type="dxa"/>
        </w:trPr>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2CE9A">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04A3C5">
            <w:pPr>
              <w:jc w:val="center"/>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、乌财企</w:t>
            </w:r>
            <w:r>
              <w:rPr>
                <w:rFonts w:hint="eastAsia" w:ascii="宋体" w:hAnsi="宋体"/>
                <w:sz w:val="16"/>
                <w:lang w:eastAsia="zh-CN"/>
              </w:rPr>
              <w:t>〔2022〕54号</w:t>
            </w:r>
            <w:r>
              <w:rPr>
                <w:rFonts w:ascii="宋体" w:hAnsi="宋体" w:eastAsia="宋体"/>
                <w:sz w:val="16"/>
              </w:rPr>
              <w:t>中列支）</w:t>
            </w:r>
          </w:p>
        </w:tc>
      </w:tr>
      <w:tr w14:paraId="7683CECA">
        <w:tblPrEx>
          <w:tblCellMar>
            <w:top w:w="0" w:type="dxa"/>
            <w:left w:w="108" w:type="dxa"/>
            <w:bottom w:w="0" w:type="dxa"/>
            <w:right w:w="108" w:type="dxa"/>
          </w:tblCellMar>
        </w:tblPrEx>
        <w:trPr>
          <w:gridAfter w:val="1"/>
          <w:wAfter w:w="149" w:type="dxa"/>
        </w:trPr>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C467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B74182">
            <w:pPr>
              <w:jc w:val="center"/>
            </w:pPr>
            <w:r>
              <w:rPr>
                <w:rFonts w:ascii="宋体" w:hAnsi="宋体" w:eastAsia="宋体"/>
                <w:sz w:val="16"/>
              </w:rPr>
              <w:t>乌鲁木齐市水磨沟区龙盛街街道办事处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FD0B1">
            <w:pPr>
              <w:jc w:val="center"/>
            </w:pPr>
            <w:r>
              <w:rPr>
                <w:rFonts w:ascii="宋体" w:hAnsi="宋体" w:eastAsia="宋体"/>
                <w:sz w:val="16"/>
              </w:rPr>
              <w:t>实施单位</w:t>
            </w:r>
          </w:p>
        </w:tc>
        <w:tc>
          <w:tcPr>
            <w:tcW w:w="336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E5C9FA">
            <w:pPr>
              <w:jc w:val="center"/>
            </w:pPr>
            <w:r>
              <w:rPr>
                <w:rFonts w:ascii="宋体" w:hAnsi="宋体" w:eastAsia="宋体"/>
                <w:sz w:val="16"/>
              </w:rPr>
              <w:t>乌鲁木齐市水磨沟区龙盛街街道办事处</w:t>
            </w:r>
          </w:p>
        </w:tc>
      </w:tr>
      <w:tr w14:paraId="1E9B8E55">
        <w:tblPrEx>
          <w:tblCellMar>
            <w:top w:w="0" w:type="dxa"/>
            <w:left w:w="108" w:type="dxa"/>
            <w:bottom w:w="0" w:type="dxa"/>
            <w:right w:w="108" w:type="dxa"/>
          </w:tblCellMar>
        </w:tblPrEx>
        <w:trPr>
          <w:gridAfter w:val="1"/>
          <w:wAfter w:w="149" w:type="dxa"/>
        </w:trPr>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48D5C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99D4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124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8AD7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F8B9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A09AA">
            <w:pPr>
              <w:jc w:val="center"/>
            </w:pPr>
            <w:r>
              <w:rPr>
                <w:rFonts w:ascii="宋体" w:hAnsi="宋体" w:eastAsia="宋体"/>
                <w:sz w:val="16"/>
              </w:rPr>
              <w:t>分值权重</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3EF94">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7579AB">
            <w:pPr>
              <w:jc w:val="center"/>
            </w:pPr>
            <w:r>
              <w:rPr>
                <w:rFonts w:ascii="宋体" w:hAnsi="宋体" w:eastAsia="宋体"/>
                <w:sz w:val="16"/>
              </w:rPr>
              <w:t>得分</w:t>
            </w:r>
          </w:p>
        </w:tc>
      </w:tr>
      <w:tr w14:paraId="0FBB6D6F">
        <w:tblPrEx>
          <w:tblCellMar>
            <w:top w:w="0" w:type="dxa"/>
            <w:left w:w="108" w:type="dxa"/>
            <w:bottom w:w="0" w:type="dxa"/>
            <w:right w:w="108" w:type="dxa"/>
          </w:tblCellMar>
        </w:tblPrEx>
        <w:trPr>
          <w:gridAfter w:val="1"/>
          <w:wAfter w:w="149"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FAE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FDD0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10E27">
            <w:pPr>
              <w:jc w:val="center"/>
            </w:pPr>
            <w:r>
              <w:rPr>
                <w:rFonts w:ascii="宋体" w:hAnsi="宋体" w:eastAsia="宋体"/>
                <w:sz w:val="16"/>
              </w:rPr>
              <w:t>8.05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BB806">
            <w:pPr>
              <w:jc w:val="center"/>
            </w:pPr>
            <w:r>
              <w:rPr>
                <w:rFonts w:ascii="宋体" w:hAnsi="宋体" w:eastAsia="宋体"/>
                <w:sz w:val="16"/>
              </w:rPr>
              <w:t>15.74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66690">
            <w:pPr>
              <w:jc w:val="center"/>
            </w:pPr>
            <w:r>
              <w:rPr>
                <w:rFonts w:ascii="宋体" w:hAnsi="宋体" w:eastAsia="宋体"/>
                <w:sz w:val="16"/>
              </w:rPr>
              <w:t>15.74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A1F04">
            <w:pPr>
              <w:jc w:val="center"/>
            </w:pPr>
            <w:r>
              <w:rPr>
                <w:rFonts w:ascii="宋体" w:hAnsi="宋体" w:eastAsia="宋体"/>
                <w:sz w:val="16"/>
              </w:rPr>
              <w:t>10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B09AA">
            <w:pPr>
              <w:jc w:val="center"/>
            </w:pPr>
            <w:r>
              <w:rPr>
                <w:rFonts w:ascii="宋体" w:hAnsi="宋体" w:eastAsia="宋体"/>
                <w:sz w:val="16"/>
              </w:rPr>
              <w:t>100.0%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E33C49">
            <w:pPr>
              <w:jc w:val="center"/>
            </w:pPr>
            <w:r>
              <w:rPr>
                <w:rFonts w:ascii="宋体" w:hAnsi="宋体" w:eastAsia="宋体"/>
                <w:sz w:val="16"/>
              </w:rPr>
              <w:t>10.00分</w:t>
            </w:r>
          </w:p>
        </w:tc>
      </w:tr>
      <w:tr w14:paraId="138B2D7B">
        <w:tblPrEx>
          <w:tblCellMar>
            <w:top w:w="0" w:type="dxa"/>
            <w:left w:w="108" w:type="dxa"/>
            <w:bottom w:w="0" w:type="dxa"/>
            <w:right w:w="108" w:type="dxa"/>
          </w:tblCellMar>
        </w:tblPrEx>
        <w:trPr>
          <w:gridAfter w:val="1"/>
          <w:wAfter w:w="149"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DDA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6B1B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B524E">
            <w:pPr>
              <w:jc w:val="center"/>
            </w:pPr>
            <w:r>
              <w:rPr>
                <w:rFonts w:ascii="宋体" w:hAnsi="宋体" w:eastAsia="宋体"/>
                <w:sz w:val="16"/>
              </w:rPr>
              <w:t>8.05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E132E">
            <w:pPr>
              <w:jc w:val="center"/>
            </w:pPr>
            <w:r>
              <w:rPr>
                <w:rFonts w:ascii="宋体" w:hAnsi="宋体" w:eastAsia="宋体"/>
                <w:sz w:val="16"/>
              </w:rPr>
              <w:t>15.74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1671A">
            <w:pPr>
              <w:jc w:val="center"/>
            </w:pPr>
            <w:r>
              <w:rPr>
                <w:rFonts w:ascii="宋体" w:hAnsi="宋体" w:eastAsia="宋体"/>
                <w:sz w:val="16"/>
              </w:rPr>
              <w:t>15.74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E3309">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483CF">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81AE84">
            <w:pPr>
              <w:jc w:val="center"/>
            </w:pPr>
            <w:r>
              <w:rPr>
                <w:rFonts w:ascii="宋体" w:hAnsi="宋体" w:eastAsia="宋体"/>
                <w:sz w:val="16"/>
              </w:rPr>
              <w:t>-</w:t>
            </w:r>
          </w:p>
        </w:tc>
      </w:tr>
      <w:tr w14:paraId="7AC4BEEF">
        <w:tblPrEx>
          <w:tblCellMar>
            <w:top w:w="0" w:type="dxa"/>
            <w:left w:w="108" w:type="dxa"/>
            <w:bottom w:w="0" w:type="dxa"/>
            <w:right w:w="108" w:type="dxa"/>
          </w:tblCellMar>
        </w:tblPrEx>
        <w:trPr>
          <w:gridAfter w:val="1"/>
          <w:wAfter w:w="149"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0DA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4F0C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658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884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CC7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9D68F">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909EC">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086FCD">
            <w:pPr>
              <w:jc w:val="center"/>
            </w:pPr>
            <w:r>
              <w:rPr>
                <w:rFonts w:ascii="宋体" w:hAnsi="宋体" w:eastAsia="宋体"/>
                <w:sz w:val="16"/>
              </w:rPr>
              <w:t>-</w:t>
            </w:r>
          </w:p>
        </w:tc>
      </w:tr>
      <w:tr w14:paraId="196C4E42">
        <w:tblPrEx>
          <w:tblCellMar>
            <w:top w:w="0" w:type="dxa"/>
            <w:left w:w="108" w:type="dxa"/>
            <w:bottom w:w="0" w:type="dxa"/>
            <w:right w:w="108" w:type="dxa"/>
          </w:tblCellMar>
        </w:tblPrEx>
        <w:trPr>
          <w:gridAfter w:val="1"/>
          <w:wAfter w:w="149" w:type="dxa"/>
        </w:trPr>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80A34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96C245">
            <w:pPr>
              <w:jc w:val="center"/>
            </w:pPr>
            <w:r>
              <w:rPr>
                <w:rFonts w:ascii="宋体" w:hAnsi="宋体" w:eastAsia="宋体"/>
                <w:sz w:val="16"/>
              </w:rPr>
              <w:t>总体目标</w:t>
            </w:r>
          </w:p>
        </w:tc>
        <w:tc>
          <w:tcPr>
            <w:tcW w:w="400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14A9AB">
            <w:pPr>
              <w:jc w:val="center"/>
            </w:pPr>
            <w:r>
              <w:rPr>
                <w:rFonts w:ascii="宋体" w:hAnsi="宋体" w:eastAsia="宋体"/>
                <w:sz w:val="16"/>
              </w:rPr>
              <w:t>总体目标完成情况</w:t>
            </w:r>
          </w:p>
        </w:tc>
      </w:tr>
      <w:tr w14:paraId="5826631F">
        <w:tblPrEx>
          <w:tblCellMar>
            <w:top w:w="0" w:type="dxa"/>
            <w:left w:w="108" w:type="dxa"/>
            <w:bottom w:w="0" w:type="dxa"/>
            <w:right w:w="108" w:type="dxa"/>
          </w:tblCellMar>
        </w:tblPrEx>
        <w:trPr>
          <w:gridAfter w:val="1"/>
          <w:wAfter w:w="149"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F96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120730">
            <w:pPr>
              <w:jc w:val="both"/>
            </w:pPr>
            <w:r>
              <w:rPr>
                <w:rFonts w:ascii="宋体" w:hAnsi="宋体" w:eastAsia="宋体"/>
                <w:sz w:val="16"/>
              </w:rPr>
              <w:t>消化2023年临时聘用人员经费，涉及社区7个，包括临聘人员工资157416元，解决了临聘198人的工资，确保资金支付及时准确率达到95%以上，提高临聘人员工作积极性，提高临聘人员满意度。</w:t>
            </w:r>
          </w:p>
        </w:tc>
        <w:tc>
          <w:tcPr>
            <w:tcW w:w="400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D1BBEA">
            <w:pPr>
              <w:jc w:val="both"/>
            </w:pPr>
            <w:r>
              <w:rPr>
                <w:rFonts w:ascii="宋体" w:hAnsi="宋体" w:eastAsia="宋体"/>
                <w:sz w:val="16"/>
              </w:rPr>
              <w:t>该项目年初预算资金8.05万元，年中预算调整全年预算数15.74万元，截至评价期实际执行15.74万元，执行率100%，该项目主要化解2023年临聘人员预拨经费。该项目严格依照化解预拨款项推进，顺利达成年初化解计划目标。通过项目有效实施，减少了单位往来挂账，降低了单位挂账率风险。</w:t>
            </w:r>
          </w:p>
        </w:tc>
      </w:tr>
      <w:tr w14:paraId="3F041559">
        <w:tblPrEx>
          <w:tblCellMar>
            <w:top w:w="0" w:type="dxa"/>
            <w:left w:w="108" w:type="dxa"/>
            <w:bottom w:w="0" w:type="dxa"/>
            <w:right w:w="108" w:type="dxa"/>
          </w:tblCellMar>
        </w:tblPrEx>
        <w:trPr>
          <w:gridAfter w:val="1"/>
          <w:wAfter w:w="149" w:type="dxa"/>
        </w:trPr>
        <w:tc>
          <w:tcPr>
            <w:tcW w:w="632" w:type="dxa"/>
            <w:tcBorders>
              <w:top w:val="single" w:color="auto" w:sz="10" w:space="0"/>
              <w:left w:val="single" w:color="auto" w:sz="10" w:space="0"/>
              <w:bottom w:val="single" w:color="auto" w:sz="10" w:space="0"/>
              <w:right w:val="single" w:color="auto" w:sz="10" w:space="0"/>
              <w:insideV w:val="single" w:sz="10" w:space="0"/>
            </w:tcBorders>
          </w:tcPr>
          <w:p w14:paraId="175EA6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4302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D873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7B0B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6D77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3E57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AEA1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7D0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1422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4021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F723A">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89BEC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41666">
            <w:pPr>
              <w:jc w:val="center"/>
            </w:pPr>
            <w:r>
              <w:rPr>
                <w:rFonts w:ascii="宋体" w:hAnsi="宋体" w:eastAsia="宋体"/>
                <w:sz w:val="16"/>
              </w:rPr>
              <w:t>指标得分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EADC2F">
            <w:pPr>
              <w:jc w:val="center"/>
            </w:pPr>
            <w:r>
              <w:rPr>
                <w:rFonts w:ascii="宋体" w:hAnsi="宋体" w:eastAsia="宋体"/>
                <w:sz w:val="16"/>
              </w:rPr>
              <w:t>偏差原因分析及改进措施</w:t>
            </w:r>
          </w:p>
        </w:tc>
      </w:tr>
      <w:tr w14:paraId="385AAD9D">
        <w:tblPrEx>
          <w:tblCellMar>
            <w:top w:w="0" w:type="dxa"/>
            <w:left w:w="108" w:type="dxa"/>
            <w:bottom w:w="0" w:type="dxa"/>
            <w:right w:w="108" w:type="dxa"/>
          </w:tblCellMar>
        </w:tblPrEx>
        <w:trPr>
          <w:gridAfter w:val="1"/>
          <w:wAfter w:w="149" w:type="dxa"/>
        </w:trPr>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55D5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91A4E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64D2E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D5E67">
            <w:pPr>
              <w:jc w:val="center"/>
            </w:pPr>
            <w:r>
              <w:rPr>
                <w:rFonts w:ascii="宋体" w:hAnsi="宋体" w:eastAsia="宋体"/>
                <w:sz w:val="16"/>
              </w:rPr>
              <w:t>临聘工资发放人数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C91D">
            <w:pPr>
              <w:jc w:val="center"/>
            </w:pPr>
            <w:r>
              <w:rPr>
                <w:rFonts w:ascii="宋体" w:hAnsi="宋体" w:eastAsia="宋体"/>
                <w:sz w:val="16"/>
              </w:rPr>
              <w:t>&gt;=198人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3150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CAE7C">
            <w:pPr>
              <w:jc w:val="center"/>
            </w:pPr>
            <w:r>
              <w:rPr>
                <w:rFonts w:ascii="宋体" w:hAnsi="宋体" w:eastAsia="宋体"/>
                <w:sz w:val="16"/>
              </w:rPr>
              <w:t>411人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2FF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0AF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75EB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271FF">
            <w:pPr>
              <w:jc w:val="center"/>
            </w:pPr>
            <w:r>
              <w:rPr>
                <w:rFonts w:ascii="宋体" w:hAnsi="宋体" w:eastAsia="宋体"/>
                <w:sz w:val="16"/>
              </w:rPr>
              <w:t>=241人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49E95D">
            <w:pPr>
              <w:jc w:val="center"/>
            </w:pPr>
            <w:r>
              <w:rPr>
                <w:rFonts w:ascii="宋体" w:hAnsi="宋体" w:eastAsia="宋体"/>
                <w:sz w:val="16"/>
              </w:rPr>
              <w:t>121.72%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BB655">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4D7913">
            <w:pPr>
              <w:jc w:val="center"/>
            </w:pPr>
            <w:r>
              <w:rPr>
                <w:rFonts w:ascii="宋体" w:hAnsi="宋体" w:eastAsia="宋体"/>
                <w:sz w:val="16"/>
              </w:rPr>
              <w:t>因本年有季节工，因此人数较多，产生偏差</w:t>
            </w:r>
          </w:p>
        </w:tc>
      </w:tr>
      <w:tr w14:paraId="717464F0">
        <w:tblPrEx>
          <w:tblCellMar>
            <w:top w:w="0" w:type="dxa"/>
            <w:left w:w="108" w:type="dxa"/>
            <w:bottom w:w="0" w:type="dxa"/>
            <w:right w:w="108" w:type="dxa"/>
          </w:tblCellMar>
        </w:tblPrEx>
        <w:trPr>
          <w:gridAfter w:val="1"/>
          <w:wAfter w:w="149"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1AA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24B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44A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A65C7">
            <w:pPr>
              <w:jc w:val="center"/>
            </w:pPr>
            <w:r>
              <w:rPr>
                <w:rFonts w:ascii="宋体" w:hAnsi="宋体" w:eastAsia="宋体"/>
                <w:sz w:val="16"/>
              </w:rPr>
              <w:t>涉及社区数量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25A2">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5941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C56ED">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9B8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35D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4D904">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9DC02">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6253D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96835">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CD98BA">
            <w:pPr>
              <w:jc w:val="center"/>
            </w:pPr>
          </w:p>
        </w:tc>
      </w:tr>
      <w:tr w14:paraId="742790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440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CFA8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A125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2AF46">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AF44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A73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618B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DE5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E36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A3ADF">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8AC9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19BAA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CA87A">
            <w:pPr>
              <w:jc w:val="center"/>
            </w:pPr>
            <w:r>
              <w:rPr>
                <w:rFonts w:ascii="宋体" w:hAnsi="宋体" w:eastAsia="宋体"/>
                <w:sz w:val="16"/>
              </w:rPr>
              <w:t>10</w:t>
            </w:r>
          </w:p>
        </w:tc>
        <w:tc>
          <w:tcPr>
            <w:tcW w:w="8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4B0AE">
            <w:pPr>
              <w:jc w:val="center"/>
            </w:pPr>
            <w:r>
              <w:rPr>
                <w:rFonts w:ascii="宋体" w:hAnsi="宋体" w:eastAsia="宋体"/>
                <w:sz w:val="16"/>
              </w:rPr>
              <w:t>因指标设置不够精准，实际工资发放准确率为100%，因此产生偏差</w:t>
            </w:r>
          </w:p>
        </w:tc>
      </w:tr>
      <w:tr w14:paraId="0CBEF2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5031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B43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E14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7D8A8">
            <w:pPr>
              <w:jc w:val="center"/>
            </w:pPr>
            <w:r>
              <w:rPr>
                <w:rFonts w:ascii="宋体" w:hAnsi="宋体" w:eastAsia="宋体"/>
                <w:sz w:val="16"/>
              </w:rPr>
              <w:t>临聘人员工作质量合格率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FFAE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1C0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733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A0C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45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839A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0958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D90D3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384EA">
            <w:pPr>
              <w:jc w:val="center"/>
            </w:pPr>
            <w:r>
              <w:rPr>
                <w:rFonts w:ascii="宋体" w:hAnsi="宋体" w:eastAsia="宋体"/>
                <w:sz w:val="16"/>
              </w:rPr>
              <w:t>10</w:t>
            </w:r>
          </w:p>
        </w:tc>
        <w:tc>
          <w:tcPr>
            <w:tcW w:w="8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E9030">
            <w:pPr>
              <w:jc w:val="center"/>
            </w:pPr>
            <w:r>
              <w:rPr>
                <w:rFonts w:ascii="宋体" w:hAnsi="宋体" w:eastAsia="宋体"/>
                <w:sz w:val="16"/>
              </w:rPr>
              <w:t>因为工资发放及时，所以员工满意度较高，工作质量合格率为100%。产生偏差</w:t>
            </w:r>
          </w:p>
        </w:tc>
      </w:tr>
      <w:tr w14:paraId="0F89DB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B0E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C8A3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0BEAF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4E824">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8BFA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A96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E6CB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56B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991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9A75B">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39F4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61F00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6D6B">
            <w:pPr>
              <w:jc w:val="center"/>
            </w:pPr>
            <w:r>
              <w:rPr>
                <w:rFonts w:ascii="宋体" w:hAnsi="宋体" w:eastAsia="宋体"/>
                <w:sz w:val="16"/>
              </w:rPr>
              <w:t>5</w:t>
            </w:r>
          </w:p>
        </w:tc>
        <w:tc>
          <w:tcPr>
            <w:tcW w:w="8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43F45">
            <w:pPr>
              <w:jc w:val="center"/>
            </w:pPr>
            <w:r>
              <w:rPr>
                <w:rFonts w:ascii="宋体" w:hAnsi="宋体" w:eastAsia="宋体"/>
                <w:sz w:val="16"/>
              </w:rPr>
              <w:t>因指标设置不够精准，实际工资发放及时率为100%，因此产生偏差</w:t>
            </w:r>
          </w:p>
        </w:tc>
      </w:tr>
      <w:tr w14:paraId="20479F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EFE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DF4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0A5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CE7B7">
            <w:pPr>
              <w:jc w:val="center"/>
            </w:pPr>
            <w:r>
              <w:rPr>
                <w:rFonts w:ascii="宋体" w:hAnsi="宋体" w:eastAsia="宋体"/>
                <w:sz w:val="16"/>
              </w:rPr>
              <w:t>工资发放次数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983E5">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D0B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3066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B36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16B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BEA5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443DD">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7895C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EED1D">
            <w:pPr>
              <w:jc w:val="center"/>
            </w:pPr>
            <w:r>
              <w:rPr>
                <w:rFonts w:ascii="宋体" w:hAnsi="宋体" w:eastAsia="宋体"/>
                <w:sz w:val="16"/>
              </w:rPr>
              <w:t>5</w:t>
            </w:r>
          </w:p>
        </w:tc>
        <w:tc>
          <w:tcPr>
            <w:tcW w:w="8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AAA26">
            <w:pPr>
              <w:jc w:val="center"/>
            </w:pPr>
          </w:p>
        </w:tc>
      </w:tr>
      <w:tr w14:paraId="357194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9CB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71C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8F1A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96127">
            <w:pPr>
              <w:jc w:val="center"/>
            </w:pPr>
            <w:r>
              <w:rPr>
                <w:rFonts w:ascii="宋体" w:hAnsi="宋体" w:eastAsia="宋体"/>
                <w:sz w:val="16"/>
              </w:rPr>
              <w:t>提高临聘人员工作积极性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DE08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0F6F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2EADE">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B8FA7">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672F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CD565">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1CC95">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8635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95177">
            <w:pPr>
              <w:jc w:val="center"/>
            </w:pPr>
            <w:r>
              <w:rPr>
                <w:rFonts w:ascii="宋体" w:hAnsi="宋体" w:eastAsia="宋体"/>
                <w:sz w:val="16"/>
              </w:rPr>
              <w:t>40</w:t>
            </w:r>
          </w:p>
        </w:tc>
        <w:tc>
          <w:tcPr>
            <w:tcW w:w="8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829F9">
            <w:pPr>
              <w:jc w:val="center"/>
            </w:pPr>
          </w:p>
        </w:tc>
      </w:tr>
      <w:tr w14:paraId="21C0EA3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0CB87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66AE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1ED7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30F6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E8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6503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33B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2A1F77"/>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7768A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20613">
            <w:pPr>
              <w:jc w:val="center"/>
            </w:pPr>
            <w:r>
              <w:rPr>
                <w:rFonts w:ascii="宋体" w:hAnsi="宋体" w:eastAsia="宋体"/>
                <w:sz w:val="16"/>
              </w:rPr>
              <w:t>100分</w:t>
            </w:r>
          </w:p>
        </w:tc>
        <w:tc>
          <w:tcPr>
            <w:tcW w:w="845" w:type="dxa"/>
            <w:gridSpan w:val="2"/>
            <w:tcBorders>
              <w:top w:val="single" w:color="auto" w:sz="10" w:space="0"/>
              <w:left w:val="single" w:color="auto" w:sz="10" w:space="0"/>
              <w:bottom w:val="single" w:color="auto" w:sz="10" w:space="0"/>
              <w:right w:val="single" w:color="auto" w:sz="10" w:space="0"/>
              <w:insideV w:val="single" w:sz="10" w:space="0"/>
            </w:tcBorders>
          </w:tcPr>
          <w:p w14:paraId="6678A413"/>
        </w:tc>
      </w:tr>
    </w:tbl>
    <w:p w14:paraId="44057731">
      <w:r>
        <w:br w:type="page"/>
      </w:r>
    </w:p>
    <w:tbl>
      <w:tblPr>
        <w:tblStyle w:val="9"/>
        <w:tblW w:w="0" w:type="auto"/>
        <w:tblInd w:w="0" w:type="dxa"/>
        <w:tblLayout w:type="autofit"/>
        <w:tblCellMar>
          <w:top w:w="0" w:type="dxa"/>
          <w:left w:w="108" w:type="dxa"/>
          <w:bottom w:w="0" w:type="dxa"/>
          <w:right w:w="108" w:type="dxa"/>
        </w:tblCellMar>
      </w:tblPr>
      <w:tblGrid>
        <w:gridCol w:w="605"/>
        <w:gridCol w:w="561"/>
        <w:gridCol w:w="562"/>
        <w:gridCol w:w="628"/>
        <w:gridCol w:w="1016"/>
        <w:gridCol w:w="562"/>
        <w:gridCol w:w="562"/>
        <w:gridCol w:w="584"/>
        <w:gridCol w:w="562"/>
        <w:gridCol w:w="584"/>
        <w:gridCol w:w="1016"/>
        <w:gridCol w:w="606"/>
        <w:gridCol w:w="584"/>
        <w:gridCol w:w="628"/>
      </w:tblGrid>
      <w:tr w14:paraId="0573B3FC">
        <w:tblPrEx>
          <w:tblCellMar>
            <w:top w:w="0" w:type="dxa"/>
            <w:left w:w="108" w:type="dxa"/>
            <w:bottom w:w="0" w:type="dxa"/>
            <w:right w:w="108" w:type="dxa"/>
          </w:tblCellMar>
        </w:tblPrEx>
        <w:tc>
          <w:tcPr>
            <w:tcW w:w="8848" w:type="dxa"/>
            <w:gridSpan w:val="14"/>
            <w:vAlign w:val="center"/>
          </w:tcPr>
          <w:p w14:paraId="5A1D6C74">
            <w:pPr>
              <w:jc w:val="center"/>
            </w:pPr>
            <w:r>
              <w:rPr>
                <w:rFonts w:ascii="宋体" w:hAnsi="宋体" w:eastAsia="宋体"/>
                <w:sz w:val="24"/>
              </w:rPr>
              <w:t>项目支出绩效自评表</w:t>
            </w:r>
          </w:p>
        </w:tc>
      </w:tr>
      <w:tr w14:paraId="5F4BA7A6">
        <w:tblPrEx>
          <w:tblCellMar>
            <w:top w:w="0" w:type="dxa"/>
            <w:left w:w="108" w:type="dxa"/>
            <w:bottom w:w="0" w:type="dxa"/>
            <w:right w:w="108" w:type="dxa"/>
          </w:tblCellMar>
        </w:tblPrEx>
        <w:tc>
          <w:tcPr>
            <w:tcW w:w="8848" w:type="dxa"/>
            <w:gridSpan w:val="14"/>
            <w:vAlign w:val="center"/>
          </w:tcPr>
          <w:p w14:paraId="4B9D1146">
            <w:pPr>
              <w:jc w:val="center"/>
            </w:pPr>
            <w:r>
              <w:rPr>
                <w:rFonts w:ascii="宋体" w:hAnsi="宋体" w:eastAsia="宋体"/>
                <w:sz w:val="24"/>
              </w:rPr>
              <w:t>(2024年度)</w:t>
            </w:r>
          </w:p>
        </w:tc>
      </w:tr>
      <w:tr w14:paraId="639DDE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21AC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74A0C9">
            <w:pPr>
              <w:jc w:val="center"/>
            </w:pPr>
            <w:r>
              <w:rPr>
                <w:rFonts w:ascii="宋体" w:hAnsi="宋体" w:eastAsia="宋体"/>
                <w:sz w:val="16"/>
              </w:rPr>
              <w:t>消化2023年暂付款</w:t>
            </w:r>
          </w:p>
        </w:tc>
      </w:tr>
      <w:tr w14:paraId="0F22C5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C859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2BB28D">
            <w:pPr>
              <w:jc w:val="center"/>
            </w:pPr>
            <w:r>
              <w:rPr>
                <w:rFonts w:ascii="宋体" w:hAnsi="宋体" w:eastAsia="宋体"/>
                <w:sz w:val="16"/>
              </w:rPr>
              <w:t>乌鲁木齐市水磨沟区龙盛街片区管理委员会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1B16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03C3AD">
            <w:pPr>
              <w:jc w:val="center"/>
            </w:pPr>
            <w:r>
              <w:rPr>
                <w:rFonts w:ascii="宋体" w:hAnsi="宋体" w:eastAsia="宋体"/>
                <w:sz w:val="16"/>
              </w:rPr>
              <w:t>乌鲁木齐市水磨沟区龙盛街街道办事处</w:t>
            </w:r>
          </w:p>
        </w:tc>
      </w:tr>
      <w:tr w14:paraId="5835AF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E90C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18E5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3657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DAE7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3419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ED85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5D3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3285E">
            <w:pPr>
              <w:jc w:val="center"/>
            </w:pPr>
            <w:r>
              <w:rPr>
                <w:rFonts w:ascii="宋体" w:hAnsi="宋体" w:eastAsia="宋体"/>
                <w:sz w:val="16"/>
              </w:rPr>
              <w:t>得分</w:t>
            </w:r>
          </w:p>
        </w:tc>
      </w:tr>
      <w:tr w14:paraId="11BC51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069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6B28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A38FD">
            <w:pPr>
              <w:jc w:val="center"/>
            </w:pPr>
            <w:r>
              <w:rPr>
                <w:rFonts w:ascii="宋体" w:hAnsi="宋体" w:eastAsia="宋体"/>
                <w:sz w:val="16"/>
              </w:rPr>
              <w:t>59.66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5DC32">
            <w:pPr>
              <w:jc w:val="center"/>
            </w:pPr>
            <w:r>
              <w:rPr>
                <w:rFonts w:ascii="宋体" w:hAnsi="宋体" w:eastAsia="宋体"/>
                <w:sz w:val="16"/>
              </w:rPr>
              <w:t>59.66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5A7FD">
            <w:pPr>
              <w:jc w:val="center"/>
            </w:pPr>
            <w:r>
              <w:rPr>
                <w:rFonts w:ascii="宋体" w:hAnsi="宋体" w:eastAsia="宋体"/>
                <w:sz w:val="16"/>
              </w:rPr>
              <w:t>59.66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3329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8CE0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06BC3">
            <w:pPr>
              <w:jc w:val="center"/>
            </w:pPr>
            <w:r>
              <w:rPr>
                <w:rFonts w:ascii="宋体" w:hAnsi="宋体" w:eastAsia="宋体"/>
                <w:sz w:val="16"/>
              </w:rPr>
              <w:t>10.00分</w:t>
            </w:r>
          </w:p>
        </w:tc>
      </w:tr>
      <w:tr w14:paraId="4569B0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134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E411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31736">
            <w:pPr>
              <w:jc w:val="center"/>
            </w:pPr>
            <w:r>
              <w:rPr>
                <w:rFonts w:ascii="宋体" w:hAnsi="宋体" w:eastAsia="宋体"/>
                <w:sz w:val="16"/>
              </w:rPr>
              <w:t>59.66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DC86B">
            <w:pPr>
              <w:jc w:val="center"/>
            </w:pPr>
            <w:r>
              <w:rPr>
                <w:rFonts w:ascii="宋体" w:hAnsi="宋体" w:eastAsia="宋体"/>
                <w:sz w:val="16"/>
              </w:rPr>
              <w:t>59.66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FB2C5">
            <w:pPr>
              <w:jc w:val="center"/>
            </w:pPr>
            <w:r>
              <w:rPr>
                <w:rFonts w:ascii="宋体" w:hAnsi="宋体" w:eastAsia="宋体"/>
                <w:sz w:val="16"/>
              </w:rPr>
              <w:t>59.66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ABF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236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3179">
            <w:pPr>
              <w:jc w:val="center"/>
            </w:pPr>
            <w:r>
              <w:rPr>
                <w:rFonts w:ascii="宋体" w:hAnsi="宋体" w:eastAsia="宋体"/>
                <w:sz w:val="16"/>
              </w:rPr>
              <w:t>-</w:t>
            </w:r>
          </w:p>
        </w:tc>
      </w:tr>
      <w:tr w14:paraId="6D8DCB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A7E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726E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866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ADA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661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9A8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A67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70314">
            <w:pPr>
              <w:jc w:val="center"/>
            </w:pPr>
            <w:r>
              <w:rPr>
                <w:rFonts w:ascii="宋体" w:hAnsi="宋体" w:eastAsia="宋体"/>
                <w:sz w:val="16"/>
              </w:rPr>
              <w:t>-</w:t>
            </w:r>
          </w:p>
        </w:tc>
      </w:tr>
      <w:tr w14:paraId="491DDB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BDF05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5BEA9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A829FA">
            <w:pPr>
              <w:jc w:val="center"/>
            </w:pPr>
            <w:r>
              <w:rPr>
                <w:rFonts w:ascii="宋体" w:hAnsi="宋体" w:eastAsia="宋体"/>
                <w:sz w:val="16"/>
              </w:rPr>
              <w:t>总体目标完成情况</w:t>
            </w:r>
          </w:p>
        </w:tc>
      </w:tr>
      <w:tr w14:paraId="022C96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BEC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B7397F">
            <w:pPr>
              <w:jc w:val="both"/>
            </w:pPr>
            <w:r>
              <w:rPr>
                <w:rFonts w:ascii="宋体" w:hAnsi="宋体" w:eastAsia="宋体"/>
                <w:sz w:val="16"/>
              </w:rPr>
              <w:t>消化中小企业账款，主要用于支付往年欠款；各类造价咨询费，监理费49477.05元;2017年大封闭、警务站工程款238751.04元;八家户、康宁打造软装款272908元;便民站维修款10679.8元;综治制作宣传品等款24782.6元；有效减少信访隐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ED7EB8">
            <w:pPr>
              <w:jc w:val="both"/>
            </w:pPr>
            <w:r>
              <w:rPr>
                <w:rFonts w:ascii="宋体" w:hAnsi="宋体" w:eastAsia="宋体"/>
                <w:sz w:val="16"/>
              </w:rPr>
              <w:t>该项目预算资金59.66万元，</w:t>
            </w:r>
            <w:r>
              <w:rPr>
                <w:rFonts w:hint="eastAsia" w:ascii="宋体" w:hAnsi="宋体"/>
                <w:sz w:val="16"/>
                <w:lang w:eastAsia="zh-CN"/>
              </w:rPr>
              <w:t>截至</w:t>
            </w:r>
            <w:r>
              <w:rPr>
                <w:rFonts w:ascii="宋体" w:hAnsi="宋体" w:eastAsia="宋体"/>
                <w:sz w:val="16"/>
              </w:rPr>
              <w:t>评价期，实际执行59.66万元，执行率为100%，该项目主要用于化解历年欠款，化解矛盾纠纷，减少信访隐患。该项目严格依照计划推进，化解了20个欠款项目，其余各项目标顺利达成。通过项目的有效实施，化解了各类欠款，减少了信访隐患。</w:t>
            </w:r>
          </w:p>
        </w:tc>
      </w:tr>
      <w:tr w14:paraId="08BB88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C245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5A8C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125B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3650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2D5D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8DB5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2989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11D7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9D16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2FAB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310F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5E8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A26C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B8C9">
            <w:pPr>
              <w:jc w:val="center"/>
            </w:pPr>
            <w:r>
              <w:rPr>
                <w:rFonts w:ascii="宋体" w:hAnsi="宋体" w:eastAsia="宋体"/>
                <w:sz w:val="16"/>
              </w:rPr>
              <w:t>偏差原因分析及改进措施</w:t>
            </w:r>
          </w:p>
        </w:tc>
      </w:tr>
      <w:tr w14:paraId="2FC82D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90BCB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DF87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FA60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622D4">
            <w:pPr>
              <w:jc w:val="center"/>
            </w:pPr>
            <w:r>
              <w:rPr>
                <w:rFonts w:ascii="宋体" w:hAnsi="宋体" w:eastAsia="宋体"/>
                <w:sz w:val="16"/>
              </w:rPr>
              <w:t>化解项目数量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EB034">
            <w:pPr>
              <w:jc w:val="center"/>
            </w:pPr>
            <w:r>
              <w:rPr>
                <w:rFonts w:ascii="宋体" w:hAnsi="宋体" w:eastAsia="宋体"/>
                <w:sz w:val="16"/>
              </w:rPr>
              <w:t>=16个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E9F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2B7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0FE3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43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DF6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1BC5">
            <w:pPr>
              <w:jc w:val="center"/>
            </w:pPr>
            <w:r>
              <w:rPr>
                <w:rFonts w:ascii="宋体" w:hAnsi="宋体" w:eastAsia="宋体"/>
                <w:sz w:val="16"/>
              </w:rPr>
              <w:t>=16个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1E1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5195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0B655">
            <w:pPr>
              <w:jc w:val="center"/>
            </w:pPr>
          </w:p>
        </w:tc>
      </w:tr>
      <w:tr w14:paraId="528232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C52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5E0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BF83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1A51D">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234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947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5F6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4AC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A01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3303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751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F31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68B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0498E">
            <w:pPr>
              <w:jc w:val="center"/>
            </w:pPr>
          </w:p>
        </w:tc>
      </w:tr>
      <w:tr w14:paraId="3CB73C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09C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DDC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16E1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5FD56">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BF1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19D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F20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533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E5B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79B3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997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AE7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F0F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B398B">
            <w:pPr>
              <w:jc w:val="center"/>
            </w:pPr>
          </w:p>
        </w:tc>
      </w:tr>
      <w:tr w14:paraId="652F13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14A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F80A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1CA4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FDF65">
            <w:pPr>
              <w:jc w:val="center"/>
            </w:pPr>
            <w:r>
              <w:rPr>
                <w:rFonts w:ascii="宋体" w:hAnsi="宋体" w:eastAsia="宋体"/>
                <w:sz w:val="16"/>
              </w:rPr>
              <w:t>各类造价咨询费，监理费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BB18A">
            <w:pPr>
              <w:jc w:val="center"/>
            </w:pPr>
            <w:r>
              <w:rPr>
                <w:rFonts w:ascii="宋体" w:hAnsi="宋体" w:eastAsia="宋体"/>
                <w:sz w:val="16"/>
              </w:rPr>
              <w:t>=49477.05元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A1D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AD3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D8E2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4E6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97A4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44DF6">
            <w:pPr>
              <w:jc w:val="center"/>
            </w:pPr>
            <w:r>
              <w:rPr>
                <w:rFonts w:ascii="宋体" w:hAnsi="宋体" w:eastAsia="宋体"/>
                <w:sz w:val="16"/>
              </w:rPr>
              <w:t>=49477.05元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49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B8C4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C612">
            <w:pPr>
              <w:jc w:val="center"/>
            </w:pPr>
          </w:p>
        </w:tc>
      </w:tr>
      <w:tr w14:paraId="2E6881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DA1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480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6DE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D34CC">
            <w:pPr>
              <w:jc w:val="center"/>
            </w:pPr>
            <w:r>
              <w:rPr>
                <w:rFonts w:ascii="宋体" w:hAnsi="宋体" w:eastAsia="宋体"/>
                <w:sz w:val="16"/>
              </w:rPr>
              <w:t>2017年大封闭、警务站工程款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CC3B3">
            <w:pPr>
              <w:jc w:val="center"/>
            </w:pPr>
            <w:r>
              <w:rPr>
                <w:rFonts w:ascii="宋体" w:hAnsi="宋体" w:eastAsia="宋体"/>
                <w:sz w:val="16"/>
              </w:rPr>
              <w:t>=238751.04元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EF76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D5A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6563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70D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E218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6B4B">
            <w:pPr>
              <w:jc w:val="center"/>
            </w:pPr>
            <w:r>
              <w:rPr>
                <w:rFonts w:ascii="宋体" w:hAnsi="宋体" w:eastAsia="宋体"/>
                <w:sz w:val="16"/>
              </w:rPr>
              <w:t>=238751.04元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C05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99E2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244DA">
            <w:pPr>
              <w:jc w:val="center"/>
            </w:pPr>
          </w:p>
        </w:tc>
      </w:tr>
      <w:tr w14:paraId="4BE908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B74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4A7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0D9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DE91C">
            <w:pPr>
              <w:jc w:val="center"/>
            </w:pPr>
            <w:r>
              <w:rPr>
                <w:rFonts w:ascii="宋体" w:hAnsi="宋体" w:eastAsia="宋体"/>
                <w:sz w:val="16"/>
              </w:rPr>
              <w:t>八家户、康宁打造软装款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BE1CD">
            <w:pPr>
              <w:jc w:val="center"/>
            </w:pPr>
            <w:r>
              <w:rPr>
                <w:rFonts w:ascii="宋体" w:hAnsi="宋体" w:eastAsia="宋体"/>
                <w:sz w:val="16"/>
              </w:rPr>
              <w:t>=272908元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6339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4E2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7A4A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C96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B7A34">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BE639">
            <w:pPr>
              <w:jc w:val="center"/>
            </w:pPr>
            <w:r>
              <w:rPr>
                <w:rFonts w:ascii="宋体" w:hAnsi="宋体" w:eastAsia="宋体"/>
                <w:sz w:val="16"/>
              </w:rPr>
              <w:t>=272908元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0D2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CA56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7B1D">
            <w:pPr>
              <w:jc w:val="center"/>
            </w:pPr>
          </w:p>
        </w:tc>
      </w:tr>
      <w:tr w14:paraId="36F7FA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9FF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602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829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4AC70">
            <w:pPr>
              <w:jc w:val="center"/>
            </w:pPr>
            <w:r>
              <w:rPr>
                <w:rFonts w:ascii="宋体" w:hAnsi="宋体" w:eastAsia="宋体"/>
                <w:sz w:val="16"/>
              </w:rPr>
              <w:t>便民站维修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C2B61">
            <w:pPr>
              <w:jc w:val="center"/>
            </w:pPr>
            <w:r>
              <w:rPr>
                <w:rFonts w:ascii="宋体" w:hAnsi="宋体" w:eastAsia="宋体"/>
                <w:sz w:val="16"/>
              </w:rPr>
              <w:t>=10679.80元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A46E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24B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BEE8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36B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6D7DD">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CDAB3">
            <w:pPr>
              <w:jc w:val="center"/>
            </w:pPr>
            <w:r>
              <w:rPr>
                <w:rFonts w:ascii="宋体" w:hAnsi="宋体" w:eastAsia="宋体"/>
                <w:sz w:val="16"/>
              </w:rPr>
              <w:t>=10679.8元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524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69FA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81AB5">
            <w:pPr>
              <w:jc w:val="center"/>
            </w:pPr>
          </w:p>
        </w:tc>
      </w:tr>
      <w:tr w14:paraId="37045A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F65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F58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C9B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F7410">
            <w:pPr>
              <w:jc w:val="center"/>
            </w:pPr>
            <w:r>
              <w:rPr>
                <w:rFonts w:ascii="宋体" w:hAnsi="宋体" w:eastAsia="宋体"/>
                <w:sz w:val="16"/>
              </w:rPr>
              <w:t>综治制作宣传品等款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7260B">
            <w:pPr>
              <w:jc w:val="center"/>
            </w:pPr>
            <w:r>
              <w:rPr>
                <w:rFonts w:ascii="宋体" w:hAnsi="宋体" w:eastAsia="宋体"/>
                <w:sz w:val="16"/>
              </w:rPr>
              <w:t>=24782.6元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B2B1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A03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CEFF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265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9D343">
            <w:pPr>
              <w:jc w:val="center"/>
            </w:pPr>
            <w:r>
              <w:rPr>
                <w:rFonts w:ascii="宋体" w:hAnsi="宋体" w:eastAsia="宋体"/>
                <w:sz w:val="16"/>
              </w:rPr>
              <w:t>说明材料,工作资料,原始凭证,正式材料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C81E4">
            <w:pPr>
              <w:jc w:val="center"/>
            </w:pPr>
            <w:r>
              <w:rPr>
                <w:rFonts w:ascii="宋体" w:hAnsi="宋体" w:eastAsia="宋体"/>
                <w:sz w:val="16"/>
              </w:rPr>
              <w:t>=24782.6元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BE1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17DC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4D7CD">
            <w:pPr>
              <w:jc w:val="center"/>
            </w:pPr>
          </w:p>
        </w:tc>
      </w:tr>
      <w:tr w14:paraId="22D3BB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9C4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F00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4CC4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BE066">
            <w:pPr>
              <w:jc w:val="center"/>
            </w:pPr>
            <w:r>
              <w:rPr>
                <w:rFonts w:ascii="宋体" w:hAnsi="宋体" w:eastAsia="宋体"/>
                <w:sz w:val="16"/>
              </w:rPr>
              <w:t>减少信访隐患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F39D2">
            <w:pPr>
              <w:jc w:val="center"/>
            </w:pPr>
            <w:r>
              <w:rPr>
                <w:rFonts w:ascii="宋体" w:hAnsi="宋体" w:eastAsia="宋体"/>
                <w:sz w:val="16"/>
              </w:rPr>
              <w:t>有效减少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BE99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508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0C23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E18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BF31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A71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DFC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6FD3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D5C8E">
            <w:pPr>
              <w:jc w:val="center"/>
            </w:pPr>
          </w:p>
        </w:tc>
      </w:tr>
      <w:tr w14:paraId="3BC2AC3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1EA97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85C3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8F95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9578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070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AFB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50D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4263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FD6A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79E2E">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70E1DB"/>
        </w:tc>
      </w:tr>
    </w:tbl>
    <w:p w14:paraId="44EAFE6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2252FB48">
        <w:tblPrEx>
          <w:tblCellMar>
            <w:top w:w="0" w:type="dxa"/>
            <w:left w:w="108" w:type="dxa"/>
            <w:bottom w:w="0" w:type="dxa"/>
            <w:right w:w="108" w:type="dxa"/>
          </w:tblCellMar>
        </w:tblPrEx>
        <w:tc>
          <w:tcPr>
            <w:tcW w:w="8848" w:type="dxa"/>
            <w:gridSpan w:val="14"/>
            <w:vAlign w:val="center"/>
          </w:tcPr>
          <w:p w14:paraId="5A85F6D8">
            <w:pPr>
              <w:jc w:val="center"/>
            </w:pPr>
            <w:r>
              <w:rPr>
                <w:rFonts w:ascii="宋体" w:hAnsi="宋体" w:eastAsia="宋体"/>
                <w:sz w:val="24"/>
              </w:rPr>
              <w:t>项目支出绩效自评表</w:t>
            </w:r>
          </w:p>
        </w:tc>
      </w:tr>
      <w:tr w14:paraId="09B9907D">
        <w:tblPrEx>
          <w:tblCellMar>
            <w:top w:w="0" w:type="dxa"/>
            <w:left w:w="108" w:type="dxa"/>
            <w:bottom w:w="0" w:type="dxa"/>
            <w:right w:w="108" w:type="dxa"/>
          </w:tblCellMar>
        </w:tblPrEx>
        <w:tc>
          <w:tcPr>
            <w:tcW w:w="8848" w:type="dxa"/>
            <w:gridSpan w:val="14"/>
            <w:vAlign w:val="center"/>
          </w:tcPr>
          <w:p w14:paraId="3847BE85">
            <w:pPr>
              <w:jc w:val="center"/>
            </w:pPr>
            <w:r>
              <w:rPr>
                <w:rFonts w:ascii="宋体" w:hAnsi="宋体" w:eastAsia="宋体"/>
                <w:sz w:val="24"/>
              </w:rPr>
              <w:t>(2024年度)</w:t>
            </w:r>
          </w:p>
        </w:tc>
      </w:tr>
      <w:tr w14:paraId="692EF0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AFC4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B624B0">
            <w:pPr>
              <w:jc w:val="center"/>
            </w:pPr>
            <w:r>
              <w:rPr>
                <w:rFonts w:ascii="宋体" w:hAnsi="宋体" w:eastAsia="宋体"/>
                <w:sz w:val="16"/>
              </w:rPr>
              <w:t>消化中小企业账款</w:t>
            </w:r>
          </w:p>
        </w:tc>
      </w:tr>
      <w:tr w14:paraId="461DD7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F311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3C0FF2">
            <w:pPr>
              <w:jc w:val="center"/>
            </w:pPr>
            <w:r>
              <w:rPr>
                <w:rFonts w:ascii="宋体" w:hAnsi="宋体" w:eastAsia="宋体"/>
                <w:sz w:val="16"/>
              </w:rPr>
              <w:t>乌鲁木齐市水磨沟区龙盛街片区管理委员会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539D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9DEA4E">
            <w:pPr>
              <w:jc w:val="center"/>
            </w:pPr>
            <w:r>
              <w:rPr>
                <w:rFonts w:ascii="宋体" w:hAnsi="宋体" w:eastAsia="宋体"/>
                <w:sz w:val="16"/>
              </w:rPr>
              <w:t>乌鲁木齐市水磨沟区龙盛街街道办事处</w:t>
            </w:r>
          </w:p>
        </w:tc>
      </w:tr>
      <w:tr w14:paraId="6F835A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469D3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ABA6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35B1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A2BF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2FCC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45C1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EA7E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4D7D2">
            <w:pPr>
              <w:jc w:val="center"/>
            </w:pPr>
            <w:r>
              <w:rPr>
                <w:rFonts w:ascii="宋体" w:hAnsi="宋体" w:eastAsia="宋体"/>
                <w:sz w:val="16"/>
              </w:rPr>
              <w:t>得分</w:t>
            </w:r>
          </w:p>
        </w:tc>
      </w:tr>
      <w:tr w14:paraId="1F209D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4FE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DFC9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2F52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F122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53F0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72E5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315A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DCC07">
            <w:pPr>
              <w:jc w:val="center"/>
            </w:pPr>
            <w:r>
              <w:rPr>
                <w:rFonts w:ascii="宋体" w:hAnsi="宋体" w:eastAsia="宋体"/>
                <w:sz w:val="16"/>
              </w:rPr>
              <w:t>10.00分</w:t>
            </w:r>
          </w:p>
        </w:tc>
      </w:tr>
      <w:tr w14:paraId="1AA86D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98B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1300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5F4C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7912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7CD1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9F4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F60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4A7DC">
            <w:pPr>
              <w:jc w:val="center"/>
            </w:pPr>
            <w:r>
              <w:rPr>
                <w:rFonts w:ascii="宋体" w:hAnsi="宋体" w:eastAsia="宋体"/>
                <w:sz w:val="16"/>
              </w:rPr>
              <w:t>-</w:t>
            </w:r>
          </w:p>
        </w:tc>
      </w:tr>
      <w:tr w14:paraId="7BFE2C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0E5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6080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16A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F13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850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DDA9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0BA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48A34">
            <w:pPr>
              <w:jc w:val="center"/>
            </w:pPr>
            <w:r>
              <w:rPr>
                <w:rFonts w:ascii="宋体" w:hAnsi="宋体" w:eastAsia="宋体"/>
                <w:sz w:val="16"/>
              </w:rPr>
              <w:t>-</w:t>
            </w:r>
          </w:p>
        </w:tc>
      </w:tr>
      <w:tr w14:paraId="002D0D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2744D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9FD62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5F69B2">
            <w:pPr>
              <w:jc w:val="center"/>
            </w:pPr>
            <w:r>
              <w:rPr>
                <w:rFonts w:ascii="宋体" w:hAnsi="宋体" w:eastAsia="宋体"/>
                <w:sz w:val="16"/>
              </w:rPr>
              <w:t>总体目标完成情况</w:t>
            </w:r>
          </w:p>
        </w:tc>
      </w:tr>
      <w:tr w14:paraId="394C22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9486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6A081C">
            <w:pPr>
              <w:jc w:val="both"/>
            </w:pPr>
            <w:r>
              <w:rPr>
                <w:rFonts w:ascii="宋体" w:hAnsi="宋体" w:eastAsia="宋体"/>
                <w:sz w:val="16"/>
              </w:rPr>
              <w:t>消化中小企业账款项目资金10万元，主要用于支付以前年度中小企业账款，用于支付2021年龙盛街街道关于对辖区实施封闭施工项目6万元，2023年社区食堂经费4万元，有效化解矛盾纠纷，减少信访事件。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8D268E">
            <w:pPr>
              <w:jc w:val="both"/>
            </w:pPr>
            <w:r>
              <w:rPr>
                <w:rFonts w:ascii="宋体" w:hAnsi="宋体" w:eastAsia="宋体"/>
                <w:sz w:val="16"/>
              </w:rPr>
              <w:t>该项目预算资金10万元，截止评价期，实际执行10万元，执行率为100%，该项目主要用于化解历年欠款，化解矛盾纠纷，减少信访隐患。该项目严格依照计划推进，化解了2个欠款项目，其余各项目标顺利达成。通过项目的有效实施，化解了各类欠款，减少了信访隐患。</w:t>
            </w:r>
          </w:p>
        </w:tc>
      </w:tr>
      <w:tr w14:paraId="65BF56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77C5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7F5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E388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8138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FB15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736C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43F1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9C65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AD8D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0F54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3648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E7DB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A6DB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4E55B">
            <w:pPr>
              <w:jc w:val="center"/>
            </w:pPr>
            <w:r>
              <w:rPr>
                <w:rFonts w:ascii="宋体" w:hAnsi="宋体" w:eastAsia="宋体"/>
                <w:sz w:val="16"/>
              </w:rPr>
              <w:t>偏差原因分析及改进措施</w:t>
            </w:r>
          </w:p>
        </w:tc>
      </w:tr>
      <w:tr w14:paraId="31F90D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5569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F0C85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614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D84B9">
            <w:pPr>
              <w:jc w:val="center"/>
            </w:pPr>
            <w:r>
              <w:rPr>
                <w:rFonts w:ascii="宋体" w:hAnsi="宋体" w:eastAsia="宋体"/>
                <w:sz w:val="16"/>
              </w:rPr>
              <w:t>涉及中小企业数量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BF77B">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6E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71E5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4B30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DC8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AE70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CE7F0">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119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88F4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73664">
            <w:pPr>
              <w:jc w:val="center"/>
            </w:pPr>
          </w:p>
        </w:tc>
      </w:tr>
      <w:tr w14:paraId="21CACF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887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005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ED3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C8324">
            <w:pPr>
              <w:jc w:val="center"/>
            </w:pPr>
            <w:r>
              <w:rPr>
                <w:rFonts w:ascii="宋体" w:hAnsi="宋体" w:eastAsia="宋体"/>
                <w:sz w:val="16"/>
              </w:rPr>
              <w:t>支付欠款准确率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018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54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EEA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3FB8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0D8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3EC0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E2E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28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11DE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C47F9">
            <w:pPr>
              <w:jc w:val="center"/>
            </w:pPr>
          </w:p>
        </w:tc>
      </w:tr>
      <w:tr w14:paraId="7E2829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A53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4C9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BD53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54F72">
            <w:pPr>
              <w:jc w:val="center"/>
            </w:pPr>
            <w:r>
              <w:rPr>
                <w:rFonts w:ascii="宋体" w:hAnsi="宋体" w:eastAsia="宋体"/>
                <w:sz w:val="16"/>
              </w:rPr>
              <w:t>欠款资金支付及时率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053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78D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D5A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99A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13E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1ABD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740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E08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E23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AD34C">
            <w:pPr>
              <w:jc w:val="center"/>
            </w:pPr>
          </w:p>
        </w:tc>
      </w:tr>
      <w:tr w14:paraId="197483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F1B9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7EDD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67C70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B455">
            <w:pPr>
              <w:jc w:val="center"/>
            </w:pPr>
            <w:r>
              <w:rPr>
                <w:rFonts w:ascii="宋体" w:hAnsi="宋体" w:eastAsia="宋体"/>
                <w:sz w:val="16"/>
              </w:rPr>
              <w:t>化解工程类欠款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672A1">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51C9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6A34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14A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8E4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783D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63F14">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B83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567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55BA3">
            <w:pPr>
              <w:jc w:val="center"/>
            </w:pPr>
          </w:p>
        </w:tc>
      </w:tr>
      <w:tr w14:paraId="605E7D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175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575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6D2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2D847">
            <w:pPr>
              <w:jc w:val="center"/>
            </w:pPr>
            <w:r>
              <w:rPr>
                <w:rFonts w:ascii="宋体" w:hAnsi="宋体" w:eastAsia="宋体"/>
                <w:sz w:val="16"/>
              </w:rPr>
              <w:t>化解食堂欠款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36FB8">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CD75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AA60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B55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424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9E83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94EA0">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5D8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2B4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61B30">
            <w:pPr>
              <w:jc w:val="center"/>
            </w:pPr>
          </w:p>
        </w:tc>
      </w:tr>
      <w:tr w14:paraId="2CAF96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DA2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6F81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6CF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59445">
            <w:pPr>
              <w:jc w:val="center"/>
            </w:pPr>
            <w:r>
              <w:rPr>
                <w:rFonts w:ascii="宋体" w:hAnsi="宋体" w:eastAsia="宋体"/>
                <w:sz w:val="16"/>
              </w:rPr>
              <w:t>有效化解矛盾纠纷，减少信访事件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D71A9">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497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D8682">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EAF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1378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EC39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56AC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B27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447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2D30C">
            <w:pPr>
              <w:jc w:val="center"/>
            </w:pPr>
          </w:p>
        </w:tc>
      </w:tr>
      <w:tr w14:paraId="30C763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FE8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577B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853E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1A1E3">
            <w:pPr>
              <w:jc w:val="center"/>
            </w:pPr>
            <w:r>
              <w:rPr>
                <w:rFonts w:ascii="宋体" w:hAnsi="宋体" w:eastAsia="宋体"/>
                <w:sz w:val="16"/>
              </w:rPr>
              <w:t>欠款企业满意度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7AC6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C1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D832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FB4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349C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0383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448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ABE8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B11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81EA1">
            <w:pPr>
              <w:jc w:val="center"/>
            </w:pPr>
            <w:r>
              <w:rPr>
                <w:rFonts w:ascii="宋体" w:hAnsi="宋体" w:eastAsia="宋体"/>
                <w:sz w:val="16"/>
              </w:rPr>
              <w:t>街道通过“一对一”对接、定期进度通报等方式，与企业保持高频次沟通，及时解答疑虑</w:t>
            </w:r>
            <w:r>
              <w:rPr>
                <w:rFonts w:hint="eastAsia" w:ascii="宋体" w:hAnsi="宋体"/>
                <w:sz w:val="16"/>
                <w:lang w:eastAsia="zh-CN"/>
              </w:rPr>
              <w:t>；在</w:t>
            </w:r>
            <w:r>
              <w:rPr>
                <w:rFonts w:ascii="宋体" w:hAnsi="宋体" w:eastAsia="宋体"/>
                <w:sz w:val="16"/>
              </w:rPr>
              <w:t>支付过程中，支付流程等均及时告知企业，降低误解风险；因此企业满意度为100%，出现指标偏差。</w:t>
            </w:r>
          </w:p>
        </w:tc>
      </w:tr>
      <w:tr w14:paraId="1AC7FE8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9F5CE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54F3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68F2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F4DC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189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D0FA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69B3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5E02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8DE1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D974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12E03E"/>
        </w:tc>
      </w:tr>
    </w:tbl>
    <w:p w14:paraId="44319441">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31"/>
        <w:gridCol w:w="776"/>
        <w:gridCol w:w="623"/>
        <w:gridCol w:w="629"/>
        <w:gridCol w:w="626"/>
        <w:gridCol w:w="623"/>
        <w:gridCol w:w="626"/>
        <w:gridCol w:w="696"/>
        <w:gridCol w:w="696"/>
        <w:gridCol w:w="629"/>
        <w:gridCol w:w="630"/>
      </w:tblGrid>
      <w:tr w14:paraId="2D5AF984">
        <w:tblPrEx>
          <w:tblCellMar>
            <w:top w:w="0" w:type="dxa"/>
            <w:left w:w="108" w:type="dxa"/>
            <w:bottom w:w="0" w:type="dxa"/>
            <w:right w:w="108" w:type="dxa"/>
          </w:tblCellMar>
        </w:tblPrEx>
        <w:tc>
          <w:tcPr>
            <w:tcW w:w="8848" w:type="dxa"/>
            <w:gridSpan w:val="14"/>
            <w:vAlign w:val="center"/>
          </w:tcPr>
          <w:p w14:paraId="42B82CE5">
            <w:pPr>
              <w:jc w:val="center"/>
            </w:pPr>
            <w:r>
              <w:rPr>
                <w:rFonts w:ascii="宋体" w:hAnsi="宋体" w:eastAsia="宋体"/>
                <w:sz w:val="24"/>
              </w:rPr>
              <w:t>项目支出绩效自评表</w:t>
            </w:r>
          </w:p>
        </w:tc>
      </w:tr>
      <w:tr w14:paraId="357DED27">
        <w:tblPrEx>
          <w:tblCellMar>
            <w:top w:w="0" w:type="dxa"/>
            <w:left w:w="108" w:type="dxa"/>
            <w:bottom w:w="0" w:type="dxa"/>
            <w:right w:w="108" w:type="dxa"/>
          </w:tblCellMar>
        </w:tblPrEx>
        <w:tc>
          <w:tcPr>
            <w:tcW w:w="8848" w:type="dxa"/>
            <w:gridSpan w:val="14"/>
            <w:vAlign w:val="center"/>
          </w:tcPr>
          <w:p w14:paraId="6371B50F">
            <w:pPr>
              <w:jc w:val="center"/>
            </w:pPr>
            <w:r>
              <w:rPr>
                <w:rFonts w:ascii="宋体" w:hAnsi="宋体" w:eastAsia="宋体"/>
                <w:sz w:val="24"/>
              </w:rPr>
              <w:t>(2024年度)</w:t>
            </w:r>
          </w:p>
        </w:tc>
      </w:tr>
      <w:tr w14:paraId="679F30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869D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506A0A">
            <w:pPr>
              <w:jc w:val="center"/>
            </w:pPr>
            <w:r>
              <w:rPr>
                <w:rFonts w:ascii="宋体" w:hAnsi="宋体" w:eastAsia="宋体"/>
                <w:sz w:val="16"/>
              </w:rPr>
              <w:t>社区经费（80%）</w:t>
            </w:r>
          </w:p>
        </w:tc>
      </w:tr>
      <w:tr w14:paraId="1C7B2D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CB01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77AC75">
            <w:pPr>
              <w:jc w:val="center"/>
            </w:pPr>
            <w:r>
              <w:rPr>
                <w:rFonts w:ascii="宋体" w:hAnsi="宋体" w:eastAsia="宋体"/>
                <w:sz w:val="16"/>
              </w:rPr>
              <w:t>乌鲁木齐市水磨沟区龙盛街片区管理委员会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BEC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0C265A">
            <w:pPr>
              <w:jc w:val="center"/>
            </w:pPr>
            <w:r>
              <w:rPr>
                <w:rFonts w:ascii="宋体" w:hAnsi="宋体" w:eastAsia="宋体"/>
                <w:sz w:val="16"/>
              </w:rPr>
              <w:t>乌鲁木齐市水磨沟区龙盛街街道办事处</w:t>
            </w:r>
          </w:p>
        </w:tc>
      </w:tr>
      <w:tr w14:paraId="28C0D9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36970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E490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F419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1F3E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1379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CE57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5D98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C6263">
            <w:pPr>
              <w:jc w:val="center"/>
            </w:pPr>
            <w:r>
              <w:rPr>
                <w:rFonts w:ascii="宋体" w:hAnsi="宋体" w:eastAsia="宋体"/>
                <w:sz w:val="16"/>
              </w:rPr>
              <w:t>得分</w:t>
            </w:r>
          </w:p>
        </w:tc>
      </w:tr>
      <w:tr w14:paraId="136BCE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3CC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03AA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A3DC8">
            <w:pPr>
              <w:jc w:val="center"/>
            </w:pPr>
            <w:r>
              <w:rPr>
                <w:rFonts w:ascii="宋体" w:hAnsi="宋体" w:eastAsia="宋体"/>
                <w:sz w:val="16"/>
              </w:rPr>
              <w:t>280.00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57048">
            <w:pPr>
              <w:jc w:val="center"/>
            </w:pPr>
            <w:r>
              <w:rPr>
                <w:rFonts w:ascii="宋体" w:hAnsi="宋体" w:eastAsia="宋体"/>
                <w:sz w:val="16"/>
              </w:rPr>
              <w:t>280.00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A8F95">
            <w:pPr>
              <w:jc w:val="center"/>
            </w:pPr>
            <w:r>
              <w:rPr>
                <w:rFonts w:ascii="宋体" w:hAnsi="宋体" w:eastAsia="宋体"/>
                <w:sz w:val="16"/>
              </w:rPr>
              <w:t>69.46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268D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2B8A5">
            <w:pPr>
              <w:jc w:val="center"/>
            </w:pPr>
            <w:r>
              <w:rPr>
                <w:rFonts w:ascii="宋体" w:hAnsi="宋体" w:eastAsia="宋体"/>
                <w:sz w:val="16"/>
              </w:rPr>
              <w:t>24.8%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857F8">
            <w:pPr>
              <w:jc w:val="center"/>
            </w:pPr>
            <w:r>
              <w:rPr>
                <w:rFonts w:ascii="宋体" w:hAnsi="宋体" w:eastAsia="宋体"/>
                <w:sz w:val="16"/>
              </w:rPr>
              <w:t>2.48分</w:t>
            </w:r>
          </w:p>
        </w:tc>
      </w:tr>
      <w:tr w14:paraId="77186C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04A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32C1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0549D">
            <w:pPr>
              <w:jc w:val="center"/>
            </w:pPr>
            <w:r>
              <w:rPr>
                <w:rFonts w:ascii="宋体" w:hAnsi="宋体" w:eastAsia="宋体"/>
                <w:sz w:val="16"/>
              </w:rPr>
              <w:t>280.00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5BAE8">
            <w:pPr>
              <w:jc w:val="center"/>
            </w:pPr>
            <w:r>
              <w:rPr>
                <w:rFonts w:ascii="宋体" w:hAnsi="宋体" w:eastAsia="宋体"/>
                <w:sz w:val="16"/>
              </w:rPr>
              <w:t>280.00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C3504">
            <w:pPr>
              <w:jc w:val="center"/>
            </w:pPr>
            <w:r>
              <w:rPr>
                <w:rFonts w:ascii="宋体" w:hAnsi="宋体" w:eastAsia="宋体"/>
                <w:sz w:val="16"/>
              </w:rPr>
              <w:t>69.46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7CD7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AE0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AFBB4">
            <w:pPr>
              <w:jc w:val="center"/>
            </w:pPr>
            <w:r>
              <w:rPr>
                <w:rFonts w:ascii="宋体" w:hAnsi="宋体" w:eastAsia="宋体"/>
                <w:sz w:val="16"/>
              </w:rPr>
              <w:t>-</w:t>
            </w:r>
          </w:p>
        </w:tc>
      </w:tr>
      <w:tr w14:paraId="56EE83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1F2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3E6F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1EE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BF1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77B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38E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E3B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646E2">
            <w:pPr>
              <w:jc w:val="center"/>
            </w:pPr>
            <w:r>
              <w:rPr>
                <w:rFonts w:ascii="宋体" w:hAnsi="宋体" w:eastAsia="宋体"/>
                <w:sz w:val="16"/>
              </w:rPr>
              <w:t>-</w:t>
            </w:r>
          </w:p>
        </w:tc>
      </w:tr>
      <w:tr w14:paraId="6458EE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78FB4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265B6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7D294F">
            <w:pPr>
              <w:jc w:val="center"/>
            </w:pPr>
            <w:r>
              <w:rPr>
                <w:rFonts w:ascii="宋体" w:hAnsi="宋体" w:eastAsia="宋体"/>
                <w:sz w:val="16"/>
              </w:rPr>
              <w:t>总体目标完成情况</w:t>
            </w:r>
          </w:p>
        </w:tc>
      </w:tr>
      <w:tr w14:paraId="539546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CAB0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742920">
            <w:pPr>
              <w:jc w:val="both"/>
            </w:pPr>
            <w:r>
              <w:rPr>
                <w:rFonts w:ascii="宋体" w:hAnsi="宋体" w:eastAsia="宋体"/>
                <w:sz w:val="16"/>
              </w:rPr>
              <w:t>社区经费（80%）用于社区</w:t>
            </w:r>
            <w:r>
              <w:rPr>
                <w:rFonts w:hint="eastAsia" w:ascii="宋体" w:hAnsi="宋体"/>
                <w:sz w:val="16"/>
                <w:lang w:eastAsia="zh-CN"/>
              </w:rPr>
              <w:t>“两委”班子</w:t>
            </w:r>
            <w:r>
              <w:rPr>
                <w:rFonts w:ascii="宋体" w:hAnsi="宋体" w:eastAsia="宋体"/>
                <w:sz w:val="16"/>
              </w:rPr>
              <w:t>日常工作的开支，开展服务群众、化解历年欠款，开展环境卫生整治，有效提升工作人员服务居民的积极性，更好</w:t>
            </w:r>
            <w:r>
              <w:rPr>
                <w:rFonts w:hint="eastAsia" w:ascii="宋体" w:hAnsi="宋体"/>
                <w:sz w:val="16"/>
                <w:lang w:eastAsia="zh-CN"/>
              </w:rPr>
              <w:t>地</w:t>
            </w:r>
            <w:r>
              <w:rPr>
                <w:rFonts w:ascii="宋体" w:hAnsi="宋体" w:eastAsia="宋体"/>
                <w:sz w:val="16"/>
              </w:rPr>
              <w:t>服务居民，让社区工作人员和辖区居民都能满意。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026150">
            <w:pPr>
              <w:jc w:val="both"/>
            </w:pPr>
            <w:r>
              <w:rPr>
                <w:rFonts w:hint="eastAsia" w:ascii="宋体" w:hAnsi="宋体"/>
                <w:sz w:val="16"/>
                <w:lang w:eastAsia="zh-CN"/>
              </w:rPr>
              <w:t>截至</w:t>
            </w:r>
            <w:r>
              <w:rPr>
                <w:rFonts w:ascii="宋体" w:hAnsi="宋体" w:eastAsia="宋体"/>
                <w:sz w:val="16"/>
              </w:rPr>
              <w:t>2024年12月31日，项目财政拨款280万元，执行69.46万元。具体支出为7个社区日常公用经费开支50.28万元、化解各类欠款经费19.18万元、开展各项群众活动经费0万元。通过开展环境卫生整治、服务群众、解决历史遗留问题等一系列举措，提升了工作人员服务居民的积极性，让社区工作人员和辖区居民都得到了满意。</w:t>
            </w:r>
          </w:p>
        </w:tc>
      </w:tr>
      <w:tr w14:paraId="71DA8D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5F8A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E6C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7937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E1F8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232A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6864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BF6B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8E04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E876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A17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D8FD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B313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F678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A5987">
            <w:pPr>
              <w:jc w:val="center"/>
            </w:pPr>
            <w:r>
              <w:rPr>
                <w:rFonts w:ascii="宋体" w:hAnsi="宋体" w:eastAsia="宋体"/>
                <w:sz w:val="16"/>
              </w:rPr>
              <w:t>偏差原因分析及改进措施</w:t>
            </w:r>
          </w:p>
        </w:tc>
      </w:tr>
      <w:tr w14:paraId="5DF89F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83DFE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FC32B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53E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239BC">
            <w:pPr>
              <w:jc w:val="center"/>
            </w:pPr>
            <w:r>
              <w:rPr>
                <w:rFonts w:ascii="宋体" w:hAnsi="宋体" w:eastAsia="宋体"/>
                <w:sz w:val="16"/>
              </w:rPr>
              <w:t>一般社区数量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E846E">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98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D98D4">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425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3D8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9884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9099">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A6F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1E5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01E9F">
            <w:pPr>
              <w:jc w:val="center"/>
            </w:pPr>
          </w:p>
        </w:tc>
      </w:tr>
      <w:tr w14:paraId="433758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DFC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9E2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B5C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44FD2">
            <w:pPr>
              <w:jc w:val="center"/>
            </w:pPr>
            <w:r>
              <w:rPr>
                <w:rFonts w:ascii="宋体" w:hAnsi="宋体" w:eastAsia="宋体"/>
                <w:sz w:val="16"/>
              </w:rPr>
              <w:t>环境卫生整治开展次数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BE096">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C0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0AFA7">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203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9C6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8823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9F59E">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835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874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66A9E">
            <w:pPr>
              <w:jc w:val="center"/>
            </w:pPr>
          </w:p>
        </w:tc>
      </w:tr>
      <w:tr w14:paraId="36E178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2CB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0E22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A5FF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41D1D">
            <w:pPr>
              <w:jc w:val="center"/>
            </w:pPr>
            <w:r>
              <w:rPr>
                <w:rFonts w:ascii="宋体" w:hAnsi="宋体" w:eastAsia="宋体"/>
                <w:sz w:val="16"/>
              </w:rPr>
              <w:t>一般社区年度考核合格率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0E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F73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B3A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C6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FF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1484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B5A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38E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6E4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54446">
            <w:pPr>
              <w:jc w:val="center"/>
            </w:pPr>
          </w:p>
        </w:tc>
      </w:tr>
      <w:tr w14:paraId="3CB1E5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27B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7EA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812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1C3C0">
            <w:pPr>
              <w:jc w:val="center"/>
            </w:pPr>
            <w:r>
              <w:rPr>
                <w:rFonts w:ascii="宋体" w:hAnsi="宋体" w:eastAsia="宋体"/>
                <w:sz w:val="16"/>
              </w:rPr>
              <w:t>环境卫生</w:t>
            </w:r>
            <w:r>
              <w:rPr>
                <w:rFonts w:hint="eastAsia" w:ascii="宋体" w:hAnsi="宋体"/>
                <w:sz w:val="16"/>
                <w:lang w:eastAsia="zh-CN"/>
              </w:rPr>
              <w:t>整治</w:t>
            </w:r>
            <w:r>
              <w:rPr>
                <w:rFonts w:ascii="宋体" w:hAnsi="宋体" w:eastAsia="宋体"/>
                <w:sz w:val="16"/>
              </w:rPr>
              <w:t>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D641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070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2333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8ED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91D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685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380B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FD4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819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AFBF">
            <w:pPr>
              <w:jc w:val="center"/>
            </w:pPr>
          </w:p>
        </w:tc>
      </w:tr>
      <w:tr w14:paraId="5D33FB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78CE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30666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6E3A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4E9CC">
            <w:pPr>
              <w:jc w:val="center"/>
            </w:pPr>
            <w:r>
              <w:rPr>
                <w:rFonts w:ascii="宋体" w:hAnsi="宋体" w:eastAsia="宋体"/>
                <w:sz w:val="16"/>
              </w:rPr>
              <w:t>一般社区公用经费开支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B9696">
            <w:pPr>
              <w:jc w:val="center"/>
            </w:pPr>
            <w:r>
              <w:rPr>
                <w:rFonts w:ascii="宋体" w:hAnsi="宋体" w:eastAsia="宋体"/>
                <w:sz w:val="16"/>
              </w:rPr>
              <w:t>=90.50万元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2FF2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F257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4B08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8FA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4E2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D769F">
            <w:pPr>
              <w:jc w:val="center"/>
            </w:pPr>
            <w:r>
              <w:rPr>
                <w:rFonts w:ascii="宋体" w:hAnsi="宋体" w:eastAsia="宋体"/>
                <w:sz w:val="16"/>
              </w:rPr>
              <w:t>=39.52万元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9515D">
            <w:pPr>
              <w:jc w:val="center"/>
            </w:pPr>
            <w:r>
              <w:rPr>
                <w:rFonts w:ascii="宋体" w:hAnsi="宋体" w:eastAsia="宋体"/>
                <w:sz w:val="16"/>
              </w:rPr>
              <w:t>43.67%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65D56">
            <w:pPr>
              <w:jc w:val="center"/>
            </w:pPr>
            <w:r>
              <w:rPr>
                <w:rFonts w:ascii="宋体" w:hAnsi="宋体" w:eastAsia="宋体"/>
                <w:sz w:val="16"/>
              </w:rPr>
              <w:t>2.62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C9FFC">
            <w:pPr>
              <w:jc w:val="center"/>
            </w:pPr>
            <w:r>
              <w:rPr>
                <w:rFonts w:hint="eastAsia" w:ascii="宋体" w:hAnsi="宋体"/>
                <w:sz w:val="16"/>
                <w:lang w:eastAsia="zh-CN"/>
              </w:rPr>
              <w:t>本单位</w:t>
            </w:r>
            <w:r>
              <w:rPr>
                <w:rFonts w:ascii="宋体" w:hAnsi="宋体" w:eastAsia="宋体"/>
                <w:sz w:val="16"/>
              </w:rPr>
              <w:t>通过过紧日子等要求，加强日常管理，节约公用开支，因此产生偏差。</w:t>
            </w:r>
          </w:p>
        </w:tc>
      </w:tr>
      <w:tr w14:paraId="791D6C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09D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261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BA1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3C9D4">
            <w:pPr>
              <w:jc w:val="center"/>
            </w:pPr>
            <w:r>
              <w:rPr>
                <w:rFonts w:ascii="宋体" w:hAnsi="宋体" w:eastAsia="宋体"/>
                <w:sz w:val="16"/>
              </w:rPr>
              <w:t>一般社区用于开展服务群众开支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BCBE">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CEC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2335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639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791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F0DF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E3A31">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9C54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348E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367E3">
            <w:pPr>
              <w:jc w:val="center"/>
            </w:pPr>
            <w:r>
              <w:rPr>
                <w:rFonts w:ascii="宋体" w:hAnsi="宋体" w:eastAsia="宋体"/>
                <w:sz w:val="16"/>
              </w:rPr>
              <w:t>原计划用于服务群众的开支，因统筹安排，暂未支付到位。因此产生偏差。</w:t>
            </w:r>
          </w:p>
        </w:tc>
      </w:tr>
      <w:tr w14:paraId="19B16B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78E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57A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971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8F1EC">
            <w:pPr>
              <w:jc w:val="center"/>
            </w:pPr>
            <w:r>
              <w:rPr>
                <w:rFonts w:ascii="宋体" w:hAnsi="宋体" w:eastAsia="宋体"/>
                <w:sz w:val="16"/>
              </w:rPr>
              <w:t>一般社区用于开展化解历年欠款开支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10E55">
            <w:pPr>
              <w:jc w:val="center"/>
            </w:pPr>
            <w:r>
              <w:rPr>
                <w:rFonts w:ascii="宋体" w:hAnsi="宋体" w:eastAsia="宋体"/>
                <w:sz w:val="16"/>
              </w:rPr>
              <w:t>=149.50万元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CAB7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4DC6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B0AB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D49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458B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4B082">
            <w:pPr>
              <w:jc w:val="center"/>
            </w:pPr>
            <w:r>
              <w:rPr>
                <w:rFonts w:ascii="宋体" w:hAnsi="宋体" w:eastAsia="宋体"/>
                <w:sz w:val="16"/>
              </w:rPr>
              <w:t>=29.94万元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BE044">
            <w:pPr>
              <w:jc w:val="center"/>
            </w:pPr>
            <w:r>
              <w:rPr>
                <w:rFonts w:ascii="宋体" w:hAnsi="宋体" w:eastAsia="宋体"/>
                <w:sz w:val="16"/>
              </w:rPr>
              <w:t>20.03%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FC53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20AB8">
            <w:pPr>
              <w:jc w:val="center"/>
            </w:pPr>
            <w:r>
              <w:rPr>
                <w:rFonts w:ascii="宋体" w:hAnsi="宋体" w:eastAsia="宋体"/>
                <w:sz w:val="16"/>
              </w:rPr>
              <w:t>因资金紧张等原因，导致化解欠款支付率较低，因此产生偏差。</w:t>
            </w:r>
          </w:p>
        </w:tc>
      </w:tr>
      <w:tr w14:paraId="6B8FD4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D2D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2C84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37A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087B">
            <w:pPr>
              <w:jc w:val="center"/>
            </w:pPr>
            <w:r>
              <w:rPr>
                <w:rFonts w:ascii="宋体" w:hAnsi="宋体" w:eastAsia="宋体"/>
                <w:sz w:val="16"/>
              </w:rPr>
              <w:t>有效提升社区工作人员积极性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3627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76F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2A490">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1100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DAB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B5787">
            <w:pPr>
              <w:jc w:val="center"/>
            </w:pPr>
            <w:r>
              <w:rPr>
                <w:rFonts w:ascii="宋体" w:hAnsi="宋体" w:eastAsia="宋体"/>
                <w:sz w:val="16"/>
              </w:rPr>
              <w:t>原始凭证,说明材料,工作资料,正式材料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545A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552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361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DE78B">
            <w:pPr>
              <w:jc w:val="center"/>
            </w:pPr>
          </w:p>
        </w:tc>
      </w:tr>
      <w:tr w14:paraId="1CAB54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368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F7EF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B5C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06CA8">
            <w:pPr>
              <w:jc w:val="center"/>
            </w:pPr>
            <w:r>
              <w:rPr>
                <w:rFonts w:ascii="宋体" w:hAnsi="宋体" w:eastAsia="宋体"/>
                <w:sz w:val="16"/>
              </w:rPr>
              <w:t>社区居民满意度（%）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2B66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8AC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52F2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10A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CF0D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A7845">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5554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9E3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119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CE5B8">
            <w:pPr>
              <w:jc w:val="center"/>
            </w:pPr>
          </w:p>
        </w:tc>
      </w:tr>
      <w:tr w14:paraId="70EF552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F1F34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C4D5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19A6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86D6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0F9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F54E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D7B0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2E36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0B5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02041">
            <w:pPr>
              <w:jc w:val="center"/>
            </w:pPr>
            <w:r>
              <w:rPr>
                <w:rFonts w:ascii="宋体" w:hAnsi="宋体" w:eastAsia="宋体"/>
                <w:sz w:val="16"/>
              </w:rPr>
              <w:t>76.5分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3EAB73"/>
        </w:tc>
      </w:tr>
    </w:tbl>
    <w:p w14:paraId="17910C1F">
      <w:r>
        <w:br w:type="page"/>
      </w:r>
    </w:p>
    <w:p w14:paraId="46D52A2B">
      <w:pPr>
        <w:spacing w:line="640" w:lineRule="exact"/>
        <w:ind w:firstLine="640"/>
        <w:jc w:val="both"/>
        <w:outlineLvl w:val="2"/>
      </w:pPr>
      <w:r>
        <w:rPr>
          <w:rFonts w:ascii="黑体" w:hAnsi="黑体" w:eastAsia="黑体"/>
          <w:sz w:val="32"/>
        </w:rPr>
        <w:t>十二、其他需说明的事项</w:t>
      </w:r>
    </w:p>
    <w:p w14:paraId="5DD76D12">
      <w:pPr>
        <w:spacing w:line="580" w:lineRule="exact"/>
        <w:ind w:firstLine="640"/>
        <w:jc w:val="both"/>
      </w:pPr>
      <w:r>
        <w:rPr>
          <w:rFonts w:ascii="仿宋_GB2312" w:hAnsi="仿宋_GB2312" w:eastAsia="仿宋_GB2312"/>
          <w:b w:val="0"/>
          <w:sz w:val="32"/>
        </w:rPr>
        <w:t>本单位无其他需说明的事项。</w:t>
      </w:r>
    </w:p>
    <w:p w14:paraId="484FFB07">
      <w:r>
        <w:br w:type="page"/>
      </w:r>
    </w:p>
    <w:p w14:paraId="402403E5">
      <w:pPr>
        <w:spacing w:line="240" w:lineRule="auto"/>
        <w:jc w:val="center"/>
        <w:outlineLvl w:val="1"/>
      </w:pPr>
      <w:r>
        <w:rPr>
          <w:rFonts w:ascii="黑体" w:hAnsi="黑体" w:eastAsia="黑体"/>
          <w:sz w:val="32"/>
        </w:rPr>
        <w:t>第三部分 专业名词解释</w:t>
      </w:r>
    </w:p>
    <w:p w14:paraId="601E411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EE11D3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C82911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9D9BAD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E65563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E1E80F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D714C7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8F8B3E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EA8E18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66FE39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015FF2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217017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D0F6E0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71129C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CAE2B51">
      <w:r>
        <w:br w:type="page"/>
      </w:r>
    </w:p>
    <w:p w14:paraId="6CB635BF">
      <w:pPr>
        <w:spacing w:line="240" w:lineRule="auto"/>
        <w:jc w:val="center"/>
        <w:outlineLvl w:val="1"/>
      </w:pPr>
      <w:r>
        <w:rPr>
          <w:rFonts w:ascii="黑体" w:hAnsi="黑体" w:eastAsia="黑体"/>
          <w:sz w:val="32"/>
        </w:rPr>
        <w:t>第四部分 部门决算报表（见附表）</w:t>
      </w:r>
    </w:p>
    <w:p w14:paraId="69F9260F">
      <w:pPr>
        <w:spacing w:line="240" w:lineRule="auto"/>
        <w:ind w:firstLine="640"/>
        <w:jc w:val="both"/>
      </w:pPr>
      <w:r>
        <w:rPr>
          <w:rFonts w:ascii="仿宋_GB2312" w:hAnsi="仿宋_GB2312" w:eastAsia="仿宋_GB2312"/>
          <w:b w:val="0"/>
          <w:sz w:val="32"/>
        </w:rPr>
        <w:t>一、《收入支出决算总表》</w:t>
      </w:r>
    </w:p>
    <w:p w14:paraId="010FAA35">
      <w:pPr>
        <w:spacing w:line="240" w:lineRule="auto"/>
        <w:ind w:firstLine="640"/>
        <w:jc w:val="both"/>
      </w:pPr>
      <w:r>
        <w:rPr>
          <w:rFonts w:ascii="仿宋_GB2312" w:hAnsi="仿宋_GB2312" w:eastAsia="仿宋_GB2312"/>
          <w:b w:val="0"/>
          <w:sz w:val="32"/>
        </w:rPr>
        <w:t>二、《收入决算表》</w:t>
      </w:r>
    </w:p>
    <w:p w14:paraId="49150150">
      <w:pPr>
        <w:spacing w:line="240" w:lineRule="auto"/>
        <w:ind w:firstLine="640"/>
        <w:jc w:val="both"/>
      </w:pPr>
      <w:r>
        <w:rPr>
          <w:rFonts w:ascii="仿宋_GB2312" w:hAnsi="仿宋_GB2312" w:eastAsia="仿宋_GB2312"/>
          <w:b w:val="0"/>
          <w:sz w:val="32"/>
        </w:rPr>
        <w:t>三、《支出决算表》</w:t>
      </w:r>
    </w:p>
    <w:p w14:paraId="3975D3ED">
      <w:pPr>
        <w:spacing w:line="240" w:lineRule="auto"/>
        <w:ind w:firstLine="640"/>
        <w:jc w:val="both"/>
      </w:pPr>
      <w:r>
        <w:rPr>
          <w:rFonts w:ascii="仿宋_GB2312" w:hAnsi="仿宋_GB2312" w:eastAsia="仿宋_GB2312"/>
          <w:b w:val="0"/>
          <w:sz w:val="32"/>
        </w:rPr>
        <w:t>四、《财政拨款收入支出决算总表》</w:t>
      </w:r>
    </w:p>
    <w:p w14:paraId="1171EA83">
      <w:pPr>
        <w:spacing w:line="240" w:lineRule="auto"/>
        <w:ind w:firstLine="640"/>
        <w:jc w:val="both"/>
      </w:pPr>
      <w:r>
        <w:rPr>
          <w:rFonts w:ascii="仿宋_GB2312" w:hAnsi="仿宋_GB2312" w:eastAsia="仿宋_GB2312"/>
          <w:b w:val="0"/>
          <w:sz w:val="32"/>
        </w:rPr>
        <w:t>五、《一般公共预算财政拨款支出决算表》</w:t>
      </w:r>
    </w:p>
    <w:p w14:paraId="2F3D7DDD">
      <w:pPr>
        <w:spacing w:line="240" w:lineRule="auto"/>
        <w:ind w:firstLine="640"/>
        <w:jc w:val="both"/>
      </w:pPr>
      <w:r>
        <w:rPr>
          <w:rFonts w:ascii="仿宋_GB2312" w:hAnsi="仿宋_GB2312" w:eastAsia="仿宋_GB2312"/>
          <w:b w:val="0"/>
          <w:sz w:val="32"/>
        </w:rPr>
        <w:t>六、《一般公共预算财政拨款基本支出决算表》</w:t>
      </w:r>
    </w:p>
    <w:p w14:paraId="2C30C340">
      <w:pPr>
        <w:spacing w:line="240" w:lineRule="auto"/>
        <w:ind w:firstLine="640"/>
        <w:jc w:val="both"/>
      </w:pPr>
      <w:r>
        <w:rPr>
          <w:rFonts w:ascii="仿宋_GB2312" w:hAnsi="仿宋_GB2312" w:eastAsia="仿宋_GB2312"/>
          <w:b w:val="0"/>
          <w:sz w:val="32"/>
        </w:rPr>
        <w:t>七、《政府性基金预算财政拨款收入支出决算表》</w:t>
      </w:r>
    </w:p>
    <w:p w14:paraId="5525DC13">
      <w:pPr>
        <w:spacing w:line="240" w:lineRule="auto"/>
        <w:ind w:firstLine="640"/>
        <w:jc w:val="both"/>
      </w:pPr>
      <w:r>
        <w:rPr>
          <w:rFonts w:ascii="仿宋_GB2312" w:hAnsi="仿宋_GB2312" w:eastAsia="仿宋_GB2312"/>
          <w:b w:val="0"/>
          <w:sz w:val="32"/>
        </w:rPr>
        <w:t>八、《国有资本经营预算财政拨款收入支出决算表》</w:t>
      </w:r>
    </w:p>
    <w:p w14:paraId="6C179CA3">
      <w:pPr>
        <w:spacing w:line="240" w:lineRule="auto"/>
        <w:ind w:firstLine="640"/>
        <w:jc w:val="both"/>
      </w:pPr>
      <w:r>
        <w:rPr>
          <w:rFonts w:ascii="仿宋_GB2312" w:hAnsi="仿宋_GB2312" w:eastAsia="仿宋_GB2312"/>
          <w:b w:val="0"/>
          <w:sz w:val="32"/>
        </w:rPr>
        <w:t>九、《财政拨款“三公”经费支出决算表》</w:t>
      </w:r>
    </w:p>
    <w:p w14:paraId="3490433C">
      <w:pPr>
        <w:spacing w:line="240" w:lineRule="auto"/>
        <w:ind w:firstLine="640"/>
        <w:jc w:val="both"/>
      </w:pPr>
    </w:p>
    <w:p w14:paraId="3E68845E">
      <w:pPr>
        <w:spacing w:line="240" w:lineRule="auto"/>
        <w:ind w:firstLine="640"/>
        <w:jc w:val="both"/>
      </w:pPr>
    </w:p>
    <w:p w14:paraId="2A4F37A6">
      <w:pPr>
        <w:spacing w:line="240" w:lineRule="auto"/>
        <w:ind w:firstLine="640"/>
        <w:jc w:val="both"/>
      </w:pPr>
    </w:p>
    <w:p w14:paraId="0B050830">
      <w:pPr>
        <w:spacing w:line="240" w:lineRule="auto"/>
        <w:ind w:firstLine="640"/>
        <w:jc w:val="both"/>
      </w:pPr>
    </w:p>
    <w:p w14:paraId="65FFA40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4987D55"/>
    <w:rsid w:val="36A100F7"/>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4F508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7438</Words>
  <Characters>8384</Characters>
  <Lines>0</Lines>
  <Paragraphs>0</Paragraphs>
  <TotalTime>13</TotalTime>
  <ScaleCrop>false</ScaleCrop>
  <LinksUpToDate>false</LinksUpToDate>
  <CharactersWithSpaces>8392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2025-11-06T05:31:22Z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