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D4CE23"/>
    <w:p w14:paraId="641FAB2E">
      <w:pPr>
        <w:spacing w:line="480" w:lineRule="auto"/>
        <w:ind w:firstLine="0" w:firstLineChars="0"/>
        <w:rPr>
          <w:rFonts w:ascii="Times New Roman" w:hAnsi="Times New Roman" w:eastAsia="黑体" w:cs="Times New Roman"/>
          <w:b/>
          <w:kern w:val="0"/>
          <w:sz w:val="50"/>
          <w:szCs w:val="50"/>
          <w:lang w:bidi="en-US"/>
        </w:rPr>
      </w:pPr>
    </w:p>
    <w:p w14:paraId="10DC12C5">
      <w:pPr>
        <w:spacing w:line="480" w:lineRule="auto"/>
        <w:ind w:firstLine="0" w:firstLineChars="0"/>
        <w:rPr>
          <w:rFonts w:ascii="Times New Roman" w:hAnsi="Times New Roman" w:eastAsia="黑体" w:cs="Times New Roman"/>
          <w:b/>
          <w:kern w:val="0"/>
          <w:sz w:val="50"/>
          <w:szCs w:val="50"/>
          <w:lang w:bidi="en-US"/>
        </w:rPr>
      </w:pPr>
    </w:p>
    <w:p w14:paraId="17014F11">
      <w:pPr>
        <w:spacing w:line="480" w:lineRule="auto"/>
        <w:ind w:firstLine="0" w:firstLineChars="0"/>
        <w:rPr>
          <w:rFonts w:ascii="Times New Roman" w:hAnsi="Times New Roman" w:eastAsia="黑体" w:cs="Times New Roman"/>
          <w:b/>
          <w:kern w:val="0"/>
          <w:sz w:val="50"/>
          <w:szCs w:val="50"/>
          <w:lang w:bidi="en-US"/>
        </w:rPr>
      </w:pPr>
    </w:p>
    <w:p w14:paraId="13960374">
      <w:pPr>
        <w:spacing w:line="480" w:lineRule="auto"/>
        <w:ind w:firstLine="0" w:firstLineChars="0"/>
        <w:rPr>
          <w:rFonts w:ascii="Times New Roman" w:hAnsi="Times New Roman" w:eastAsia="黑体" w:cs="Times New Roman"/>
          <w:b/>
          <w:kern w:val="0"/>
          <w:sz w:val="50"/>
          <w:szCs w:val="50"/>
          <w:lang w:bidi="en-US"/>
        </w:rPr>
      </w:pPr>
    </w:p>
    <w:p w14:paraId="6D64FF0D">
      <w:pPr>
        <w:spacing w:line="480" w:lineRule="auto"/>
        <w:ind w:firstLine="0" w:firstLineChars="0"/>
        <w:jc w:val="center"/>
        <w:rPr>
          <w:rFonts w:ascii="Times New Roman" w:hAnsi="Times New Roman" w:eastAsia="黑体" w:cs="Times New Roman"/>
          <w:b/>
          <w:kern w:val="0"/>
          <w:sz w:val="50"/>
          <w:szCs w:val="50"/>
          <w:lang w:bidi="en-US"/>
        </w:rPr>
      </w:pPr>
    </w:p>
    <w:p w14:paraId="24BA4F4D">
      <w:pPr>
        <w:spacing w:line="560" w:lineRule="exact"/>
        <w:ind w:firstLine="0" w:firstLineChars="0"/>
        <w:jc w:val="center"/>
        <w:rPr>
          <w:rFonts w:ascii="Times New Roman" w:hAnsi="Times New Roman" w:eastAsia="黑体" w:cs="Times New Roman"/>
          <w:b/>
          <w:bCs/>
          <w:color w:val="000000"/>
          <w:kern w:val="0"/>
          <w:sz w:val="52"/>
          <w:szCs w:val="52"/>
        </w:rPr>
      </w:pPr>
      <w:r>
        <w:rPr>
          <w:rFonts w:ascii="Times New Roman" w:hAnsi="Times New Roman" w:eastAsia="黑体" w:cs="Times New Roman"/>
          <w:b/>
          <w:bCs/>
          <w:color w:val="000000"/>
          <w:kern w:val="0"/>
          <w:sz w:val="52"/>
          <w:szCs w:val="52"/>
        </w:rPr>
        <w:t>财政项目支出绩效评价报告</w:t>
      </w:r>
    </w:p>
    <w:p w14:paraId="38946A28">
      <w:pPr>
        <w:spacing w:line="480" w:lineRule="auto"/>
        <w:ind w:firstLine="0" w:firstLineChars="0"/>
        <w:jc w:val="center"/>
        <w:rPr>
          <w:rFonts w:ascii="Times New Roman" w:hAnsi="Times New Roman" w:eastAsia="黑体" w:cs="Times New Roman"/>
          <w:b/>
          <w:kern w:val="0"/>
          <w:sz w:val="50"/>
          <w:szCs w:val="50"/>
          <w:lang w:bidi="en-US"/>
        </w:rPr>
      </w:pPr>
    </w:p>
    <w:p w14:paraId="09C9C63E">
      <w:pPr>
        <w:spacing w:line="480" w:lineRule="auto"/>
        <w:ind w:firstLine="0" w:firstLineChars="0"/>
        <w:jc w:val="center"/>
        <w:rPr>
          <w:rFonts w:ascii="Times New Roman" w:hAnsi="Times New Roman" w:eastAsia="黑体" w:cs="Times New Roman"/>
          <w:b/>
          <w:kern w:val="0"/>
          <w:sz w:val="50"/>
          <w:szCs w:val="50"/>
          <w:lang w:bidi="en-US"/>
        </w:rPr>
      </w:pPr>
    </w:p>
    <w:p w14:paraId="6A972F67">
      <w:pPr>
        <w:spacing w:line="480" w:lineRule="auto"/>
        <w:ind w:firstLine="0" w:firstLineChars="0"/>
        <w:jc w:val="center"/>
        <w:rPr>
          <w:rFonts w:ascii="Times New Roman" w:hAnsi="Times New Roman" w:eastAsia="黑体" w:cs="Times New Roman"/>
          <w:b/>
          <w:kern w:val="0"/>
          <w:sz w:val="50"/>
          <w:szCs w:val="50"/>
          <w:lang w:bidi="en-US"/>
        </w:rPr>
      </w:pPr>
    </w:p>
    <w:p w14:paraId="630D5B19">
      <w:pPr>
        <w:spacing w:line="480" w:lineRule="auto"/>
        <w:ind w:firstLine="0" w:firstLineChars="0"/>
        <w:jc w:val="center"/>
        <w:rPr>
          <w:rFonts w:hint="eastAsia" w:ascii="Times New Roman" w:hAnsi="Times New Roman" w:eastAsia="黑体" w:cs="Times New Roman"/>
          <w:b/>
          <w:kern w:val="0"/>
          <w:sz w:val="50"/>
          <w:szCs w:val="50"/>
          <w:lang w:eastAsia="zh-CN" w:bidi="en-US"/>
        </w:rPr>
      </w:pPr>
    </w:p>
    <w:p w14:paraId="7966524A">
      <w:pPr>
        <w:spacing w:line="480" w:lineRule="auto"/>
        <w:ind w:firstLine="0" w:firstLineChars="0"/>
        <w:jc w:val="center"/>
        <w:rPr>
          <w:rFonts w:ascii="Times New Roman" w:hAnsi="Times New Roman" w:eastAsia="黑体" w:cs="Times New Roman"/>
          <w:b/>
          <w:kern w:val="0"/>
          <w:sz w:val="50"/>
          <w:szCs w:val="50"/>
          <w:lang w:bidi="en-US"/>
        </w:rPr>
      </w:pPr>
    </w:p>
    <w:p w14:paraId="4ACC9B6F">
      <w:pPr>
        <w:spacing w:line="480" w:lineRule="auto"/>
        <w:ind w:firstLine="0" w:firstLineChars="0"/>
        <w:jc w:val="center"/>
        <w:rPr>
          <w:rFonts w:ascii="Times New Roman" w:hAnsi="Times New Roman" w:eastAsia="黑体" w:cs="Times New Roman"/>
          <w:b/>
          <w:kern w:val="0"/>
          <w:sz w:val="50"/>
          <w:szCs w:val="50"/>
          <w:lang w:bidi="en-US"/>
        </w:rPr>
      </w:pPr>
    </w:p>
    <w:p w14:paraId="02F89242">
      <w:pPr>
        <w:spacing w:line="480" w:lineRule="auto"/>
        <w:ind w:firstLine="0" w:firstLineChars="0"/>
        <w:jc w:val="center"/>
        <w:rPr>
          <w:rFonts w:ascii="Times New Roman" w:hAnsi="Times New Roman" w:eastAsia="黑体" w:cs="Times New Roman"/>
          <w:b/>
          <w:kern w:val="0"/>
          <w:sz w:val="50"/>
          <w:szCs w:val="50"/>
          <w:lang w:bidi="en-US"/>
        </w:rPr>
      </w:pPr>
    </w:p>
    <w:p w14:paraId="7FD044FD">
      <w:pPr>
        <w:spacing w:line="480" w:lineRule="auto"/>
        <w:ind w:firstLine="0" w:firstLineChars="0"/>
        <w:jc w:val="left"/>
        <w:rPr>
          <w:rFonts w:ascii="Times New Roman" w:hAnsi="Times New Roman" w:eastAsia="黑体" w:cs="Times New Roman"/>
          <w:kern w:val="0"/>
          <w:sz w:val="32"/>
          <w:szCs w:val="32"/>
          <w:lang w:bidi="en-US"/>
        </w:rPr>
      </w:pPr>
    </w:p>
    <w:p w14:paraId="4B7A3D33">
      <w:pPr>
        <w:spacing w:line="480" w:lineRule="auto"/>
        <w:ind w:firstLine="1600" w:firstLineChars="500"/>
        <w:jc w:val="left"/>
        <w:rPr>
          <w:rFonts w:hint="eastAsia" w:ascii="Times New Roman" w:hAnsi="Times New Roman" w:eastAsia="黑体" w:cs="Times New Roman"/>
          <w:kern w:val="0"/>
          <w:sz w:val="32"/>
          <w:szCs w:val="32"/>
          <w:lang w:val="en-US" w:eastAsia="zh-CN" w:bidi="en-US"/>
        </w:rPr>
      </w:pPr>
      <w:r>
        <w:rPr>
          <w:rFonts w:ascii="Times New Roman" w:hAnsi="Times New Roman" w:eastAsia="黑体" w:cs="Times New Roman"/>
          <w:kern w:val="0"/>
          <w:sz w:val="32"/>
          <w:szCs w:val="32"/>
          <w:lang w:bidi="en-US"/>
        </w:rPr>
        <w:t>项目名称：</w:t>
      </w:r>
      <w:r>
        <w:rPr>
          <w:rFonts w:hint="eastAsia" w:ascii="Times New Roman" w:hAnsi="Times New Roman" w:eastAsia="黑体" w:cs="Times New Roman"/>
          <w:kern w:val="0"/>
          <w:sz w:val="32"/>
          <w:szCs w:val="32"/>
          <w:lang w:eastAsia="zh-CN" w:bidi="en-US"/>
        </w:rPr>
        <w:t>消化</w:t>
      </w:r>
      <w:r>
        <w:rPr>
          <w:rFonts w:hint="eastAsia" w:ascii="Times New Roman" w:hAnsi="Times New Roman" w:eastAsia="黑体" w:cs="Times New Roman"/>
          <w:kern w:val="0"/>
          <w:sz w:val="32"/>
          <w:szCs w:val="32"/>
          <w:lang w:val="en-US" w:eastAsia="zh-CN" w:bidi="en-US"/>
        </w:rPr>
        <w:t>2023年暂付款项</w:t>
      </w:r>
    </w:p>
    <w:p w14:paraId="2EA8C946">
      <w:pPr>
        <w:spacing w:line="480" w:lineRule="auto"/>
        <w:ind w:firstLine="1600" w:firstLineChars="500"/>
        <w:jc w:val="left"/>
        <w:rPr>
          <w:rFonts w:hint="eastAsia" w:ascii="Times New Roman" w:hAnsi="Times New Roman" w:eastAsia="黑体" w:cs="Times New Roman"/>
          <w:kern w:val="0"/>
          <w:sz w:val="32"/>
          <w:szCs w:val="32"/>
          <w:lang w:eastAsia="zh-CN" w:bidi="en-US"/>
        </w:rPr>
      </w:pPr>
      <w:r>
        <w:rPr>
          <w:rFonts w:ascii="Times New Roman" w:hAnsi="Times New Roman" w:eastAsia="黑体" w:cs="Times New Roman"/>
          <w:kern w:val="0"/>
          <w:sz w:val="32"/>
          <w:szCs w:val="32"/>
          <w:lang w:bidi="en-US"/>
        </w:rPr>
        <w:t>项目单位：</w:t>
      </w:r>
      <w:r>
        <w:rPr>
          <w:rFonts w:hint="eastAsia" w:ascii="Times New Roman" w:hAnsi="Times New Roman" w:eastAsia="黑体" w:cs="Times New Roman"/>
          <w:kern w:val="0"/>
          <w:sz w:val="32"/>
          <w:szCs w:val="32"/>
          <w:lang w:eastAsia="zh-CN" w:bidi="en-US"/>
        </w:rPr>
        <w:t>乌鲁木齐市水磨沟区市场监督管理局</w:t>
      </w:r>
    </w:p>
    <w:p w14:paraId="5E5898EC">
      <w:pPr>
        <w:spacing w:line="480" w:lineRule="auto"/>
        <w:ind w:firstLine="1600" w:firstLineChars="500"/>
        <w:jc w:val="left"/>
        <w:rPr>
          <w:rFonts w:ascii="Times New Roman" w:hAnsi="Times New Roman" w:cs="Times New Roman"/>
          <w:kern w:val="0"/>
          <w:sz w:val="32"/>
          <w:szCs w:val="32"/>
          <w:lang w:bidi="en-US"/>
        </w:rPr>
      </w:pPr>
      <w:r>
        <w:rPr>
          <w:rFonts w:ascii="Times New Roman" w:hAnsi="Times New Roman" w:eastAsia="黑体" w:cs="Times New Roman"/>
          <w:kern w:val="0"/>
          <w:sz w:val="32"/>
          <w:szCs w:val="32"/>
          <w:lang w:bidi="en-US"/>
        </w:rPr>
        <w:t>主管部门：</w:t>
      </w:r>
      <w:r>
        <w:rPr>
          <w:rFonts w:hint="eastAsia" w:ascii="Times New Roman" w:hAnsi="Times New Roman" w:eastAsia="黑体" w:cs="Times New Roman"/>
          <w:kern w:val="0"/>
          <w:sz w:val="32"/>
          <w:szCs w:val="32"/>
          <w:lang w:eastAsia="zh-CN" w:bidi="en-US"/>
        </w:rPr>
        <w:t>乌鲁木齐市水磨沟区市场监督管理局</w:t>
      </w:r>
    </w:p>
    <w:p w14:paraId="24F4C128">
      <w:pPr>
        <w:spacing w:line="480" w:lineRule="auto"/>
        <w:ind w:firstLine="1600" w:firstLineChars="500"/>
        <w:jc w:val="both"/>
        <w:rPr>
          <w:rFonts w:ascii="Times New Roman" w:hAnsi="Times New Roman" w:eastAsia="黑体" w:cs="Times New Roman"/>
          <w:kern w:val="0"/>
          <w:sz w:val="32"/>
          <w:szCs w:val="32"/>
          <w:lang w:bidi="en-US"/>
        </w:rPr>
      </w:pPr>
      <w:r>
        <w:rPr>
          <w:rFonts w:hint="eastAsia" w:ascii="Times New Roman" w:hAnsi="Times New Roman" w:eastAsia="黑体" w:cs="Times New Roman"/>
          <w:kern w:val="0"/>
          <w:sz w:val="32"/>
          <w:szCs w:val="32"/>
          <w:lang w:val="en-US" w:eastAsia="zh-CN" w:bidi="en-US"/>
        </w:rPr>
        <w:t>填报日期：</w:t>
      </w:r>
      <w:r>
        <w:rPr>
          <w:rFonts w:ascii="Times New Roman" w:hAnsi="Times New Roman" w:eastAsia="黑体" w:cs="Times New Roman"/>
          <w:kern w:val="0"/>
          <w:sz w:val="32"/>
          <w:szCs w:val="32"/>
          <w:lang w:bidi="en-US"/>
        </w:rPr>
        <w:t>202</w:t>
      </w:r>
      <w:r>
        <w:rPr>
          <w:rFonts w:hint="eastAsia" w:ascii="Times New Roman" w:hAnsi="Times New Roman" w:eastAsia="黑体" w:cs="Times New Roman"/>
          <w:kern w:val="0"/>
          <w:sz w:val="32"/>
          <w:szCs w:val="32"/>
          <w:lang w:val="en-US" w:eastAsia="zh-CN" w:bidi="en-US"/>
        </w:rPr>
        <w:t>5</w:t>
      </w:r>
      <w:r>
        <w:rPr>
          <w:rFonts w:ascii="Times New Roman" w:hAnsi="Times New Roman" w:eastAsia="黑体" w:cs="Times New Roman"/>
          <w:kern w:val="0"/>
          <w:sz w:val="32"/>
          <w:szCs w:val="32"/>
          <w:lang w:bidi="en-US"/>
        </w:rPr>
        <w:t>年0</w:t>
      </w:r>
      <w:r>
        <w:rPr>
          <w:rFonts w:hint="eastAsia" w:ascii="Times New Roman" w:hAnsi="Times New Roman" w:eastAsia="黑体" w:cs="Times New Roman"/>
          <w:kern w:val="0"/>
          <w:sz w:val="32"/>
          <w:szCs w:val="32"/>
          <w:lang w:val="en-US" w:eastAsia="zh-CN" w:bidi="en-US"/>
        </w:rPr>
        <w:t>5</w:t>
      </w:r>
      <w:r>
        <w:rPr>
          <w:rFonts w:ascii="Times New Roman" w:hAnsi="Times New Roman" w:eastAsia="黑体" w:cs="Times New Roman"/>
          <w:kern w:val="0"/>
          <w:sz w:val="32"/>
          <w:szCs w:val="32"/>
          <w:lang w:bidi="en-US"/>
        </w:rPr>
        <w:t>月</w:t>
      </w:r>
    </w:p>
    <w:p w14:paraId="2C46F39D">
      <w:pPr>
        <w:spacing w:line="480" w:lineRule="auto"/>
        <w:ind w:firstLine="0" w:firstLineChars="0"/>
        <w:jc w:val="both"/>
        <w:rPr>
          <w:rFonts w:ascii="Times New Roman" w:hAnsi="Times New Roman" w:eastAsia="黑体" w:cs="Times New Roman"/>
          <w:kern w:val="0"/>
          <w:sz w:val="32"/>
          <w:szCs w:val="32"/>
          <w:lang w:bidi="en-US"/>
        </w:rPr>
      </w:pPr>
      <w:bookmarkStart w:id="63" w:name="_GoBack"/>
      <w:bookmarkEnd w:id="63"/>
    </w:p>
    <w:p w14:paraId="70C2608B">
      <w:pPr>
        <w:spacing w:line="480" w:lineRule="auto"/>
        <w:ind w:firstLine="0" w:firstLineChars="0"/>
        <w:jc w:val="both"/>
        <w:rPr>
          <w:rFonts w:ascii="Times New Roman" w:hAnsi="Times New Roman" w:eastAsia="黑体" w:cs="Times New Roman"/>
          <w:kern w:val="0"/>
          <w:sz w:val="32"/>
          <w:szCs w:val="32"/>
          <w:lang w:bidi="en-US"/>
        </w:rPr>
      </w:pPr>
    </w:p>
    <w:sdt>
      <w:sdtPr>
        <w:rPr>
          <w:rFonts w:ascii="Times New Roman" w:hAnsi="Times New Roman" w:cs="Times New Roman"/>
          <w:lang w:val="zh-CN"/>
        </w:rPr>
        <w:id w:val="-1822651860"/>
        <w:docPartObj>
          <w:docPartGallery w:val="Table of Contents"/>
          <w:docPartUnique/>
        </w:docPartObj>
      </w:sdtPr>
      <w:sdtEndPr>
        <w:rPr>
          <w:rFonts w:ascii="Times New Roman" w:hAnsi="Times New Roman" w:cs="Times New Roman"/>
          <w:b/>
          <w:bCs/>
          <w:lang w:val="zh-CN"/>
        </w:rPr>
      </w:sdtEndPr>
      <w:sdtContent>
        <w:p w14:paraId="438A1C94">
          <w:pPr>
            <w:spacing w:line="560" w:lineRule="exact"/>
            <w:ind w:firstLine="560"/>
            <w:jc w:val="center"/>
            <w:rPr>
              <w:rFonts w:ascii="Times New Roman" w:hAnsi="Times New Roman" w:eastAsia="方正小标宋简体" w:cs="Times New Roman"/>
              <w:b/>
              <w:color w:val="000000"/>
              <w:kern w:val="0"/>
              <w:sz w:val="44"/>
              <w:szCs w:val="44"/>
            </w:rPr>
          </w:pPr>
          <w:r>
            <w:rPr>
              <w:rFonts w:hint="eastAsia" w:ascii="Times New Roman" w:hAnsi="Times New Roman" w:eastAsia="方正小标宋简体" w:cs="Times New Roman"/>
              <w:b/>
              <w:color w:val="000000"/>
              <w:kern w:val="0"/>
              <w:sz w:val="44"/>
              <w:szCs w:val="44"/>
            </w:rPr>
            <w:t>目录</w:t>
          </w:r>
        </w:p>
        <w:p w14:paraId="2CD729F9">
          <w:pPr>
            <w:pStyle w:val="12"/>
            <w:tabs>
              <w:tab w:val="right" w:leader="dot" w:pos="8306"/>
            </w:tabs>
            <w:spacing w:line="560" w:lineRule="exact"/>
            <w:ind w:firstLine="640"/>
            <w:rPr>
              <w:rFonts w:ascii="仿宋_GB2312" w:hAnsi="仿宋_GB2312" w:cs="仿宋_GB2312"/>
              <w:sz w:val="32"/>
              <w:szCs w:val="32"/>
            </w:rPr>
          </w:pP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TOC \o "1-3" \h \z \u</w:instrText>
          </w:r>
          <w:r>
            <w:rPr>
              <w:rFonts w:hint="eastAsia" w:ascii="仿宋_GB2312" w:hAnsi="仿宋_GB2312" w:cs="仿宋_GB2312"/>
              <w:sz w:val="32"/>
              <w:szCs w:val="32"/>
            </w:rPr>
            <w:fldChar w:fldCharType="separate"/>
          </w:r>
          <w:r>
            <w:fldChar w:fldCharType="begin"/>
          </w:r>
          <w:r>
            <w:instrText xml:space="preserve"> HYPERLINK \l "_Toc8841" </w:instrText>
          </w:r>
          <w:r>
            <w:fldChar w:fldCharType="separate"/>
          </w:r>
          <w:r>
            <w:rPr>
              <w:rFonts w:hint="eastAsia" w:ascii="仿宋_GB2312" w:hAnsi="仿宋_GB2312" w:cs="仿宋_GB2312"/>
              <w:sz w:val="32"/>
              <w:szCs w:val="32"/>
            </w:rPr>
            <w:t>一、基本情况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_Toc8841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15C0DE5">
          <w:pPr>
            <w:pStyle w:val="14"/>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"_Toc22935" </w:instrText>
          </w:r>
          <w:r>
            <w:fldChar w:fldCharType="separate"/>
          </w:r>
          <w:r>
            <w:rPr>
              <w:rFonts w:hint="eastAsia" w:ascii="仿宋_GB2312" w:hAnsi="仿宋_GB2312" w:cs="仿宋_GB2312"/>
              <w:sz w:val="32"/>
              <w:szCs w:val="32"/>
            </w:rPr>
            <w:t>（一）项目概况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_Toc22935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93E04C7">
          <w:pPr>
            <w:pStyle w:val="7"/>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"_Toc15068" </w:instrText>
          </w:r>
          <w:r>
            <w:fldChar w:fldCharType="separate"/>
          </w:r>
          <w:r>
            <w:rPr>
              <w:rFonts w:hint="eastAsia" w:ascii="仿宋_GB2312" w:hAnsi="仿宋_GB2312" w:cs="仿宋_GB2312"/>
              <w:sz w:val="32"/>
              <w:szCs w:val="32"/>
            </w:rPr>
            <w:t>1. 项目背景、主要内容及实施情况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_Toc15068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63B38CE">
          <w:pPr>
            <w:pStyle w:val="7"/>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"_Toc32047" </w:instrText>
          </w:r>
          <w:r>
            <w:fldChar w:fldCharType="separate"/>
          </w:r>
          <w:r>
            <w:rPr>
              <w:rFonts w:hint="eastAsia" w:ascii="仿宋_GB2312" w:hAnsi="仿宋_GB2312" w:cs="仿宋_GB2312"/>
              <w:sz w:val="32"/>
              <w:szCs w:val="32"/>
            </w:rPr>
            <w:t>2. 资金投入和使用情况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_Toc32047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3D6C255">
          <w:pPr>
            <w:pStyle w:val="14"/>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"_Toc22403" </w:instrText>
          </w:r>
          <w:r>
            <w:fldChar w:fldCharType="separate"/>
          </w:r>
          <w:r>
            <w:rPr>
              <w:rFonts w:hint="eastAsia" w:ascii="仿宋_GB2312" w:hAnsi="仿宋_GB2312" w:cs="仿宋_GB2312"/>
              <w:sz w:val="32"/>
              <w:szCs w:val="32"/>
            </w:rPr>
            <w:t>（二）项目绩效目标</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_Toc22403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A084B71">
          <w:pPr>
            <w:pStyle w:val="12"/>
            <w:tabs>
              <w:tab w:val="right" w:leader="dot" w:pos="8306"/>
            </w:tabs>
            <w:spacing w:line="560" w:lineRule="exact"/>
            <w:ind w:firstLine="640"/>
            <w:rPr>
              <w:rFonts w:ascii="仿宋_GB2312" w:hAnsi="仿宋_GB2312" w:cs="仿宋_GB2312"/>
              <w:sz w:val="32"/>
              <w:szCs w:val="32"/>
            </w:rPr>
          </w:pPr>
          <w:r>
            <w:fldChar w:fldCharType="begin"/>
          </w:r>
          <w:r>
            <w:instrText xml:space="preserve"> HYPERLINK \l "_Toc10640" </w:instrText>
          </w:r>
          <w:r>
            <w:fldChar w:fldCharType="separate"/>
          </w:r>
          <w:r>
            <w:rPr>
              <w:rFonts w:hint="eastAsia" w:ascii="仿宋_GB2312" w:hAnsi="仿宋_GB2312" w:cs="仿宋_GB2312"/>
              <w:sz w:val="32"/>
              <w:szCs w:val="32"/>
            </w:rPr>
            <w:t>二、绩效评价工作开展情况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_Toc10640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E3FC0A3">
          <w:pPr>
            <w:pStyle w:val="14"/>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"_Toc379" </w:instrText>
          </w:r>
          <w:r>
            <w:fldChar w:fldCharType="separate"/>
          </w:r>
          <w:r>
            <w:rPr>
              <w:rFonts w:hint="eastAsia" w:ascii="仿宋_GB2312" w:hAnsi="仿宋_GB2312" w:cs="仿宋_GB2312"/>
              <w:sz w:val="32"/>
              <w:szCs w:val="32"/>
            </w:rPr>
            <w:t>（一）绩效评价目的、对象和范围</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_Toc379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8A5596B">
          <w:pPr>
            <w:pStyle w:val="7"/>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"_Toc31735" </w:instrText>
          </w:r>
          <w:r>
            <w:fldChar w:fldCharType="separate"/>
          </w:r>
          <w:r>
            <w:rPr>
              <w:rFonts w:hint="eastAsia" w:ascii="仿宋_GB2312" w:hAnsi="仿宋_GB2312" w:cs="仿宋_GB2312"/>
              <w:sz w:val="32"/>
              <w:szCs w:val="32"/>
            </w:rPr>
            <w:t>1. 绩效评价完整性</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_Toc31735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248E6B1">
          <w:pPr>
            <w:pStyle w:val="7"/>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"_Toc120" </w:instrText>
          </w:r>
          <w:r>
            <w:fldChar w:fldCharType="separate"/>
          </w:r>
          <w:r>
            <w:rPr>
              <w:rFonts w:hint="eastAsia" w:ascii="仿宋_GB2312" w:hAnsi="仿宋_GB2312" w:cs="仿宋_GB2312"/>
              <w:sz w:val="32"/>
              <w:szCs w:val="32"/>
            </w:rPr>
            <w:t>2. 评价目的</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_Toc120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7331D7C">
          <w:pPr>
            <w:pStyle w:val="7"/>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"_Toc26380" </w:instrText>
          </w:r>
          <w:r>
            <w:fldChar w:fldCharType="separate"/>
          </w:r>
          <w:r>
            <w:rPr>
              <w:rFonts w:hint="eastAsia" w:ascii="仿宋_GB2312" w:hAnsi="仿宋_GB2312" w:cs="仿宋_GB2312"/>
              <w:sz w:val="32"/>
              <w:szCs w:val="32"/>
            </w:rPr>
            <w:t>3. 评价对象</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_Toc26380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5BF8F79">
          <w:pPr>
            <w:pStyle w:val="7"/>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"_Toc10044" </w:instrText>
          </w:r>
          <w:r>
            <w:fldChar w:fldCharType="separate"/>
          </w:r>
          <w:r>
            <w:rPr>
              <w:rFonts w:hint="eastAsia" w:ascii="仿宋_GB2312" w:hAnsi="仿宋_GB2312" w:cs="仿宋_GB2312"/>
              <w:sz w:val="32"/>
              <w:szCs w:val="32"/>
            </w:rPr>
            <w:t>4. 绩效评价范围</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_Toc10044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B9D6FCA">
          <w:pPr>
            <w:pStyle w:val="14"/>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"_Toc23125" </w:instrText>
          </w:r>
          <w:r>
            <w:fldChar w:fldCharType="separate"/>
          </w:r>
          <w:r>
            <w:rPr>
              <w:rFonts w:hint="eastAsia" w:ascii="仿宋_GB2312" w:hAnsi="仿宋_GB2312" w:cs="仿宋_GB2312"/>
              <w:sz w:val="32"/>
              <w:szCs w:val="32"/>
            </w:rPr>
            <w:t>（二）绩效评价原则、指标体系、方法及标准</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_Toc23125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4DA500B">
          <w:pPr>
            <w:pStyle w:val="7"/>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"_Toc14270" </w:instrText>
          </w:r>
          <w:r>
            <w:fldChar w:fldCharType="separate"/>
          </w:r>
          <w:r>
            <w:rPr>
              <w:rFonts w:hint="eastAsia" w:ascii="仿宋_GB2312" w:hAnsi="仿宋_GB2312" w:cs="仿宋_GB2312"/>
              <w:sz w:val="32"/>
              <w:szCs w:val="32"/>
            </w:rPr>
            <w:t>1. 评价原则</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_Toc14270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860B74D">
          <w:pPr>
            <w:pStyle w:val="7"/>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"_Toc1619" </w:instrText>
          </w:r>
          <w:r>
            <w:fldChar w:fldCharType="separate"/>
          </w:r>
          <w:r>
            <w:rPr>
              <w:rFonts w:hint="eastAsia" w:ascii="仿宋_GB2312" w:hAnsi="仿宋_GB2312" w:cs="仿宋_GB2312"/>
              <w:sz w:val="32"/>
              <w:szCs w:val="32"/>
            </w:rPr>
            <w:t>2. 评价指标体系</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_Toc1619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9</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C1512F0">
          <w:pPr>
            <w:pStyle w:val="7"/>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"_Toc17754" </w:instrText>
          </w:r>
          <w:r>
            <w:fldChar w:fldCharType="separate"/>
          </w:r>
          <w:r>
            <w:rPr>
              <w:rFonts w:hint="eastAsia" w:ascii="仿宋_GB2312" w:hAnsi="仿宋_GB2312" w:cs="仿宋_GB2312"/>
              <w:sz w:val="32"/>
              <w:szCs w:val="32"/>
            </w:rPr>
            <w:t>3. 评价方法</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_Toc17754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3153092">
          <w:pPr>
            <w:pStyle w:val="7"/>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"_Toc10851" </w:instrText>
          </w:r>
          <w:r>
            <w:fldChar w:fldCharType="separate"/>
          </w:r>
          <w:r>
            <w:rPr>
              <w:rFonts w:hint="eastAsia" w:ascii="仿宋_GB2312" w:hAnsi="仿宋_GB2312" w:cs="仿宋_GB2312"/>
              <w:sz w:val="32"/>
              <w:szCs w:val="32"/>
            </w:rPr>
            <w:t>4. 评价标准</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_Toc10851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AF52F99">
          <w:pPr>
            <w:pStyle w:val="14"/>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"_Toc28061" </w:instrText>
          </w:r>
          <w:r>
            <w:fldChar w:fldCharType="separate"/>
          </w:r>
          <w:r>
            <w:rPr>
              <w:rFonts w:hint="eastAsia" w:ascii="仿宋_GB2312" w:hAnsi="仿宋_GB2312" w:cs="仿宋_GB2312"/>
              <w:sz w:val="32"/>
              <w:szCs w:val="32"/>
            </w:rPr>
            <w:t>（三）绩效评价工作过程</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_Toc28061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6E0EFA6">
          <w:pPr>
            <w:pStyle w:val="12"/>
            <w:tabs>
              <w:tab w:val="right" w:leader="dot" w:pos="8306"/>
            </w:tabs>
            <w:spacing w:line="560" w:lineRule="exact"/>
            <w:ind w:firstLine="640"/>
            <w:rPr>
              <w:rFonts w:ascii="仿宋_GB2312" w:hAnsi="仿宋_GB2312" w:cs="仿宋_GB2312"/>
              <w:sz w:val="32"/>
              <w:szCs w:val="32"/>
            </w:rPr>
          </w:pPr>
          <w:r>
            <w:fldChar w:fldCharType="begin"/>
          </w:r>
          <w:r>
            <w:instrText xml:space="preserve"> HYPERLINK \l "_Toc735" </w:instrText>
          </w:r>
          <w:r>
            <w:fldChar w:fldCharType="separate"/>
          </w:r>
          <w:r>
            <w:rPr>
              <w:rFonts w:hint="eastAsia" w:ascii="仿宋_GB2312" w:hAnsi="仿宋_GB2312" w:cs="仿宋_GB2312"/>
              <w:spacing w:val="8"/>
              <w:kern w:val="0"/>
              <w:sz w:val="32"/>
              <w:szCs w:val="32"/>
            </w:rPr>
            <w:t>三、综合评价情况及评价结论</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_Toc735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B494C51">
          <w:pPr>
            <w:pStyle w:val="14"/>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"_Toc17524" </w:instrText>
          </w:r>
          <w:r>
            <w:fldChar w:fldCharType="separate"/>
          </w:r>
          <w:r>
            <w:rPr>
              <w:rFonts w:hint="eastAsia" w:ascii="仿宋_GB2312" w:hAnsi="仿宋_GB2312" w:cs="仿宋_GB2312"/>
              <w:bCs/>
              <w:kern w:val="0"/>
              <w:sz w:val="32"/>
              <w:szCs w:val="32"/>
            </w:rPr>
            <w:t>（一）评价结论</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_Toc17524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2D087C9">
          <w:pPr>
            <w:pStyle w:val="14"/>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"_Toc24854" </w:instrText>
          </w:r>
          <w:r>
            <w:fldChar w:fldCharType="separate"/>
          </w:r>
          <w:r>
            <w:rPr>
              <w:rFonts w:hint="eastAsia" w:ascii="仿宋_GB2312" w:hAnsi="仿宋_GB2312" w:cs="仿宋_GB2312"/>
              <w:bCs/>
              <w:kern w:val="0"/>
              <w:sz w:val="32"/>
              <w:szCs w:val="32"/>
            </w:rPr>
            <w:t>（二）主要绩效</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_Toc24854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1E105B8">
          <w:pPr>
            <w:pStyle w:val="12"/>
            <w:tabs>
              <w:tab w:val="right" w:leader="dot" w:pos="8306"/>
            </w:tabs>
            <w:spacing w:line="560" w:lineRule="exact"/>
            <w:ind w:firstLine="640"/>
            <w:rPr>
              <w:rFonts w:ascii="仿宋_GB2312" w:hAnsi="仿宋_GB2312" w:cs="仿宋_GB2312"/>
              <w:sz w:val="32"/>
              <w:szCs w:val="32"/>
            </w:rPr>
          </w:pPr>
          <w:r>
            <w:fldChar w:fldCharType="begin"/>
          </w:r>
          <w:r>
            <w:instrText xml:space="preserve"> HYPERLINK \l "_Toc30399" </w:instrText>
          </w:r>
          <w:r>
            <w:fldChar w:fldCharType="separate"/>
          </w:r>
          <w:r>
            <w:rPr>
              <w:rFonts w:hint="eastAsia" w:ascii="仿宋_GB2312" w:hAnsi="仿宋_GB2312" w:cs="仿宋_GB2312"/>
              <w:spacing w:val="8"/>
              <w:kern w:val="0"/>
              <w:sz w:val="32"/>
              <w:szCs w:val="32"/>
            </w:rPr>
            <w:t>四、绩效评价指标分析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_Toc30399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19</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5513CBE">
          <w:pPr>
            <w:pStyle w:val="14"/>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"_Toc1030" </w:instrText>
          </w:r>
          <w:r>
            <w:fldChar w:fldCharType="separate"/>
          </w:r>
          <w:r>
            <w:rPr>
              <w:rFonts w:hint="eastAsia" w:ascii="仿宋_GB2312" w:hAnsi="仿宋_GB2312" w:cs="仿宋_GB2312"/>
              <w:bCs/>
              <w:kern w:val="0"/>
              <w:sz w:val="32"/>
              <w:szCs w:val="32"/>
            </w:rPr>
            <w:t>（一）项目决策情况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_Toc1030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19</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E87556A">
          <w:pPr>
            <w:pStyle w:val="7"/>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"_Toc32411" </w:instrText>
          </w:r>
          <w:r>
            <w:fldChar w:fldCharType="separate"/>
          </w:r>
          <w:r>
            <w:rPr>
              <w:rFonts w:hint="eastAsia" w:ascii="仿宋_GB2312" w:hAnsi="仿宋_GB2312" w:cs="仿宋_GB2312"/>
              <w:sz w:val="32"/>
              <w:szCs w:val="32"/>
            </w:rPr>
            <w:t>1. 项目立项</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_Toc32411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19</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EC55B5D">
          <w:pPr>
            <w:pStyle w:val="7"/>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"_Toc16395" </w:instrText>
          </w:r>
          <w:r>
            <w:fldChar w:fldCharType="separate"/>
          </w:r>
          <w:r>
            <w:rPr>
              <w:rFonts w:hint="eastAsia" w:ascii="仿宋_GB2312" w:hAnsi="仿宋_GB2312" w:cs="仿宋_GB2312"/>
              <w:sz w:val="32"/>
              <w:szCs w:val="32"/>
            </w:rPr>
            <w:t>2. 绩效目标</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_Toc16395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20</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3E45137">
          <w:pPr>
            <w:pStyle w:val="7"/>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"_Toc24290" </w:instrText>
          </w:r>
          <w:r>
            <w:fldChar w:fldCharType="separate"/>
          </w:r>
          <w:r>
            <w:rPr>
              <w:rFonts w:hint="eastAsia" w:ascii="仿宋_GB2312" w:hAnsi="仿宋_GB2312" w:cs="仿宋_GB2312"/>
              <w:sz w:val="32"/>
              <w:szCs w:val="32"/>
            </w:rPr>
            <w:t>3. 资金投入</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_Toc24290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9D959AC">
          <w:pPr>
            <w:pStyle w:val="14"/>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"_Toc13530" </w:instrText>
          </w:r>
          <w:r>
            <w:fldChar w:fldCharType="separate"/>
          </w:r>
          <w:r>
            <w:rPr>
              <w:rFonts w:hint="eastAsia" w:ascii="仿宋_GB2312" w:hAnsi="仿宋_GB2312" w:cs="仿宋_GB2312"/>
              <w:bCs/>
              <w:kern w:val="0"/>
              <w:sz w:val="32"/>
              <w:szCs w:val="32"/>
            </w:rPr>
            <w:t>（二）项目过程情况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_Toc13530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BF6250A">
          <w:pPr>
            <w:pStyle w:val="7"/>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"_Toc18346" </w:instrText>
          </w:r>
          <w:r>
            <w:fldChar w:fldCharType="separate"/>
          </w:r>
          <w:r>
            <w:rPr>
              <w:rFonts w:hint="eastAsia" w:ascii="仿宋_GB2312" w:hAnsi="仿宋_GB2312" w:cs="仿宋_GB2312"/>
              <w:sz w:val="32"/>
              <w:szCs w:val="32"/>
            </w:rPr>
            <w:t>1. 资金管理</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_Toc18346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23E4979">
          <w:pPr>
            <w:pStyle w:val="7"/>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"_Toc3203" </w:instrText>
          </w:r>
          <w:r>
            <w:fldChar w:fldCharType="separate"/>
          </w:r>
          <w:r>
            <w:rPr>
              <w:rFonts w:hint="eastAsia" w:ascii="仿宋_GB2312" w:hAnsi="仿宋_GB2312" w:cs="仿宋_GB2312"/>
              <w:sz w:val="32"/>
              <w:szCs w:val="32"/>
            </w:rPr>
            <w:t>2. 组织实施</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_Toc3203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3C6412E">
          <w:pPr>
            <w:pStyle w:val="14"/>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"_Toc21456" </w:instrText>
          </w:r>
          <w:r>
            <w:fldChar w:fldCharType="separate"/>
          </w:r>
          <w:r>
            <w:rPr>
              <w:rFonts w:hint="eastAsia" w:ascii="仿宋_GB2312" w:hAnsi="仿宋_GB2312" w:cs="仿宋_GB2312"/>
              <w:bCs/>
              <w:kern w:val="0"/>
              <w:sz w:val="32"/>
              <w:szCs w:val="32"/>
            </w:rPr>
            <w:t>（三）项目产出情况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_Toc21456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F28EA43">
          <w:pPr>
            <w:pStyle w:val="7"/>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"_Toc21326" </w:instrText>
          </w:r>
          <w:r>
            <w:fldChar w:fldCharType="separate"/>
          </w:r>
          <w:r>
            <w:rPr>
              <w:rFonts w:hint="eastAsia" w:ascii="仿宋_GB2312" w:hAnsi="仿宋_GB2312" w:cs="仿宋_GB2312"/>
              <w:sz w:val="32"/>
              <w:szCs w:val="32"/>
            </w:rPr>
            <w:t>1. 产出数量</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_Toc21326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4873C3A">
          <w:pPr>
            <w:pStyle w:val="7"/>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"_Toc20437" </w:instrText>
          </w:r>
          <w:r>
            <w:fldChar w:fldCharType="separate"/>
          </w:r>
          <w:r>
            <w:rPr>
              <w:rFonts w:hint="eastAsia" w:ascii="仿宋_GB2312" w:hAnsi="仿宋_GB2312" w:cs="仿宋_GB2312"/>
              <w:sz w:val="32"/>
              <w:szCs w:val="32"/>
            </w:rPr>
            <w:t>2. 产出质量</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_Toc20437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1DCCF7D">
          <w:pPr>
            <w:pStyle w:val="7"/>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"_Toc14252" </w:instrText>
          </w:r>
          <w:r>
            <w:fldChar w:fldCharType="separate"/>
          </w:r>
          <w:r>
            <w:rPr>
              <w:rFonts w:hint="eastAsia" w:ascii="仿宋_GB2312" w:hAnsi="仿宋_GB2312" w:cs="仿宋_GB2312"/>
              <w:sz w:val="32"/>
              <w:szCs w:val="32"/>
            </w:rPr>
            <w:t>3. 产出时效</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_Toc14252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4C22866">
          <w:pPr>
            <w:pStyle w:val="7"/>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"_Toc15505" </w:instrText>
          </w:r>
          <w:r>
            <w:fldChar w:fldCharType="separate"/>
          </w:r>
          <w:r>
            <w:rPr>
              <w:rFonts w:hint="eastAsia" w:ascii="仿宋_GB2312" w:hAnsi="仿宋_GB2312" w:cs="仿宋_GB2312"/>
              <w:sz w:val="32"/>
              <w:szCs w:val="32"/>
            </w:rPr>
            <w:t>4. 产出成本</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_Toc15505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A3A34D1">
          <w:pPr>
            <w:pStyle w:val="14"/>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"_Toc15002" </w:instrText>
          </w:r>
          <w:r>
            <w:fldChar w:fldCharType="separate"/>
          </w:r>
          <w:r>
            <w:rPr>
              <w:rFonts w:hint="eastAsia" w:ascii="仿宋_GB2312" w:hAnsi="仿宋_GB2312" w:cs="仿宋_GB2312"/>
              <w:bCs/>
              <w:kern w:val="0"/>
              <w:sz w:val="32"/>
              <w:szCs w:val="32"/>
            </w:rPr>
            <w:t>（四）项目效益情况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_Toc15002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A6B7D38">
          <w:pPr>
            <w:pStyle w:val="7"/>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"_Toc5253" </w:instrText>
          </w:r>
          <w:r>
            <w:fldChar w:fldCharType="separate"/>
          </w:r>
          <w:r>
            <w:rPr>
              <w:rFonts w:hint="eastAsia" w:ascii="仿宋_GB2312" w:hAnsi="仿宋_GB2312" w:cs="仿宋_GB2312"/>
              <w:sz w:val="32"/>
              <w:szCs w:val="32"/>
            </w:rPr>
            <w:t>1. 项目效益</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_Toc5253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9D87BF0">
          <w:pPr>
            <w:pStyle w:val="12"/>
            <w:tabs>
              <w:tab w:val="right" w:leader="dot" w:pos="8306"/>
            </w:tabs>
            <w:spacing w:line="560" w:lineRule="exact"/>
            <w:ind w:firstLine="640"/>
            <w:rPr>
              <w:rFonts w:ascii="仿宋_GB2312" w:hAnsi="仿宋_GB2312" w:cs="仿宋_GB2312"/>
              <w:sz w:val="32"/>
              <w:szCs w:val="32"/>
            </w:rPr>
          </w:pPr>
          <w:r>
            <w:fldChar w:fldCharType="begin"/>
          </w:r>
          <w:r>
            <w:instrText xml:space="preserve"> HYPERLINK \l "_Toc20703" </w:instrText>
          </w:r>
          <w:r>
            <w:fldChar w:fldCharType="separate"/>
          </w:r>
          <w:r>
            <w:rPr>
              <w:rFonts w:hint="eastAsia" w:ascii="仿宋_GB2312" w:hAnsi="仿宋_GB2312" w:cs="仿宋_GB2312"/>
              <w:spacing w:val="8"/>
              <w:kern w:val="0"/>
              <w:sz w:val="32"/>
              <w:szCs w:val="32"/>
            </w:rPr>
            <w:t>五、主要经验及做法、存在的问题及原因分析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_Toc20703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2FC82C1">
          <w:pPr>
            <w:pStyle w:val="14"/>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"_Toc27872" </w:instrText>
          </w:r>
          <w:r>
            <w:fldChar w:fldCharType="separate"/>
          </w:r>
          <w:r>
            <w:rPr>
              <w:rFonts w:hint="eastAsia" w:ascii="仿宋_GB2312" w:hAnsi="仿宋_GB2312" w:cs="仿宋_GB2312"/>
              <w:bCs/>
              <w:kern w:val="0"/>
              <w:sz w:val="32"/>
              <w:szCs w:val="32"/>
            </w:rPr>
            <w:t>（一）主要经验及做法</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_Toc27872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816A4BA">
          <w:pPr>
            <w:pStyle w:val="14"/>
            <w:tabs>
              <w:tab w:val="right" w:leader="dot" w:pos="8306"/>
            </w:tabs>
            <w:spacing w:line="560" w:lineRule="exact"/>
            <w:ind w:left="0" w:leftChars="0" w:firstLine="640"/>
            <w:rPr>
              <w:rFonts w:ascii="仿宋_GB2312" w:hAnsi="仿宋_GB2312" w:cs="仿宋_GB2312"/>
              <w:sz w:val="32"/>
              <w:szCs w:val="32"/>
            </w:rPr>
          </w:pPr>
          <w:r>
            <w:fldChar w:fldCharType="begin"/>
          </w:r>
          <w:r>
            <w:instrText xml:space="preserve"> HYPERLINK \l "_Toc21348" </w:instrText>
          </w:r>
          <w:r>
            <w:fldChar w:fldCharType="separate"/>
          </w:r>
          <w:r>
            <w:rPr>
              <w:rFonts w:hint="eastAsia" w:ascii="仿宋_GB2312" w:hAnsi="仿宋_GB2312" w:cs="仿宋_GB2312"/>
              <w:bCs/>
              <w:kern w:val="0"/>
              <w:sz w:val="32"/>
              <w:szCs w:val="32"/>
            </w:rPr>
            <w:t>（二）存在的问题及原因分析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_Toc21348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61FC5F1">
          <w:pPr>
            <w:pStyle w:val="12"/>
            <w:tabs>
              <w:tab w:val="right" w:leader="dot" w:pos="8306"/>
            </w:tabs>
            <w:spacing w:line="560" w:lineRule="exact"/>
            <w:ind w:firstLine="640"/>
            <w:rPr>
              <w:rFonts w:ascii="仿宋_GB2312" w:hAnsi="仿宋_GB2312" w:cs="仿宋_GB2312"/>
              <w:sz w:val="32"/>
              <w:szCs w:val="32"/>
            </w:rPr>
          </w:pPr>
          <w:r>
            <w:fldChar w:fldCharType="begin"/>
          </w:r>
          <w:r>
            <w:instrText xml:space="preserve"> HYPERLINK \l "_Toc13493" </w:instrText>
          </w:r>
          <w:r>
            <w:fldChar w:fldCharType="separate"/>
          </w:r>
          <w:r>
            <w:rPr>
              <w:rFonts w:hint="eastAsia" w:ascii="仿宋_GB2312" w:hAnsi="仿宋_GB2312" w:cs="仿宋_GB2312"/>
              <w:spacing w:val="8"/>
              <w:kern w:val="0"/>
              <w:sz w:val="32"/>
              <w:szCs w:val="32"/>
            </w:rPr>
            <w:t>六、有关建议</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_Toc13493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1D04DDF">
          <w:pPr>
            <w:pStyle w:val="12"/>
            <w:tabs>
              <w:tab w:val="right" w:leader="dot" w:pos="8306"/>
            </w:tabs>
            <w:spacing w:line="560" w:lineRule="exact"/>
            <w:ind w:firstLine="640"/>
            <w:rPr>
              <w:rFonts w:ascii="仿宋_GB2312" w:hAnsi="仿宋_GB2312" w:cs="仿宋_GB2312"/>
              <w:sz w:val="32"/>
              <w:szCs w:val="32"/>
            </w:rPr>
          </w:pPr>
          <w:r>
            <w:fldChar w:fldCharType="begin"/>
          </w:r>
          <w:r>
            <w:instrText xml:space="preserve"> HYPERLINK \l "_Toc17626" </w:instrText>
          </w:r>
          <w:r>
            <w:fldChar w:fldCharType="separate"/>
          </w:r>
          <w:r>
            <w:rPr>
              <w:rFonts w:hint="eastAsia" w:ascii="仿宋_GB2312" w:hAnsi="仿宋_GB2312" w:cs="仿宋_GB2312"/>
              <w:spacing w:val="8"/>
              <w:kern w:val="0"/>
              <w:sz w:val="32"/>
              <w:szCs w:val="32"/>
            </w:rPr>
            <w:t>七、其他需要说明的问题</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_Toc17626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6D2C8CF">
          <w:pPr>
            <w:spacing w:line="560" w:lineRule="exact"/>
            <w:ind w:firstLine="640"/>
            <w:rPr>
              <w:rFonts w:ascii="Times New Roman" w:hAnsi="Times New Roman" w:cs="Times New Roman"/>
            </w:rPr>
          </w:pPr>
          <w:r>
            <w:rPr>
              <w:rFonts w:hint="eastAsia" w:ascii="仿宋_GB2312" w:hAnsi="仿宋_GB2312" w:cs="仿宋_GB2312"/>
              <w:bCs/>
              <w:sz w:val="32"/>
              <w:szCs w:val="32"/>
              <w:lang w:val="zh-CN"/>
            </w:rPr>
            <w:fldChar w:fldCharType="end"/>
          </w:r>
        </w:p>
      </w:sdtContent>
    </w:sdt>
    <w:p w14:paraId="0A6405F7">
      <w:pPr>
        <w:ind w:firstLine="598" w:firstLineChars="187"/>
        <w:rPr>
          <w:rFonts w:ascii="Times New Roman"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4D5DDAEA">
      <w:pPr>
        <w:pStyle w:val="2"/>
        <w:spacing w:before="0" w:after="0" w:line="560" w:lineRule="exact"/>
        <w:ind w:firstLine="640"/>
        <w:jc w:val="left"/>
        <w:rPr>
          <w:rFonts w:ascii="Times New Roman" w:hAnsi="Times New Roman" w:eastAsia="黑体" w:cs="Times New Roman"/>
          <w:b w:val="0"/>
          <w:bCs w:val="0"/>
          <w:kern w:val="2"/>
          <w:sz w:val="32"/>
          <w:szCs w:val="32"/>
        </w:rPr>
      </w:pPr>
      <w:bookmarkStart w:id="0" w:name="_Toc67911601"/>
      <w:bookmarkStart w:id="1" w:name="_Toc8841"/>
      <w:r>
        <w:rPr>
          <w:rFonts w:ascii="Times New Roman" w:hAnsi="Times New Roman" w:eastAsia="黑体" w:cs="Times New Roman"/>
          <w:b w:val="0"/>
          <w:bCs w:val="0"/>
          <w:kern w:val="2"/>
          <w:sz w:val="32"/>
          <w:szCs w:val="32"/>
        </w:rPr>
        <w:t>一、基本情况</w:t>
      </w:r>
      <w:bookmarkEnd w:id="0"/>
      <w:bookmarkEnd w:id="1"/>
    </w:p>
    <w:p w14:paraId="349BB9EC">
      <w:pPr>
        <w:pStyle w:val="3"/>
        <w:spacing w:before="0" w:after="0" w:line="560" w:lineRule="exact"/>
        <w:ind w:firstLine="643"/>
        <w:rPr>
          <w:rFonts w:ascii="Times New Roman" w:hAnsi="Times New Roman" w:eastAsia="楷体" w:cs="Times New Roman"/>
          <w:bCs w:val="0"/>
        </w:rPr>
      </w:pPr>
      <w:bookmarkStart w:id="2" w:name="_Toc22935"/>
      <w:bookmarkStart w:id="3" w:name="_Toc67911602"/>
      <w:r>
        <w:rPr>
          <w:rFonts w:ascii="Times New Roman" w:hAnsi="Times New Roman" w:eastAsia="楷体" w:cs="Times New Roman"/>
          <w:bCs w:val="0"/>
        </w:rPr>
        <w:t>（一）项目概况</w:t>
      </w:r>
      <w:bookmarkEnd w:id="2"/>
      <w:bookmarkEnd w:id="3"/>
    </w:p>
    <w:p w14:paraId="49FE6027">
      <w:pPr>
        <w:pStyle w:val="4"/>
        <w:spacing w:before="0" w:after="0" w:line="560" w:lineRule="exact"/>
        <w:ind w:firstLine="643"/>
        <w:rPr>
          <w:rFonts w:ascii="Times New Roman" w:hAnsi="Times New Roman" w:cs="Times New Roman"/>
        </w:rPr>
      </w:pPr>
      <w:bookmarkStart w:id="4" w:name="_Toc15068"/>
      <w:r>
        <w:rPr>
          <w:rFonts w:ascii="Times New Roman" w:hAnsi="Times New Roman" w:cs="Times New Roman"/>
        </w:rPr>
        <w:t>1. 项目背景、主要内容及实施情况</w:t>
      </w:r>
      <w:bookmarkEnd w:id="4"/>
    </w:p>
    <w:p w14:paraId="5A453ED4">
      <w:pPr>
        <w:spacing w:line="560" w:lineRule="exact"/>
        <w:ind w:firstLine="672"/>
        <w:rPr>
          <w:rFonts w:hint="eastAsia" w:ascii="Times New Roman" w:hAnsi="Times New Roman" w:cs="Times New Roman"/>
          <w:spacing w:val="8"/>
          <w:sz w:val="32"/>
          <w:szCs w:val="32"/>
          <w:highlight w:val="none"/>
          <w:lang w:val="en-US" w:eastAsia="zh-CN"/>
        </w:rPr>
      </w:pPr>
      <w:r>
        <w:rPr>
          <w:rFonts w:ascii="Times New Roman" w:hAnsi="Times New Roman" w:cs="Times New Roman"/>
          <w:spacing w:val="8"/>
          <w:sz w:val="32"/>
          <w:szCs w:val="32"/>
        </w:rPr>
        <w:t>该项目实施背景：</w:t>
      </w:r>
    </w:p>
    <w:p w14:paraId="2CF3857E">
      <w:pPr>
        <w:pStyle w:val="38"/>
        <w:spacing w:line="560" w:lineRule="exact"/>
        <w:ind w:firstLine="640"/>
        <w:rPr>
          <w:rFonts w:hint="default" w:ascii="Times New Roman" w:hAnsi="Times New Roman" w:eastAsia="方正仿宋_GBK" w:cs="Times New Roman"/>
          <w:kern w:val="2"/>
          <w:sz w:val="32"/>
          <w:szCs w:val="32"/>
          <w:highlight w:val="none"/>
          <w:lang w:val="en-US" w:eastAsia="zh-CN" w:bidi="ar-SA"/>
        </w:rPr>
      </w:pPr>
      <w:r>
        <w:rPr>
          <w:rFonts w:hint="default" w:ascii="Times New Roman" w:hAnsi="Times New Roman" w:eastAsia="方正仿宋_GBK" w:cs="Times New Roman"/>
          <w:kern w:val="2"/>
          <w:sz w:val="32"/>
          <w:szCs w:val="32"/>
          <w:lang w:val="en-US" w:eastAsia="zh-CN" w:bidi="ar-SA"/>
        </w:rPr>
        <w:t>为深入贯彻落实执法规范化建设，强化我区综合行政执法制式服装</w:t>
      </w:r>
      <w:r>
        <w:rPr>
          <w:rFonts w:hint="default" w:ascii="Times New Roman" w:hAnsi="Times New Roman" w:eastAsia="方正仿宋_GBK" w:cs="Times New Roman"/>
          <w:kern w:val="2"/>
          <w:sz w:val="32"/>
          <w:szCs w:val="32"/>
          <w:highlight w:val="none"/>
          <w:lang w:val="en-US" w:eastAsia="zh-CN" w:bidi="ar-SA"/>
        </w:rPr>
        <w:t>与标志的规范管理，全面推进文明执法，依据自治区财政厅、司法厅联合制定的新财规</w:t>
      </w:r>
      <w:r>
        <w:rPr>
          <w:rFonts w:hint="eastAsia" w:ascii="仿宋_GB2312" w:hAnsi="仿宋_GB2312" w:cs="仿宋_GB2312"/>
          <w:kern w:val="2"/>
          <w:sz w:val="32"/>
          <w:szCs w:val="32"/>
          <w:highlight w:val="none"/>
          <w:lang w:val="en-US" w:eastAsia="zh-CN" w:bidi="ar-SA"/>
        </w:rPr>
        <w:t>[</w:t>
      </w:r>
      <w:r>
        <w:rPr>
          <w:rFonts w:hint="default" w:ascii="Times New Roman" w:hAnsi="Times New Roman" w:eastAsia="方正仿宋_GBK" w:cs="Times New Roman"/>
          <w:kern w:val="2"/>
          <w:sz w:val="32"/>
          <w:szCs w:val="32"/>
          <w:highlight w:val="none"/>
          <w:lang w:val="en-US" w:eastAsia="zh-CN" w:bidi="ar-SA"/>
        </w:rPr>
        <w:t>2021</w:t>
      </w:r>
      <w:r>
        <w:rPr>
          <w:rFonts w:hint="eastAsia" w:ascii="仿宋_GB2312" w:hAnsi="仿宋_GB2312" w:cs="仿宋_GB2312"/>
          <w:kern w:val="2"/>
          <w:sz w:val="32"/>
          <w:szCs w:val="32"/>
          <w:highlight w:val="none"/>
          <w:lang w:val="en-US" w:eastAsia="zh-CN" w:bidi="ar-SA"/>
        </w:rPr>
        <w:t>]</w:t>
      </w:r>
      <w:r>
        <w:rPr>
          <w:rFonts w:hint="default" w:ascii="Times New Roman" w:hAnsi="Times New Roman" w:eastAsia="方正仿宋_GBK" w:cs="Times New Roman"/>
          <w:kern w:val="2"/>
          <w:sz w:val="32"/>
          <w:szCs w:val="32"/>
          <w:highlight w:val="none"/>
          <w:lang w:val="en-US" w:eastAsia="zh-CN" w:bidi="ar-SA"/>
        </w:rPr>
        <w:t>1号文件《新疆维吾尔自治区综合行政执法制式服装和标志管理实施办法》，我局积极响应，全力开展为执法人员配备统一综合行政执法制式服装和标志的工作。</w:t>
      </w:r>
    </w:p>
    <w:p w14:paraId="2F893076">
      <w:pPr>
        <w:pStyle w:val="38"/>
        <w:spacing w:line="560" w:lineRule="exact"/>
        <w:ind w:firstLine="64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highlight w:val="none"/>
          <w:lang w:val="en-US" w:eastAsia="zh-CN" w:bidi="ar-SA"/>
        </w:rPr>
        <w:t>自机构改革完成，原工商局、质监局和食药局合并组建为市场监督管理局后，执法队伍的整合与职能优化不断推进。根据新市监办财</w:t>
      </w:r>
      <w:r>
        <w:rPr>
          <w:rFonts w:hint="eastAsia" w:ascii="仿宋_GB2312" w:hAnsi="仿宋_GB2312" w:cs="仿宋_GB2312"/>
          <w:kern w:val="2"/>
          <w:sz w:val="32"/>
          <w:szCs w:val="32"/>
          <w:highlight w:val="none"/>
          <w:lang w:val="en-US" w:eastAsia="zh-CN" w:bidi="ar-SA"/>
        </w:rPr>
        <w:t>[</w:t>
      </w:r>
      <w:r>
        <w:rPr>
          <w:rFonts w:hint="default" w:ascii="Times New Roman" w:hAnsi="Times New Roman" w:eastAsia="方正仿宋_GBK" w:cs="Times New Roman"/>
          <w:kern w:val="2"/>
          <w:sz w:val="32"/>
          <w:szCs w:val="32"/>
          <w:highlight w:val="none"/>
          <w:lang w:val="en-US" w:eastAsia="zh-CN" w:bidi="ar-SA"/>
        </w:rPr>
        <w:t>2021</w:t>
      </w:r>
      <w:r>
        <w:rPr>
          <w:rFonts w:hint="eastAsia" w:ascii="仿宋_GB2312" w:hAnsi="仿宋_GB2312" w:cs="仿宋_GB2312"/>
          <w:kern w:val="2"/>
          <w:sz w:val="32"/>
          <w:szCs w:val="32"/>
          <w:highlight w:val="none"/>
          <w:lang w:val="en-US" w:eastAsia="zh-CN" w:bidi="ar-SA"/>
        </w:rPr>
        <w:t>]</w:t>
      </w:r>
      <w:r>
        <w:rPr>
          <w:rFonts w:hint="default" w:ascii="Times New Roman" w:hAnsi="Times New Roman" w:eastAsia="方正仿宋_GBK" w:cs="Times New Roman"/>
          <w:kern w:val="2"/>
          <w:sz w:val="32"/>
          <w:szCs w:val="32"/>
          <w:highlight w:val="none"/>
          <w:lang w:val="en-US" w:eastAsia="zh-CN" w:bidi="ar-SA"/>
        </w:rPr>
        <w:t>4号文件指示，</w:t>
      </w:r>
      <w:r>
        <w:rPr>
          <w:rFonts w:hint="default" w:ascii="Times New Roman" w:hAnsi="Times New Roman" w:eastAsia="方正仿宋_GBK" w:cs="Times New Roman"/>
          <w:kern w:val="2"/>
          <w:sz w:val="32"/>
          <w:szCs w:val="32"/>
          <w:lang w:val="en-US" w:eastAsia="zh-CN" w:bidi="ar-SA"/>
        </w:rPr>
        <w:t>结合</w:t>
      </w:r>
      <w:r>
        <w:rPr>
          <w:rFonts w:hint="eastAsia" w:eastAsia="方正仿宋_GBK" w:cs="Times New Roman"/>
          <w:kern w:val="2"/>
          <w:sz w:val="32"/>
          <w:szCs w:val="32"/>
          <w:lang w:val="en-US" w:eastAsia="zh-CN" w:bidi="ar-SA"/>
        </w:rPr>
        <w:t>我</w:t>
      </w:r>
      <w:r>
        <w:rPr>
          <w:rFonts w:hint="default" w:ascii="Times New Roman" w:hAnsi="Times New Roman" w:eastAsia="方正仿宋_GBK" w:cs="Times New Roman"/>
          <w:kern w:val="2"/>
          <w:sz w:val="32"/>
          <w:szCs w:val="32"/>
          <w:lang w:val="en-US" w:eastAsia="zh-CN" w:bidi="ar-SA"/>
        </w:rPr>
        <w:t>区市场监管部门的实际状况，加快统一制式着装工作迫在眉睫。这不仅是提升队伍形象的重要举措，更是增强执法权威性和公信力的必然要求。</w:t>
      </w:r>
    </w:p>
    <w:p w14:paraId="435072E4">
      <w:pPr>
        <w:pStyle w:val="38"/>
        <w:spacing w:line="560" w:lineRule="exact"/>
        <w:ind w:left="0" w:leftChars="0"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我局将重点聚焦于首次配发综合行政执法制式服装和标志的工作，严格按照文件要求，精心组织、周密部署，确保此项工作高效、有序完成，助力全区市场监管执法水平迈向新高度。</w:t>
      </w:r>
    </w:p>
    <w:p w14:paraId="7F8AAFC5">
      <w:pPr>
        <w:spacing w:line="560" w:lineRule="exact"/>
        <w:ind w:firstLine="672" w:firstLineChars="200"/>
        <w:rPr>
          <w:rFonts w:hint="default" w:ascii="Times New Roman" w:hAnsi="Times New Roman" w:eastAsia="方正仿宋_GBK" w:cs="Times New Roman"/>
          <w:sz w:val="32"/>
          <w:szCs w:val="32"/>
          <w:highlight w:val="yellow"/>
        </w:rPr>
      </w:pPr>
      <w:r>
        <w:rPr>
          <w:rFonts w:ascii="Times New Roman" w:hAnsi="Times New Roman" w:cs="Times New Roman"/>
          <w:spacing w:val="8"/>
          <w:sz w:val="32"/>
          <w:szCs w:val="32"/>
        </w:rPr>
        <w:t>项目2023年的主要实施内容：</w:t>
      </w:r>
      <w:r>
        <w:rPr>
          <w:rFonts w:hint="default" w:ascii="Times New Roman" w:hAnsi="Times New Roman" w:eastAsia="方正仿宋_GBK" w:cs="Times New Roman"/>
          <w:kern w:val="2"/>
          <w:sz w:val="32"/>
          <w:szCs w:val="32"/>
          <w:lang w:val="en-US" w:eastAsia="zh-CN" w:bidi="ar-SA"/>
        </w:rPr>
        <w:t>根据新市监</w:t>
      </w:r>
      <w:r>
        <w:rPr>
          <w:rFonts w:hint="default" w:ascii="Times New Roman" w:hAnsi="Times New Roman" w:eastAsia="方正仿宋_GBK" w:cs="Times New Roman"/>
          <w:kern w:val="2"/>
          <w:sz w:val="32"/>
          <w:szCs w:val="32"/>
          <w:highlight w:val="none"/>
          <w:lang w:val="en-US" w:eastAsia="zh-CN" w:bidi="ar-SA"/>
        </w:rPr>
        <w:t>办财</w:t>
      </w:r>
      <w:r>
        <w:rPr>
          <w:rFonts w:hint="eastAsia" w:ascii="仿宋_GB2312" w:hAnsi="仿宋_GB2312" w:cs="仿宋_GB2312"/>
          <w:kern w:val="2"/>
          <w:sz w:val="32"/>
          <w:szCs w:val="32"/>
          <w:highlight w:val="none"/>
          <w:lang w:val="en-US" w:eastAsia="zh-CN" w:bidi="ar-SA"/>
        </w:rPr>
        <w:t>[</w:t>
      </w:r>
      <w:r>
        <w:rPr>
          <w:rFonts w:hint="default" w:ascii="Times New Roman" w:hAnsi="Times New Roman" w:eastAsia="方正仿宋_GBK" w:cs="Times New Roman"/>
          <w:kern w:val="2"/>
          <w:sz w:val="32"/>
          <w:szCs w:val="32"/>
          <w:highlight w:val="none"/>
          <w:lang w:val="en-US" w:eastAsia="zh-CN" w:bidi="ar-SA"/>
        </w:rPr>
        <w:t>2021</w:t>
      </w:r>
      <w:r>
        <w:rPr>
          <w:rFonts w:hint="eastAsia" w:ascii="仿宋_GB2312" w:hAnsi="仿宋_GB2312" w:cs="仿宋_GB2312"/>
          <w:kern w:val="2"/>
          <w:sz w:val="32"/>
          <w:szCs w:val="32"/>
          <w:highlight w:val="none"/>
          <w:lang w:val="en-US" w:eastAsia="zh-CN" w:bidi="ar-SA"/>
        </w:rPr>
        <w:t>]</w:t>
      </w:r>
      <w:r>
        <w:rPr>
          <w:rFonts w:hint="default" w:ascii="Times New Roman" w:hAnsi="Times New Roman" w:eastAsia="方正仿宋_GBK" w:cs="Times New Roman"/>
          <w:kern w:val="2"/>
          <w:sz w:val="32"/>
          <w:szCs w:val="32"/>
          <w:highlight w:val="none"/>
          <w:lang w:val="en-US" w:eastAsia="zh-CN" w:bidi="ar-SA"/>
        </w:rPr>
        <w:t>4号文件指</w:t>
      </w:r>
      <w:r>
        <w:rPr>
          <w:rFonts w:hint="default" w:ascii="Times New Roman" w:hAnsi="Times New Roman" w:eastAsia="方正仿宋_GBK" w:cs="Times New Roman"/>
          <w:kern w:val="2"/>
          <w:sz w:val="32"/>
          <w:szCs w:val="32"/>
          <w:lang w:val="en-US" w:eastAsia="zh-CN" w:bidi="ar-SA"/>
        </w:rPr>
        <w:t>示</w:t>
      </w:r>
      <w:r>
        <w:rPr>
          <w:rFonts w:hint="eastAsia" w:eastAsia="方正仿宋_GBK" w:cs="Times New Roman"/>
          <w:kern w:val="2"/>
          <w:sz w:val="32"/>
          <w:szCs w:val="32"/>
          <w:lang w:val="en-US" w:eastAsia="zh-CN" w:bidi="ar-SA"/>
        </w:rPr>
        <w:t>，</w:t>
      </w:r>
      <w:r>
        <w:rPr>
          <w:rFonts w:hint="default" w:ascii="Times New Roman" w:hAnsi="Times New Roman" w:eastAsia="方正仿宋_GBK" w:cs="Times New Roman"/>
          <w:sz w:val="32"/>
          <w:szCs w:val="32"/>
        </w:rPr>
        <w:t>为切实做好首次配发综合行政执法制式服装和标志工作，水区市场监督管理局经水区司法局核实有133人符合首次配发综合行政执法制式服装和标志的条件，根据</w:t>
      </w:r>
      <w:r>
        <w:rPr>
          <w:rFonts w:hint="default" w:ascii="Times New Roman" w:hAnsi="Times New Roman" w:eastAsia="方正仿宋_GBK" w:cs="Times New Roman"/>
          <w:kern w:val="2"/>
          <w:sz w:val="32"/>
          <w:szCs w:val="32"/>
          <w:lang w:val="en-US" w:eastAsia="zh-CN" w:bidi="ar-SA"/>
        </w:rPr>
        <w:t>《新疆维吾尔自治区综合行政执法制式服装和标志管理实施办法》</w:t>
      </w:r>
      <w:r>
        <w:rPr>
          <w:rFonts w:hint="eastAsia" w:eastAsia="方正仿宋_GBK" w:cs="Times New Roman"/>
          <w:kern w:val="2"/>
          <w:sz w:val="32"/>
          <w:szCs w:val="32"/>
          <w:lang w:val="en-US" w:eastAsia="zh-CN" w:bidi="ar-SA"/>
        </w:rPr>
        <w:t>中</w:t>
      </w:r>
      <w:r>
        <w:rPr>
          <w:rFonts w:hint="default" w:ascii="Times New Roman" w:hAnsi="Times New Roman" w:eastAsia="方正仿宋_GBK" w:cs="Times New Roman"/>
          <w:sz w:val="32"/>
          <w:szCs w:val="32"/>
        </w:rPr>
        <w:t>综合行政</w:t>
      </w:r>
      <w:r>
        <w:rPr>
          <w:rFonts w:hint="eastAsia" w:eastAsia="方正仿宋_GBK" w:cs="Times New Roman"/>
          <w:sz w:val="32"/>
          <w:szCs w:val="32"/>
          <w:lang w:eastAsia="zh-CN"/>
        </w:rPr>
        <w:t>执</w:t>
      </w:r>
      <w:r>
        <w:rPr>
          <w:rFonts w:hint="default" w:ascii="Times New Roman" w:hAnsi="Times New Roman" w:eastAsia="方正仿宋_GBK" w:cs="Times New Roman"/>
          <w:sz w:val="32"/>
          <w:szCs w:val="32"/>
        </w:rPr>
        <w:t>法制式服装和标志定额标准</w:t>
      </w:r>
      <w:r>
        <w:rPr>
          <w:rFonts w:hint="eastAsia" w:eastAsia="方正仿宋_GBK" w:cs="Times New Roman"/>
          <w:sz w:val="32"/>
          <w:szCs w:val="32"/>
          <w:lang w:eastAsia="zh-CN"/>
        </w:rPr>
        <w:t>，</w:t>
      </w:r>
      <w:r>
        <w:rPr>
          <w:rFonts w:hint="default" w:ascii="Times New Roman" w:hAnsi="Times New Roman" w:eastAsia="方正仿宋_GBK" w:cs="Times New Roman"/>
          <w:sz w:val="32"/>
          <w:szCs w:val="32"/>
        </w:rPr>
        <w:t>为水区市场监督管理局133名执法人员配备了综合行政执法制式服装。2021年12月</w:t>
      </w:r>
      <w:r>
        <w:rPr>
          <w:rFonts w:hint="eastAsia" w:eastAsia="方正仿宋_GBK" w:cs="Times New Roman"/>
          <w:sz w:val="32"/>
          <w:szCs w:val="32"/>
          <w:lang w:eastAsia="zh-CN"/>
        </w:rPr>
        <w:t>完成</w:t>
      </w:r>
      <w:r>
        <w:rPr>
          <w:rFonts w:hint="default" w:ascii="Times New Roman" w:hAnsi="Times New Roman" w:eastAsia="方正仿宋_GBK" w:cs="Times New Roman"/>
          <w:sz w:val="32"/>
          <w:szCs w:val="32"/>
        </w:rPr>
        <w:t>综合行政执法制式服装和标志的</w:t>
      </w:r>
      <w:r>
        <w:rPr>
          <w:rFonts w:hint="eastAsia" w:eastAsia="方正仿宋_GBK" w:cs="Times New Roman"/>
          <w:sz w:val="32"/>
          <w:szCs w:val="32"/>
          <w:lang w:eastAsia="zh-CN"/>
        </w:rPr>
        <w:t>验收和发放工作，</w:t>
      </w:r>
      <w:r>
        <w:rPr>
          <w:rFonts w:hint="default" w:ascii="Times New Roman" w:hAnsi="Times New Roman" w:eastAsia="方正仿宋_GBK" w:cs="Times New Roman"/>
          <w:sz w:val="32"/>
          <w:szCs w:val="32"/>
        </w:rPr>
        <w:t>2023年12月支付了执法制式服装和标志款项27.45万</w:t>
      </w:r>
      <w:r>
        <w:rPr>
          <w:rFonts w:hint="default" w:ascii="Times New Roman" w:hAnsi="Times New Roman" w:eastAsia="方正仿宋_GBK" w:cs="Times New Roman"/>
          <w:sz w:val="32"/>
          <w:szCs w:val="32"/>
          <w:highlight w:val="none"/>
        </w:rPr>
        <w:t>元</w:t>
      </w:r>
      <w:r>
        <w:rPr>
          <w:rStyle w:val="19"/>
          <w:rFonts w:hint="default" w:ascii="Times New Roman" w:hAnsi="Times New Roman" w:eastAsia="方正仿宋_GBK" w:cs="Times New Roman"/>
          <w:b w:val="0"/>
          <w:spacing w:val="-4"/>
          <w:sz w:val="32"/>
          <w:szCs w:val="32"/>
          <w:highlight w:val="none"/>
        </w:rPr>
        <w:t>。</w:t>
      </w:r>
    </w:p>
    <w:p w14:paraId="67BF1295">
      <w:pPr>
        <w:spacing w:line="560" w:lineRule="exact"/>
        <w:ind w:firstLine="672"/>
        <w:rPr>
          <w:rFonts w:hint="default" w:ascii="Times New Roman" w:hAnsi="Times New Roman" w:cs="Times New Roman"/>
          <w:spacing w:val="8"/>
          <w:sz w:val="32"/>
          <w:szCs w:val="32"/>
          <w:lang w:val="en-US" w:eastAsia="zh-CN"/>
        </w:rPr>
      </w:pPr>
      <w:r>
        <w:rPr>
          <w:rFonts w:ascii="Times New Roman" w:hAnsi="Times New Roman" w:cs="Times New Roman"/>
          <w:spacing w:val="8"/>
          <w:sz w:val="32"/>
          <w:szCs w:val="32"/>
        </w:rPr>
        <w:t>2023年当年完成情况，实际完成情况为：</w:t>
      </w:r>
      <w:r>
        <w:rPr>
          <w:rFonts w:hint="eastAsia" w:ascii="方正仿宋_GBK" w:hAnsi="方正仿宋_GBK" w:eastAsia="方正仿宋_GBK" w:cs="方正仿宋_GBK"/>
          <w:sz w:val="32"/>
          <w:szCs w:val="32"/>
        </w:rPr>
        <w:t>目前，该项目已圆满达成既定目标。项目由自治区市场监督管理总局统筹，负责统一招标工作，水区市场监督管理局则依照招标结果，与中标单位签订购买合同，</w:t>
      </w:r>
      <w:r>
        <w:rPr>
          <w:rFonts w:hint="default" w:ascii="Times New Roman" w:hAnsi="Times New Roman" w:eastAsia="方正仿宋_GBK" w:cs="Times New Roman"/>
          <w:sz w:val="32"/>
          <w:szCs w:val="32"/>
        </w:rPr>
        <w:t>为水区市场监督管理局133名执法人员配备了综合行政执法制式服装</w:t>
      </w:r>
      <w:r>
        <w:rPr>
          <w:rFonts w:hint="eastAsia" w:eastAsia="方正仿宋_GBK" w:cs="Times New Roman"/>
          <w:sz w:val="32"/>
          <w:szCs w:val="32"/>
          <w:lang w:eastAsia="zh-CN"/>
        </w:rPr>
        <w:t>，综合行政执法服装配备率</w:t>
      </w:r>
      <w:r>
        <w:rPr>
          <w:rFonts w:hint="eastAsia" w:eastAsia="方正仿宋_GBK" w:cs="Times New Roman"/>
          <w:sz w:val="32"/>
          <w:szCs w:val="32"/>
          <w:lang w:val="en-US" w:eastAsia="zh-CN"/>
        </w:rPr>
        <w:t>100%，</w:t>
      </w:r>
      <w:r>
        <w:rPr>
          <w:rFonts w:hint="eastAsia" w:ascii="方正仿宋_GBK" w:hAnsi="方正仿宋_GBK" w:eastAsia="方正仿宋_GBK" w:cs="方正仿宋_GBK"/>
          <w:sz w:val="32"/>
          <w:szCs w:val="32"/>
        </w:rPr>
        <w:t>每人综合行政执法服装成</w:t>
      </w:r>
      <w:r>
        <w:rPr>
          <w:rFonts w:hint="eastAsia" w:eastAsia="方正仿宋_GBK" w:cs="Times New Roman"/>
          <w:sz w:val="32"/>
          <w:szCs w:val="32"/>
          <w:lang w:val="en-US" w:eastAsia="zh-CN"/>
        </w:rPr>
        <w:t>本2060元，</w:t>
      </w:r>
      <w:r>
        <w:rPr>
          <w:rFonts w:hint="eastAsia" w:ascii="方正仿宋_GBK" w:hAnsi="方正仿宋_GBK" w:eastAsia="方正仿宋_GBK" w:cs="方正仿宋_GBK"/>
          <w:sz w:val="32"/>
          <w:szCs w:val="32"/>
        </w:rPr>
        <w:t>确保采购工作合规、准确。生产环节中，厂家派遣专业人员，为执法人员进行服装尺寸测量，严格按照合同约定的款式、材质和工艺要求制作服装，完成制作后及时发货，保障供应时效。服装到货后，水区市场监督管理局立即组织验收工作，秉持严格标准，对服装质量进行全方位检查，确保服装品质过硬</w:t>
      </w:r>
      <w:r>
        <w:rPr>
          <w:rFonts w:hint="eastAsia" w:ascii="方正仿宋_GBK" w:hAnsi="方正仿宋_GBK" w:eastAsia="方正仿宋_GBK" w:cs="方正仿宋_GBK"/>
          <w:sz w:val="32"/>
          <w:szCs w:val="32"/>
          <w:lang w:eastAsia="zh-CN"/>
        </w:rPr>
        <w:t>，</w:t>
      </w:r>
      <w:r>
        <w:rPr>
          <w:rFonts w:hint="eastAsia" w:eastAsia="方正仿宋_GBK" w:cs="Times New Roman"/>
          <w:sz w:val="32"/>
          <w:szCs w:val="32"/>
          <w:lang w:eastAsia="zh-CN"/>
        </w:rPr>
        <w:t>服装采购验收合格率</w:t>
      </w:r>
      <w:r>
        <w:rPr>
          <w:rFonts w:hint="eastAsia" w:eastAsia="方正仿宋_GBK" w:cs="Times New Roman"/>
          <w:sz w:val="32"/>
          <w:szCs w:val="32"/>
          <w:lang w:val="en-US" w:eastAsia="zh-CN"/>
        </w:rPr>
        <w:t>100%</w:t>
      </w:r>
      <w:r>
        <w:rPr>
          <w:rFonts w:hint="eastAsia" w:ascii="方正仿宋_GBK" w:hAnsi="方正仿宋_GBK" w:eastAsia="方正仿宋_GBK" w:cs="方正仿宋_GBK"/>
          <w:sz w:val="32"/>
          <w:szCs w:val="32"/>
        </w:rPr>
        <w:t>。验收合格后，迅速组织发放，将服装精准发放到每一位执法人员手中。同时，水区财政局全力做好资金保障工作，确保项目资金按时、足额到位，为项目的顺利开展提供坚实的财力支持。</w:t>
      </w:r>
      <w:r>
        <w:rPr>
          <w:rFonts w:hint="eastAsia" w:ascii="方正仿宋_GBK" w:hAnsi="方正仿宋_GBK" w:eastAsia="方正仿宋_GBK" w:cs="方正仿宋_GBK"/>
          <w:sz w:val="32"/>
          <w:szCs w:val="32"/>
          <w:lang w:eastAsia="zh-CN"/>
        </w:rPr>
        <w:t>我局执法人员</w:t>
      </w:r>
      <w:r>
        <w:rPr>
          <w:rFonts w:hint="eastAsia" w:eastAsia="方正仿宋_GBK" w:cs="Times New Roman"/>
          <w:sz w:val="32"/>
          <w:szCs w:val="32"/>
          <w:lang w:val="en-US" w:eastAsia="zh-CN"/>
        </w:rPr>
        <w:t>2024年完成市场监督检查工作1593户。</w:t>
      </w:r>
      <w:r>
        <w:rPr>
          <w:rFonts w:hint="eastAsia" w:ascii="方正仿宋_GBK" w:hAnsi="方正仿宋_GBK" w:eastAsia="方正仿宋_GBK" w:cs="方正仿宋_GBK"/>
          <w:sz w:val="32"/>
          <w:szCs w:val="32"/>
        </w:rPr>
        <w:t>在整个项目实施进程中，各参与方严格遵循目标设定的各阶段任务有序推进，全面落实</w:t>
      </w:r>
      <w:r>
        <w:rPr>
          <w:rFonts w:hint="eastAsia" w:ascii="方正仿宋_GBK" w:hAnsi="方正仿宋_GBK" w:eastAsia="方正仿宋_GBK" w:cs="方正仿宋_GBK"/>
          <w:sz w:val="32"/>
          <w:szCs w:val="32"/>
          <w:lang w:eastAsia="zh-CN"/>
        </w:rPr>
        <w:t>各项</w:t>
      </w:r>
      <w:r>
        <w:rPr>
          <w:rFonts w:hint="eastAsia" w:ascii="方正仿宋_GBK" w:hAnsi="方正仿宋_GBK" w:eastAsia="方正仿宋_GBK" w:cs="方正仿宋_GBK"/>
          <w:sz w:val="32"/>
          <w:szCs w:val="32"/>
        </w:rPr>
        <w:t>管理措施，实现项目实施各阶段安全、平稳、高效开展，圆满完成了此次执法服装配备工作。</w:t>
      </w:r>
    </w:p>
    <w:p w14:paraId="5AEFE973">
      <w:pPr>
        <w:pStyle w:val="4"/>
        <w:spacing w:before="0" w:after="0" w:line="560" w:lineRule="exact"/>
        <w:ind w:firstLine="643"/>
        <w:rPr>
          <w:rFonts w:ascii="Times New Roman" w:hAnsi="Times New Roman" w:cs="Times New Roman"/>
        </w:rPr>
      </w:pPr>
      <w:bookmarkStart w:id="5" w:name="_Toc32047"/>
      <w:r>
        <w:rPr>
          <w:rFonts w:ascii="Times New Roman" w:hAnsi="Times New Roman" w:cs="Times New Roman"/>
        </w:rPr>
        <w:t>2. 资金投入和使用情况</w:t>
      </w:r>
      <w:bookmarkEnd w:id="5"/>
    </w:p>
    <w:p w14:paraId="7798EB6B">
      <w:pPr>
        <w:spacing w:line="560" w:lineRule="exact"/>
        <w:ind w:firstLine="672"/>
        <w:rPr>
          <w:rFonts w:hint="default" w:ascii="Times New Roman" w:hAnsi="Times New Roman" w:cs="Times New Roman"/>
          <w:spacing w:val="8"/>
          <w:sz w:val="32"/>
          <w:szCs w:val="32"/>
          <w:lang w:val="en-US" w:eastAsia="zh-CN"/>
        </w:rPr>
      </w:pPr>
      <w:r>
        <w:rPr>
          <w:rFonts w:hint="eastAsia" w:ascii="Times New Roman" w:hAnsi="Times New Roman" w:cs="Times New Roman"/>
          <w:spacing w:val="8"/>
          <w:sz w:val="32"/>
          <w:szCs w:val="32"/>
        </w:rPr>
        <w:t>该项目资金投入情况：</w:t>
      </w:r>
      <w:r>
        <w:rPr>
          <w:rFonts w:hint="eastAsia" w:eastAsia="方正仿宋_GBK" w:cs="Times New Roman"/>
          <w:sz w:val="32"/>
          <w:szCs w:val="32"/>
          <w:highlight w:val="none"/>
          <w:lang w:eastAsia="zh-CN"/>
        </w:rPr>
        <w:t>经水财预</w:t>
      </w:r>
      <w:r>
        <w:rPr>
          <w:rFonts w:hint="eastAsia" w:eastAsia="方正仿宋_GBK" w:cs="Times New Roman"/>
          <w:sz w:val="32"/>
          <w:szCs w:val="32"/>
          <w:highlight w:val="none"/>
          <w:lang w:val="en-US" w:eastAsia="zh-CN"/>
        </w:rPr>
        <w:t>[</w:t>
      </w:r>
      <w:r>
        <w:rPr>
          <w:rFonts w:hint="eastAsia" w:eastAsia="方正仿宋_GBK" w:cs="Times New Roman"/>
          <w:sz w:val="32"/>
          <w:szCs w:val="32"/>
          <w:highlight w:val="none"/>
          <w:lang w:eastAsia="zh-CN"/>
        </w:rPr>
        <w:t>2024</w:t>
      </w:r>
      <w:r>
        <w:rPr>
          <w:rFonts w:hint="eastAsia" w:eastAsia="方正仿宋_GBK" w:cs="Times New Roman"/>
          <w:sz w:val="32"/>
          <w:szCs w:val="32"/>
          <w:highlight w:val="none"/>
          <w:lang w:val="en-US" w:eastAsia="zh-CN"/>
        </w:rPr>
        <w:t>]</w:t>
      </w:r>
      <w:r>
        <w:rPr>
          <w:rFonts w:hint="eastAsia" w:eastAsia="方正仿宋_GBK" w:cs="Times New Roman"/>
          <w:sz w:val="32"/>
          <w:szCs w:val="32"/>
          <w:highlight w:val="none"/>
          <w:lang w:eastAsia="zh-CN"/>
        </w:rPr>
        <w:t>20号《关于下达2024年水磨沟区部门预算的通知》文件批准，</w:t>
      </w:r>
      <w:r>
        <w:rPr>
          <w:rFonts w:hint="default" w:ascii="Times New Roman" w:hAnsi="Times New Roman" w:eastAsia="方正仿宋_GBK" w:cs="Times New Roman"/>
          <w:sz w:val="32"/>
          <w:szCs w:val="32"/>
          <w:highlight w:val="none"/>
        </w:rPr>
        <w:t>该项目系2024年本级资金，共安排预算</w:t>
      </w:r>
      <w:r>
        <w:rPr>
          <w:rFonts w:hint="default" w:ascii="Times New Roman" w:hAnsi="Times New Roman" w:eastAsia="方正仿宋_GBK" w:cs="Times New Roman"/>
          <w:sz w:val="32"/>
          <w:szCs w:val="32"/>
          <w:highlight w:val="none"/>
          <w:lang w:val="en-US" w:eastAsia="zh-CN"/>
        </w:rPr>
        <w:t>27.45</w:t>
      </w:r>
      <w:r>
        <w:rPr>
          <w:rFonts w:hint="default" w:ascii="Times New Roman" w:hAnsi="Times New Roman" w:eastAsia="方正仿宋_GBK" w:cs="Times New Roman"/>
          <w:sz w:val="32"/>
          <w:szCs w:val="32"/>
          <w:highlight w:val="none"/>
        </w:rPr>
        <w:t>万元，</w:t>
      </w:r>
      <w:r>
        <w:rPr>
          <w:rFonts w:hint="eastAsia" w:ascii="Times New Roman" w:hAnsi="Times New Roman" w:cs="Times New Roman"/>
          <w:spacing w:val="8"/>
          <w:sz w:val="32"/>
          <w:szCs w:val="32"/>
          <w:lang w:eastAsia="zh-CN"/>
        </w:rPr>
        <w:t>为</w:t>
      </w:r>
      <w:r>
        <w:rPr>
          <w:rFonts w:hint="eastAsia" w:ascii="Times New Roman" w:hAnsi="Times New Roman" w:cs="Times New Roman"/>
          <w:spacing w:val="8"/>
          <w:sz w:val="32"/>
          <w:szCs w:val="32"/>
        </w:rPr>
        <w:t>202</w:t>
      </w:r>
      <w:r>
        <w:rPr>
          <w:rFonts w:hint="eastAsia" w:ascii="Times New Roman" w:hAnsi="Times New Roman" w:cs="Times New Roman"/>
          <w:spacing w:val="8"/>
          <w:sz w:val="32"/>
          <w:szCs w:val="32"/>
          <w:lang w:val="en-US" w:eastAsia="zh-CN"/>
        </w:rPr>
        <w:t>4</w:t>
      </w:r>
      <w:r>
        <w:rPr>
          <w:rFonts w:hint="eastAsia" w:ascii="Times New Roman" w:hAnsi="Times New Roman" w:cs="Times New Roman"/>
          <w:spacing w:val="8"/>
          <w:sz w:val="32"/>
          <w:szCs w:val="32"/>
        </w:rPr>
        <w:t>年年初预算批复项目</w:t>
      </w:r>
      <w:r>
        <w:rPr>
          <w:rFonts w:hint="eastAsia" w:ascii="Times New Roman" w:hAnsi="Times New Roman" w:cs="Times New Roman"/>
          <w:spacing w:val="8"/>
          <w:sz w:val="32"/>
          <w:szCs w:val="32"/>
          <w:lang w:eastAsia="zh-CN"/>
        </w:rPr>
        <w:t>，</w:t>
      </w:r>
      <w:r>
        <w:rPr>
          <w:rFonts w:hint="eastAsia" w:ascii="Times New Roman" w:hAnsi="Times New Roman" w:cs="Times New Roman"/>
          <w:spacing w:val="8"/>
          <w:sz w:val="32"/>
          <w:szCs w:val="32"/>
          <w:lang w:val="en-US" w:eastAsia="zh-CN"/>
        </w:rPr>
        <w:t>年中资金无任何调整。</w:t>
      </w:r>
    </w:p>
    <w:p w14:paraId="59C80A21">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该项目资金使用情况：</w:t>
      </w:r>
      <w:r>
        <w:rPr>
          <w:rFonts w:hint="eastAsia" w:ascii="Times New Roman" w:hAnsi="Times New Roman" w:cs="Times New Roman"/>
          <w:spacing w:val="8"/>
          <w:sz w:val="32"/>
          <w:szCs w:val="32"/>
          <w:lang w:eastAsia="zh-CN"/>
        </w:rPr>
        <w:t>该项目全年预算</w:t>
      </w:r>
      <w:r>
        <w:rPr>
          <w:rFonts w:hint="default" w:ascii="Times New Roman" w:hAnsi="Times New Roman" w:eastAsia="方正仿宋_GBK" w:cs="Times New Roman"/>
          <w:sz w:val="32"/>
          <w:szCs w:val="32"/>
          <w:highlight w:val="none"/>
          <w:lang w:val="en-US" w:eastAsia="zh-CN"/>
        </w:rPr>
        <w:t>27.45</w:t>
      </w:r>
      <w:r>
        <w:rPr>
          <w:rFonts w:hint="eastAsia" w:ascii="Times New Roman" w:hAnsi="Times New Roman" w:cs="Times New Roman"/>
          <w:spacing w:val="8"/>
          <w:sz w:val="32"/>
          <w:szCs w:val="32"/>
          <w:lang w:val="en-US" w:eastAsia="zh-CN"/>
        </w:rPr>
        <w:t>万元，项目资金为消化2023年暂付款项。</w:t>
      </w:r>
      <w:r>
        <w:rPr>
          <w:rFonts w:hint="eastAsia" w:eastAsia="方正仿宋_GBK" w:cs="Times New Roman"/>
          <w:sz w:val="32"/>
          <w:szCs w:val="32"/>
          <w:highlight w:val="none"/>
          <w:lang w:eastAsia="zh-CN"/>
        </w:rPr>
        <w:t>资金全部</w:t>
      </w:r>
      <w:r>
        <w:rPr>
          <w:rFonts w:hint="default" w:ascii="Times New Roman" w:hAnsi="Times New Roman" w:eastAsia="方正仿宋_GBK" w:cs="Times New Roman"/>
          <w:sz w:val="32"/>
          <w:szCs w:val="32"/>
          <w:highlight w:val="none"/>
        </w:rPr>
        <w:t>用于</w:t>
      </w:r>
      <w:r>
        <w:rPr>
          <w:rFonts w:hint="default" w:ascii="Times New Roman" w:hAnsi="Times New Roman" w:eastAsia="方正仿宋_GBK" w:cs="Times New Roman"/>
          <w:sz w:val="32"/>
          <w:szCs w:val="32"/>
          <w:highlight w:val="none"/>
          <w:lang w:eastAsia="zh-CN"/>
        </w:rPr>
        <w:t>购置</w:t>
      </w:r>
      <w:r>
        <w:rPr>
          <w:rFonts w:hint="default" w:ascii="Times New Roman" w:hAnsi="Times New Roman" w:eastAsia="方正仿宋_GBK" w:cs="Times New Roman"/>
          <w:sz w:val="32"/>
          <w:szCs w:val="32"/>
          <w:highlight w:val="none"/>
        </w:rPr>
        <w:t>综合行政</w:t>
      </w:r>
      <w:r>
        <w:rPr>
          <w:rFonts w:hint="default" w:ascii="Times New Roman" w:hAnsi="Times New Roman" w:eastAsia="方正仿宋_GBK" w:cs="Times New Roman"/>
          <w:sz w:val="32"/>
          <w:szCs w:val="32"/>
          <w:highlight w:val="none"/>
          <w:lang w:eastAsia="zh-CN"/>
        </w:rPr>
        <w:t>执</w:t>
      </w:r>
      <w:r>
        <w:rPr>
          <w:rFonts w:hint="default" w:ascii="Times New Roman" w:hAnsi="Times New Roman" w:eastAsia="方正仿宋_GBK" w:cs="Times New Roman"/>
          <w:sz w:val="32"/>
          <w:szCs w:val="32"/>
          <w:highlight w:val="none"/>
        </w:rPr>
        <w:t>法制式服装和标志。</w:t>
      </w:r>
      <w:r>
        <w:rPr>
          <w:rFonts w:hint="eastAsia" w:ascii="Times New Roman" w:hAnsi="Times New Roman" w:cs="Times New Roman"/>
          <w:spacing w:val="8"/>
          <w:sz w:val="32"/>
          <w:szCs w:val="32"/>
          <w:lang w:val="en-US" w:eastAsia="zh-CN"/>
        </w:rPr>
        <w:t>项目资金全部执行完毕，预算执行率100%。</w:t>
      </w:r>
    </w:p>
    <w:p w14:paraId="6413E74B">
      <w:pPr>
        <w:pStyle w:val="3"/>
        <w:spacing w:before="0" w:after="0" w:line="560" w:lineRule="exact"/>
        <w:ind w:firstLine="643"/>
        <w:rPr>
          <w:rFonts w:ascii="Times New Roman" w:hAnsi="Times New Roman" w:eastAsia="楷体" w:cs="Times New Roman"/>
          <w:bCs w:val="0"/>
        </w:rPr>
      </w:pPr>
      <w:bookmarkStart w:id="6" w:name="_Toc67911603"/>
      <w:bookmarkStart w:id="7" w:name="_Toc22403"/>
      <w:r>
        <w:rPr>
          <w:rFonts w:ascii="Times New Roman" w:hAnsi="Times New Roman" w:eastAsia="楷体" w:cs="Times New Roman"/>
          <w:bCs w:val="0"/>
        </w:rPr>
        <w:t>（二）项目绩效目标</w:t>
      </w:r>
      <w:bookmarkEnd w:id="6"/>
      <w:bookmarkEnd w:id="7"/>
    </w:p>
    <w:p w14:paraId="25B8B0A4">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本项目依据《中共中央 国务院关于全面实施预算绩效管理的意见》（中发</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2018</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34号）、《关于印发&lt;乌鲁木齐市本级部门预算绩效目标管理暂行办法&gt;的通知》（乌财预</w:t>
      </w:r>
      <w:bookmarkStart w:id="8" w:name="_Hlk67566397"/>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2018</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56号</w:t>
      </w:r>
      <w:bookmarkEnd w:id="8"/>
      <w:r>
        <w:rPr>
          <w:rFonts w:hint="eastAsia" w:ascii="Times New Roman" w:hAnsi="Times New Roman" w:cs="Times New Roman"/>
          <w:spacing w:val="8"/>
          <w:sz w:val="32"/>
          <w:szCs w:val="32"/>
        </w:rPr>
        <w:t>）、《关于印发&lt;自治区项目支出绩效目标设置指引&gt;的通知》（新财预</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2022</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p>
    <w:p w14:paraId="305A3698">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该项目为当年一次性项目项目。</w:t>
      </w:r>
    </w:p>
    <w:p w14:paraId="0ED76077">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该项目总体绩效目标：水区市场监督管理局为我局133名综合行政执法人员首次配发综合行政执法制式服装和标志。为了持续加强市场监管队伍建设，推进规范文明执法，督促综合行政执法人员规范穿着制式服装、佩戴标志，严肃仪容仪表及执法风纪。</w:t>
      </w:r>
    </w:p>
    <w:p w14:paraId="681FBFF7">
      <w:pPr>
        <w:spacing w:line="560" w:lineRule="exact"/>
        <w:ind w:firstLine="672"/>
        <w:rPr>
          <w:rFonts w:ascii="Times New Roman" w:hAnsi="Times New Roman" w:eastAsia="黑体" w:cs="Times New Roman"/>
          <w:b w:val="0"/>
          <w:bCs w:val="0"/>
          <w:kern w:val="2"/>
          <w:sz w:val="32"/>
          <w:szCs w:val="32"/>
        </w:rPr>
      </w:pPr>
      <w:bookmarkStart w:id="9" w:name="_Toc67911604"/>
      <w:bookmarkStart w:id="10" w:name="_Toc10640"/>
      <w:r>
        <w:rPr>
          <w:rFonts w:ascii="Times New Roman" w:hAnsi="Times New Roman" w:eastAsia="黑体" w:cs="Times New Roman"/>
          <w:b w:val="0"/>
          <w:bCs w:val="0"/>
          <w:kern w:val="2"/>
          <w:sz w:val="32"/>
          <w:szCs w:val="32"/>
        </w:rPr>
        <w:t>二、绩效评价工作开展情况</w:t>
      </w:r>
      <w:bookmarkEnd w:id="9"/>
      <w:bookmarkEnd w:id="10"/>
    </w:p>
    <w:p w14:paraId="3C808AFA">
      <w:pPr>
        <w:pStyle w:val="3"/>
        <w:spacing w:before="0" w:after="0" w:line="560" w:lineRule="exact"/>
        <w:ind w:firstLine="643"/>
        <w:rPr>
          <w:rFonts w:ascii="Times New Roman" w:hAnsi="Times New Roman" w:eastAsia="楷体" w:cs="Times New Roman"/>
          <w:bCs w:val="0"/>
        </w:rPr>
      </w:pPr>
      <w:bookmarkStart w:id="11" w:name="_Toc379"/>
      <w:bookmarkStart w:id="12" w:name="_Toc67911605"/>
      <w:r>
        <w:rPr>
          <w:rFonts w:ascii="Times New Roman" w:hAnsi="Times New Roman" w:eastAsia="楷体" w:cs="Times New Roman"/>
          <w:bCs w:val="0"/>
        </w:rPr>
        <w:t>（一）绩效评价目的、对象和范围</w:t>
      </w:r>
      <w:bookmarkEnd w:id="11"/>
      <w:bookmarkEnd w:id="12"/>
    </w:p>
    <w:p w14:paraId="1FEEB881">
      <w:pPr>
        <w:pStyle w:val="4"/>
        <w:spacing w:before="0" w:after="0" w:line="560" w:lineRule="exact"/>
        <w:ind w:firstLine="643"/>
        <w:rPr>
          <w:rFonts w:ascii="Times New Roman" w:hAnsi="Times New Roman" w:cs="Times New Roman"/>
        </w:rPr>
      </w:pPr>
      <w:bookmarkStart w:id="13" w:name="_Toc31735"/>
      <w:r>
        <w:rPr>
          <w:rFonts w:ascii="Times New Roman" w:hAnsi="Times New Roman" w:cs="Times New Roman"/>
        </w:rPr>
        <w:t>1. 绩效评价完整性</w:t>
      </w:r>
      <w:bookmarkEnd w:id="13"/>
    </w:p>
    <w:p w14:paraId="484A62B2">
      <w:pPr>
        <w:pStyle w:val="38"/>
        <w:spacing w:line="560" w:lineRule="exact"/>
        <w:ind w:firstLine="640"/>
        <w:rPr>
          <w:rFonts w:hint="eastAsia" w:ascii="Times New Roman" w:hAnsi="Times New Roman" w:eastAsia="方正仿宋_GBK" w:cs="Times New Roman"/>
          <w:kern w:val="2"/>
          <w:sz w:val="32"/>
          <w:szCs w:val="32"/>
          <w:lang w:val="en-US" w:eastAsia="zh-CN" w:bidi="ar-SA"/>
        </w:rPr>
      </w:pPr>
      <w:bookmarkStart w:id="14" w:name="_Toc120"/>
      <w:r>
        <w:rPr>
          <w:rFonts w:hint="eastAsia" w:ascii="Times New Roman" w:hAnsi="Times New Roman" w:eastAsia="方正仿宋_GBK" w:cs="Times New Roman"/>
          <w:kern w:val="2"/>
          <w:sz w:val="32"/>
          <w:szCs w:val="32"/>
          <w:lang w:val="en-US" w:eastAsia="zh-CN" w:bidi="ar-SA"/>
        </w:rPr>
        <w:t>首先，对预算资金的功能进行梳理，包括资金性质、支出范围、实施内容、工作任务、受益对象等，明确</w:t>
      </w:r>
      <w:r>
        <w:rPr>
          <w:rFonts w:hint="eastAsia" w:eastAsia="方正仿宋_GBK" w:cs="Times New Roman"/>
          <w:kern w:val="2"/>
          <w:sz w:val="32"/>
          <w:szCs w:val="32"/>
          <w:lang w:val="en-US" w:eastAsia="zh-CN" w:bidi="ar-SA"/>
        </w:rPr>
        <w:t>消化2023年暂付款</w:t>
      </w:r>
      <w:r>
        <w:rPr>
          <w:rFonts w:hint="eastAsia" w:ascii="Times New Roman" w:hAnsi="Times New Roman" w:eastAsia="方正仿宋_GBK" w:cs="Times New Roman"/>
          <w:kern w:val="2"/>
          <w:sz w:val="32"/>
          <w:szCs w:val="32"/>
          <w:lang w:val="en-US" w:eastAsia="zh-CN" w:bidi="ar-SA"/>
        </w:rPr>
        <w:t>项目的功能特性，确定预算执行能够取得的直接产出成果有哪些，进而确定产出数量指标，完成市场监督检查工作</w:t>
      </w:r>
      <w:r>
        <w:rPr>
          <w:rFonts w:hint="eastAsia" w:eastAsia="方正仿宋_GBK" w:cs="Times New Roman"/>
          <w:kern w:val="2"/>
          <w:sz w:val="32"/>
          <w:szCs w:val="32"/>
          <w:lang w:val="en-US" w:eastAsia="zh-CN" w:bidi="ar-SA"/>
        </w:rPr>
        <w:t>大于等于1000户</w:t>
      </w:r>
      <w:r>
        <w:rPr>
          <w:rFonts w:hint="eastAsia" w:ascii="Times New Roman" w:hAnsi="Times New Roman" w:eastAsia="方正仿宋_GBK" w:cs="Times New Roman"/>
          <w:kern w:val="2"/>
          <w:sz w:val="32"/>
          <w:szCs w:val="32"/>
          <w:lang w:val="en-US" w:eastAsia="zh-CN" w:bidi="ar-SA"/>
        </w:rPr>
        <w:t>，综合行政执法服装配备人数</w:t>
      </w:r>
      <w:r>
        <w:rPr>
          <w:rFonts w:hint="eastAsia" w:eastAsia="方正仿宋_GBK" w:cs="Times New Roman"/>
          <w:kern w:val="2"/>
          <w:sz w:val="32"/>
          <w:szCs w:val="32"/>
          <w:lang w:val="en-US" w:eastAsia="zh-CN" w:bidi="ar-SA"/>
        </w:rPr>
        <w:t>133人</w:t>
      </w:r>
      <w:r>
        <w:rPr>
          <w:rFonts w:hint="eastAsia" w:ascii="Times New Roman" w:hAnsi="Times New Roman" w:eastAsia="方正仿宋_GBK" w:cs="Times New Roman"/>
          <w:kern w:val="2"/>
          <w:sz w:val="32"/>
          <w:szCs w:val="32"/>
          <w:lang w:val="en-US" w:eastAsia="zh-CN" w:bidi="ar-SA"/>
        </w:rPr>
        <w:t>；其次逐项对照上级下达的任务要求、工作计划设定值、行业标准值、预算相应匹配值等，合理选择产出质量指标，服装采购验收合格率100%</w:t>
      </w:r>
      <w:r>
        <w:rPr>
          <w:rFonts w:hint="eastAsia" w:eastAsia="方正仿宋_GBK" w:cs="Times New Roman"/>
          <w:kern w:val="2"/>
          <w:sz w:val="32"/>
          <w:szCs w:val="32"/>
          <w:lang w:val="en-US" w:eastAsia="zh-CN" w:bidi="ar-SA"/>
        </w:rPr>
        <w:t>，综合行政执法服装配备率</w:t>
      </w:r>
      <w:r>
        <w:rPr>
          <w:rFonts w:hint="eastAsia" w:ascii="Times New Roman" w:hAnsi="Times New Roman" w:eastAsia="方正仿宋_GBK" w:cs="Times New Roman"/>
          <w:kern w:val="2"/>
          <w:sz w:val="32"/>
          <w:szCs w:val="32"/>
          <w:lang w:val="en-US" w:eastAsia="zh-CN" w:bidi="ar-SA"/>
        </w:rPr>
        <w:t>100%；再根据预算资金和已设立的产出数量指标，通过成本分析确定产出成本指标，每人综合行政执法服装成本</w:t>
      </w:r>
      <w:r>
        <w:rPr>
          <w:rFonts w:hint="eastAsia" w:eastAsia="方正仿宋_GBK" w:cs="Times New Roman"/>
          <w:kern w:val="2"/>
          <w:sz w:val="32"/>
          <w:szCs w:val="32"/>
          <w:lang w:val="en-US" w:eastAsia="zh-CN" w:bidi="ar-SA"/>
        </w:rPr>
        <w:t>2060</w:t>
      </w:r>
      <w:r>
        <w:rPr>
          <w:rFonts w:hint="eastAsia" w:ascii="Times New Roman" w:hAnsi="Times New Roman" w:eastAsia="方正仿宋_GBK" w:cs="Times New Roman"/>
          <w:kern w:val="2"/>
          <w:sz w:val="32"/>
          <w:szCs w:val="32"/>
          <w:lang w:val="en-US" w:eastAsia="zh-CN" w:bidi="ar-SA"/>
        </w:rPr>
        <w:t>元。最后根据</w:t>
      </w:r>
      <w:r>
        <w:rPr>
          <w:rFonts w:hint="eastAsia" w:eastAsia="方正仿宋_GBK" w:cs="Times New Roman"/>
          <w:kern w:val="2"/>
          <w:sz w:val="32"/>
          <w:szCs w:val="32"/>
          <w:lang w:val="en-US" w:eastAsia="zh-CN" w:bidi="ar-SA"/>
        </w:rPr>
        <w:t>消化2023年暂付款</w:t>
      </w:r>
      <w:r>
        <w:rPr>
          <w:rFonts w:hint="eastAsia" w:ascii="Times New Roman" w:hAnsi="Times New Roman" w:eastAsia="方正仿宋_GBK" w:cs="Times New Roman"/>
          <w:kern w:val="2"/>
          <w:sz w:val="32"/>
          <w:szCs w:val="32"/>
          <w:lang w:val="en-US" w:eastAsia="zh-CN" w:bidi="ar-SA"/>
        </w:rPr>
        <w:t>项目实施产生的影响确定社会效益指标，严肃仪容仪表及执法风纪</w:t>
      </w:r>
      <w:r>
        <w:rPr>
          <w:rFonts w:hint="eastAsia" w:eastAsia="方正仿宋_GBK" w:cs="Times New Roman"/>
          <w:kern w:val="2"/>
          <w:sz w:val="32"/>
          <w:szCs w:val="32"/>
          <w:lang w:val="en-US" w:eastAsia="zh-CN" w:bidi="ar-SA"/>
        </w:rPr>
        <w:t>和</w:t>
      </w:r>
      <w:r>
        <w:rPr>
          <w:rFonts w:hint="eastAsia" w:ascii="Times New Roman" w:hAnsi="Times New Roman" w:eastAsia="方正仿宋_GBK" w:cs="Times New Roman"/>
          <w:kern w:val="2"/>
          <w:sz w:val="32"/>
          <w:szCs w:val="32"/>
          <w:lang w:val="en-US" w:eastAsia="zh-CN" w:bidi="ar-SA"/>
        </w:rPr>
        <w:t>维护执法人员良好形象</w:t>
      </w:r>
      <w:r>
        <w:rPr>
          <w:rFonts w:hint="eastAsia" w:eastAsia="方正仿宋_GBK" w:cs="Times New Roman"/>
          <w:kern w:val="2"/>
          <w:sz w:val="32"/>
          <w:szCs w:val="32"/>
          <w:lang w:val="en-US" w:eastAsia="zh-CN" w:bidi="ar-SA"/>
        </w:rPr>
        <w:t>；</w:t>
      </w:r>
      <w:r>
        <w:rPr>
          <w:rFonts w:hint="eastAsia" w:ascii="Times New Roman" w:hAnsi="Times New Roman" w:eastAsia="方正仿宋_GBK" w:cs="Times New Roman"/>
          <w:kern w:val="2"/>
          <w:sz w:val="32"/>
          <w:szCs w:val="32"/>
          <w:lang w:val="en-US" w:eastAsia="zh-CN" w:bidi="ar-SA"/>
        </w:rPr>
        <w:t>能够通过绩效评价指标体系完整地体现。</w:t>
      </w:r>
    </w:p>
    <w:p w14:paraId="1C4FF9B5">
      <w:pPr>
        <w:pStyle w:val="38"/>
        <w:spacing w:line="560" w:lineRule="exact"/>
        <w:ind w:firstLine="64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其次，</w:t>
      </w:r>
      <w:r>
        <w:rPr>
          <w:rFonts w:hint="default" w:ascii="Times New Roman" w:hAnsi="Times New Roman" w:eastAsia="方正仿宋_GBK" w:cs="Times New Roman"/>
          <w:kern w:val="2"/>
          <w:sz w:val="32"/>
          <w:szCs w:val="32"/>
          <w:lang w:val="en-US" w:eastAsia="zh-CN" w:bidi="ar-SA"/>
        </w:rPr>
        <w:t>根据新市监</w:t>
      </w:r>
      <w:r>
        <w:rPr>
          <w:rFonts w:hint="default" w:ascii="Times New Roman" w:hAnsi="Times New Roman" w:eastAsia="方正仿宋_GBK" w:cs="Times New Roman"/>
          <w:kern w:val="2"/>
          <w:sz w:val="32"/>
          <w:szCs w:val="32"/>
          <w:highlight w:val="none"/>
          <w:lang w:val="en-US" w:eastAsia="zh-CN" w:bidi="ar-SA"/>
        </w:rPr>
        <w:t>办财</w:t>
      </w:r>
      <w:r>
        <w:rPr>
          <w:rFonts w:hint="eastAsia" w:ascii="仿宋_GB2312" w:hAnsi="仿宋_GB2312" w:cs="仿宋_GB2312"/>
          <w:kern w:val="2"/>
          <w:sz w:val="32"/>
          <w:szCs w:val="32"/>
          <w:highlight w:val="none"/>
          <w:lang w:val="en-US" w:eastAsia="zh-CN" w:bidi="ar-SA"/>
        </w:rPr>
        <w:t>[</w:t>
      </w:r>
      <w:r>
        <w:rPr>
          <w:rFonts w:hint="default" w:ascii="Times New Roman" w:hAnsi="Times New Roman" w:eastAsia="方正仿宋_GBK" w:cs="Times New Roman"/>
          <w:kern w:val="2"/>
          <w:sz w:val="32"/>
          <w:szCs w:val="32"/>
          <w:highlight w:val="none"/>
          <w:lang w:val="en-US" w:eastAsia="zh-CN" w:bidi="ar-SA"/>
        </w:rPr>
        <w:t>2021</w:t>
      </w:r>
      <w:r>
        <w:rPr>
          <w:rFonts w:hint="eastAsia" w:ascii="仿宋_GB2312" w:hAnsi="仿宋_GB2312" w:cs="仿宋_GB2312"/>
          <w:kern w:val="2"/>
          <w:sz w:val="32"/>
          <w:szCs w:val="32"/>
          <w:highlight w:val="none"/>
          <w:lang w:val="en-US" w:eastAsia="zh-CN" w:bidi="ar-SA"/>
        </w:rPr>
        <w:t>]</w:t>
      </w:r>
      <w:r>
        <w:rPr>
          <w:rFonts w:hint="default" w:ascii="Times New Roman" w:hAnsi="Times New Roman" w:eastAsia="方正仿宋_GBK" w:cs="Times New Roman"/>
          <w:kern w:val="2"/>
          <w:sz w:val="32"/>
          <w:szCs w:val="32"/>
          <w:highlight w:val="none"/>
          <w:lang w:val="en-US" w:eastAsia="zh-CN" w:bidi="ar-SA"/>
        </w:rPr>
        <w:t>4号文件指</w:t>
      </w:r>
      <w:r>
        <w:rPr>
          <w:rFonts w:hint="default" w:ascii="Times New Roman" w:hAnsi="Times New Roman" w:eastAsia="方正仿宋_GBK" w:cs="Times New Roman"/>
          <w:kern w:val="2"/>
          <w:sz w:val="32"/>
          <w:szCs w:val="32"/>
          <w:lang w:val="en-US" w:eastAsia="zh-CN" w:bidi="ar-SA"/>
        </w:rPr>
        <w:t>示</w:t>
      </w:r>
      <w:r>
        <w:rPr>
          <w:rFonts w:hint="eastAsia" w:eastAsia="方正仿宋_GBK" w:cs="Times New Roman"/>
          <w:kern w:val="2"/>
          <w:sz w:val="32"/>
          <w:szCs w:val="32"/>
          <w:lang w:val="en-US" w:eastAsia="zh-CN" w:bidi="ar-SA"/>
        </w:rPr>
        <w:t>，我</w:t>
      </w:r>
      <w:r>
        <w:rPr>
          <w:rFonts w:hint="default" w:ascii="Times New Roman" w:hAnsi="Times New Roman" w:eastAsia="方正仿宋_GBK" w:cs="Times New Roman"/>
          <w:sz w:val="32"/>
          <w:szCs w:val="32"/>
        </w:rPr>
        <w:t>局</w:t>
      </w:r>
      <w:r>
        <w:rPr>
          <w:rFonts w:hint="eastAsia" w:eastAsia="方正仿宋_GBK" w:cs="Times New Roman"/>
          <w:sz w:val="32"/>
          <w:szCs w:val="32"/>
          <w:lang w:eastAsia="zh-CN"/>
        </w:rPr>
        <w:t>为</w:t>
      </w:r>
      <w:r>
        <w:rPr>
          <w:rFonts w:hint="default" w:ascii="Times New Roman" w:hAnsi="Times New Roman" w:eastAsia="方正仿宋_GBK" w:cs="Times New Roman"/>
          <w:sz w:val="32"/>
          <w:szCs w:val="32"/>
        </w:rPr>
        <w:t>133</w:t>
      </w:r>
      <w:r>
        <w:rPr>
          <w:rFonts w:hint="eastAsia" w:eastAsia="方正仿宋_GBK" w:cs="Times New Roman"/>
          <w:sz w:val="32"/>
          <w:szCs w:val="32"/>
          <w:lang w:eastAsia="zh-CN"/>
        </w:rPr>
        <w:t>名行政执法人员</w:t>
      </w:r>
      <w:r>
        <w:rPr>
          <w:rFonts w:hint="default" w:ascii="Times New Roman" w:hAnsi="Times New Roman" w:eastAsia="方正仿宋_GBK" w:cs="Times New Roman"/>
          <w:sz w:val="32"/>
          <w:szCs w:val="32"/>
        </w:rPr>
        <w:t>配备了综合行政执法制式服装。2021年12月</w:t>
      </w:r>
      <w:r>
        <w:rPr>
          <w:rFonts w:hint="eastAsia" w:eastAsia="方正仿宋_GBK" w:cs="Times New Roman"/>
          <w:sz w:val="32"/>
          <w:szCs w:val="32"/>
          <w:lang w:eastAsia="zh-CN"/>
        </w:rPr>
        <w:t>完成</w:t>
      </w:r>
      <w:r>
        <w:rPr>
          <w:rFonts w:hint="default" w:ascii="Times New Roman" w:hAnsi="Times New Roman" w:eastAsia="方正仿宋_GBK" w:cs="Times New Roman"/>
          <w:sz w:val="32"/>
          <w:szCs w:val="32"/>
        </w:rPr>
        <w:t>综合行政执法制式服装和标志的</w:t>
      </w:r>
      <w:r>
        <w:rPr>
          <w:rFonts w:hint="eastAsia" w:eastAsia="方正仿宋_GBK" w:cs="Times New Roman"/>
          <w:sz w:val="32"/>
          <w:szCs w:val="32"/>
          <w:lang w:eastAsia="zh-CN"/>
        </w:rPr>
        <w:t>验收和发放工作，</w:t>
      </w:r>
      <w:r>
        <w:rPr>
          <w:rFonts w:hint="default" w:ascii="Times New Roman" w:hAnsi="Times New Roman" w:eastAsia="方正仿宋_GBK" w:cs="Times New Roman"/>
          <w:sz w:val="32"/>
          <w:szCs w:val="32"/>
        </w:rPr>
        <w:t>2023年12月支付了执法制式服装和标志款项27.45万</w:t>
      </w:r>
      <w:r>
        <w:rPr>
          <w:rFonts w:hint="default" w:ascii="Times New Roman" w:hAnsi="Times New Roman" w:eastAsia="方正仿宋_GBK" w:cs="Times New Roman"/>
          <w:sz w:val="32"/>
          <w:szCs w:val="32"/>
          <w:highlight w:val="none"/>
        </w:rPr>
        <w:t>元</w:t>
      </w:r>
      <w:r>
        <w:rPr>
          <w:rStyle w:val="19"/>
          <w:rFonts w:hint="default" w:ascii="Times New Roman" w:hAnsi="Times New Roman" w:eastAsia="方正仿宋_GBK" w:cs="Times New Roman"/>
          <w:b w:val="0"/>
          <w:spacing w:val="-4"/>
          <w:sz w:val="32"/>
          <w:szCs w:val="32"/>
          <w:highlight w:val="none"/>
        </w:rPr>
        <w:t>。</w:t>
      </w:r>
      <w:r>
        <w:rPr>
          <w:rFonts w:hint="eastAsia" w:ascii="Times New Roman" w:hAnsi="Times New Roman" w:eastAsia="方正仿宋_GBK" w:cs="Times New Roman"/>
          <w:kern w:val="2"/>
          <w:sz w:val="32"/>
          <w:szCs w:val="32"/>
          <w:lang w:val="en-US" w:eastAsia="zh-CN" w:bidi="ar-SA"/>
        </w:rPr>
        <w:t>该项目中涉及内容均于202</w:t>
      </w:r>
      <w:r>
        <w:rPr>
          <w:rFonts w:hint="eastAsia" w:eastAsia="方正仿宋_GBK" w:cs="Times New Roman"/>
          <w:kern w:val="2"/>
          <w:sz w:val="32"/>
          <w:szCs w:val="32"/>
          <w:lang w:val="en-US" w:eastAsia="zh-CN" w:bidi="ar-SA"/>
        </w:rPr>
        <w:t>3</w:t>
      </w:r>
      <w:r>
        <w:rPr>
          <w:rFonts w:hint="eastAsia" w:ascii="Times New Roman" w:hAnsi="Times New Roman" w:eastAsia="方正仿宋_GBK" w:cs="Times New Roman"/>
          <w:kern w:val="2"/>
          <w:sz w:val="32"/>
          <w:szCs w:val="32"/>
          <w:lang w:val="en-US" w:eastAsia="zh-CN" w:bidi="ar-SA"/>
        </w:rPr>
        <w:t>年完成，资金支付做往来账处理，202</w:t>
      </w:r>
      <w:r>
        <w:rPr>
          <w:rFonts w:hint="eastAsia" w:eastAsia="方正仿宋_GBK" w:cs="Times New Roman"/>
          <w:kern w:val="2"/>
          <w:sz w:val="32"/>
          <w:szCs w:val="32"/>
          <w:lang w:val="en-US" w:eastAsia="zh-CN" w:bidi="ar-SA"/>
        </w:rPr>
        <w:t>4</w:t>
      </w:r>
      <w:r>
        <w:rPr>
          <w:rFonts w:hint="eastAsia" w:ascii="Times New Roman" w:hAnsi="Times New Roman" w:eastAsia="方正仿宋_GBK" w:cs="Times New Roman"/>
          <w:kern w:val="2"/>
          <w:sz w:val="32"/>
          <w:szCs w:val="32"/>
          <w:lang w:val="en-US" w:eastAsia="zh-CN" w:bidi="ar-SA"/>
        </w:rPr>
        <w:t>年按区财政局要求，将该款项做账务处理列入当年收支，项目的进展情况和完成率保持一致，与项目年度计划相对应。</w:t>
      </w:r>
    </w:p>
    <w:p w14:paraId="4AED92CC">
      <w:pPr>
        <w:pStyle w:val="38"/>
        <w:spacing w:line="560" w:lineRule="exact"/>
        <w:ind w:firstLine="64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最后，根据</w:t>
      </w:r>
      <w:r>
        <w:rPr>
          <w:rFonts w:hint="eastAsia" w:eastAsia="方正仿宋_GBK" w:cs="Times New Roman"/>
          <w:kern w:val="2"/>
          <w:sz w:val="32"/>
          <w:szCs w:val="32"/>
          <w:lang w:val="en-US" w:eastAsia="zh-CN" w:bidi="ar-SA"/>
        </w:rPr>
        <w:t>水区司法局对执法人员数量核实回复函、中标通知书和购买服装合同</w:t>
      </w:r>
      <w:r>
        <w:rPr>
          <w:rFonts w:hint="eastAsia" w:ascii="Times New Roman" w:hAnsi="Times New Roman" w:eastAsia="方正仿宋_GBK" w:cs="Times New Roman"/>
          <w:kern w:val="2"/>
          <w:sz w:val="32"/>
          <w:szCs w:val="32"/>
          <w:lang w:val="en-US" w:eastAsia="zh-CN" w:bidi="ar-SA"/>
        </w:rPr>
        <w:t>，以及</w:t>
      </w:r>
      <w:r>
        <w:rPr>
          <w:rFonts w:hint="eastAsia" w:eastAsia="方正仿宋_GBK" w:cs="Times New Roman"/>
          <w:kern w:val="2"/>
          <w:sz w:val="32"/>
          <w:szCs w:val="32"/>
          <w:lang w:val="en-US" w:eastAsia="zh-CN" w:bidi="ar-SA"/>
        </w:rPr>
        <w:t>货物验收单</w:t>
      </w:r>
      <w:r>
        <w:rPr>
          <w:rFonts w:hint="eastAsia" w:ascii="Times New Roman" w:hAnsi="Times New Roman" w:eastAsia="方正仿宋_GBK" w:cs="Times New Roman"/>
          <w:kern w:val="2"/>
          <w:sz w:val="32"/>
          <w:szCs w:val="32"/>
          <w:lang w:val="en-US" w:eastAsia="zh-CN" w:bidi="ar-SA"/>
        </w:rPr>
        <w:t>、支付凭证等工作资料，进一步核实并评价数据的来源、对采集过程进行描述，以确保数据的准确性和完整性。</w:t>
      </w:r>
    </w:p>
    <w:p w14:paraId="0EC9631F">
      <w:pPr>
        <w:pStyle w:val="4"/>
        <w:spacing w:before="0" w:after="0" w:line="560" w:lineRule="exact"/>
        <w:ind w:firstLine="643"/>
        <w:rPr>
          <w:rFonts w:ascii="Times New Roman" w:hAnsi="Times New Roman" w:cs="Times New Roman"/>
        </w:rPr>
      </w:pPr>
      <w:r>
        <w:rPr>
          <w:rFonts w:ascii="Times New Roman" w:hAnsi="Times New Roman" w:cs="Times New Roman"/>
        </w:rPr>
        <w:t>2. 评价目的</w:t>
      </w:r>
      <w:bookmarkEnd w:id="14"/>
    </w:p>
    <w:p w14:paraId="6FC14D2E">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本项工作旨在落实《中共中央国务院关于全面实施预算绩效管理的意见》（中发</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2018</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w:t>
      </w:r>
      <w:r>
        <w:rPr>
          <w:rFonts w:hint="eastAsia" w:ascii="Times New Roman" w:hAnsi="Times New Roman" w:cs="Times New Roman"/>
          <w:spacing w:val="8"/>
          <w:sz w:val="32"/>
          <w:szCs w:val="32"/>
          <w:lang w:val="en-US" w:eastAsia="zh-CN"/>
        </w:rPr>
        <w:t>3</w:t>
      </w:r>
      <w:r>
        <w:rPr>
          <w:rFonts w:hint="eastAsia" w:ascii="Times New Roman" w:hAnsi="Times New Roman" w:cs="Times New Roman"/>
          <w:spacing w:val="8"/>
          <w:sz w:val="32"/>
          <w:szCs w:val="32"/>
        </w:rPr>
        <w:t>年暂付款项</w:t>
      </w:r>
      <w:r>
        <w:rPr>
          <w:rFonts w:hint="eastAsia" w:ascii="Times New Roman" w:hAnsi="Times New Roman" w:cs="Times New Roman"/>
          <w:spacing w:val="8"/>
          <w:sz w:val="32"/>
          <w:szCs w:val="32"/>
          <w:lang w:eastAsia="zh-CN"/>
        </w:rPr>
        <w:t>项目</w:t>
      </w:r>
      <w:r>
        <w:rPr>
          <w:rFonts w:hint="eastAsia" w:ascii="Times New Roman" w:hAnsi="Times New Roman" w:cs="Times New Roman"/>
          <w:spacing w:val="8"/>
          <w:sz w:val="32"/>
          <w:szCs w:val="32"/>
        </w:rPr>
        <w:t>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1EF5D953">
      <w:pPr>
        <w:pStyle w:val="4"/>
        <w:spacing w:before="0" w:after="0" w:line="560" w:lineRule="exact"/>
        <w:ind w:firstLine="643"/>
        <w:rPr>
          <w:rFonts w:ascii="Times New Roman" w:hAnsi="Times New Roman" w:cs="Times New Roman"/>
        </w:rPr>
      </w:pPr>
      <w:bookmarkStart w:id="15" w:name="_Toc26380"/>
      <w:r>
        <w:rPr>
          <w:rFonts w:ascii="Times New Roman" w:hAnsi="Times New Roman" w:cs="Times New Roman"/>
        </w:rPr>
        <w:t>3. 评价对象</w:t>
      </w:r>
      <w:bookmarkEnd w:id="15"/>
    </w:p>
    <w:p w14:paraId="5010FC0C">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（1）绩效评价的对象：消化202</w:t>
      </w:r>
      <w:r>
        <w:rPr>
          <w:rFonts w:hint="eastAsia" w:ascii="Times New Roman" w:hAnsi="Times New Roman" w:cs="Times New Roman"/>
          <w:spacing w:val="8"/>
          <w:sz w:val="32"/>
          <w:szCs w:val="32"/>
          <w:lang w:val="en-US" w:eastAsia="zh-CN"/>
        </w:rPr>
        <w:t>3</w:t>
      </w:r>
      <w:r>
        <w:rPr>
          <w:rFonts w:hint="eastAsia" w:ascii="Times New Roman" w:hAnsi="Times New Roman" w:cs="Times New Roman"/>
          <w:spacing w:val="8"/>
          <w:sz w:val="32"/>
          <w:szCs w:val="32"/>
        </w:rPr>
        <w:t>年暂付款项项目</w:t>
      </w:r>
    </w:p>
    <w:p w14:paraId="742CDAC9">
      <w:pPr>
        <w:pStyle w:val="4"/>
        <w:spacing w:before="0" w:after="0" w:line="560" w:lineRule="exact"/>
        <w:ind w:firstLine="643"/>
        <w:rPr>
          <w:rFonts w:ascii="Times New Roman" w:hAnsi="Times New Roman" w:cs="Times New Roman"/>
        </w:rPr>
      </w:pPr>
      <w:bookmarkStart w:id="16" w:name="_Toc10044"/>
      <w:r>
        <w:rPr>
          <w:rFonts w:ascii="Times New Roman" w:hAnsi="Times New Roman" w:cs="Times New Roman"/>
        </w:rPr>
        <w:t>4. 绩效评价范围</w:t>
      </w:r>
      <w:bookmarkEnd w:id="16"/>
    </w:p>
    <w:p w14:paraId="533A5614">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（1）时间范围：202</w:t>
      </w:r>
      <w:r>
        <w:rPr>
          <w:rFonts w:hint="eastAsia" w:ascii="Times New Roman" w:hAnsi="Times New Roman" w:cs="Times New Roman"/>
          <w:spacing w:val="8"/>
          <w:sz w:val="32"/>
          <w:szCs w:val="32"/>
          <w:lang w:val="en-US" w:eastAsia="zh-CN"/>
        </w:rPr>
        <w:t>4</w:t>
      </w:r>
      <w:r>
        <w:rPr>
          <w:rFonts w:hint="eastAsia" w:ascii="Times New Roman" w:hAnsi="Times New Roman" w:cs="Times New Roman"/>
          <w:spacing w:val="8"/>
          <w:sz w:val="32"/>
          <w:szCs w:val="32"/>
        </w:rPr>
        <w:t>年1月1日至202</w:t>
      </w:r>
      <w:r>
        <w:rPr>
          <w:rFonts w:hint="eastAsia" w:ascii="Times New Roman" w:hAnsi="Times New Roman" w:cs="Times New Roman"/>
          <w:spacing w:val="8"/>
          <w:sz w:val="32"/>
          <w:szCs w:val="32"/>
          <w:lang w:val="en-US" w:eastAsia="zh-CN"/>
        </w:rPr>
        <w:t>4</w:t>
      </w:r>
      <w:r>
        <w:rPr>
          <w:rFonts w:hint="eastAsia" w:ascii="Times New Roman" w:hAnsi="Times New Roman" w:cs="Times New Roman"/>
          <w:spacing w:val="8"/>
          <w:sz w:val="32"/>
          <w:szCs w:val="32"/>
        </w:rPr>
        <w:t>年12月31日。</w:t>
      </w:r>
    </w:p>
    <w:p w14:paraId="223CD9C4">
      <w:pPr>
        <w:spacing w:line="560" w:lineRule="exact"/>
        <w:ind w:firstLine="672"/>
        <w:rPr>
          <w:rFonts w:hint="eastAsia" w:ascii="Times New Roman" w:hAnsi="Times New Roman" w:eastAsia="方正仿宋_GBK" w:cs="Times New Roman"/>
          <w:sz w:val="32"/>
          <w:szCs w:val="32"/>
        </w:rPr>
      </w:pPr>
      <w:r>
        <w:rPr>
          <w:rFonts w:hint="eastAsia" w:ascii="Times New Roman" w:hAnsi="Times New Roman" w:cs="Times New Roman"/>
          <w:spacing w:val="8"/>
          <w:sz w:val="32"/>
          <w:szCs w:val="32"/>
        </w:rPr>
        <w:t>（2）项目范围：</w:t>
      </w:r>
      <w:r>
        <w:rPr>
          <w:rFonts w:hint="default" w:ascii="Times New Roman" w:hAnsi="Times New Roman" w:eastAsia="方正仿宋_GBK" w:cs="Times New Roman"/>
          <w:kern w:val="2"/>
          <w:sz w:val="32"/>
          <w:szCs w:val="32"/>
          <w:lang w:val="en-US" w:eastAsia="zh-CN" w:bidi="ar-SA"/>
        </w:rPr>
        <w:t>根据新市监</w:t>
      </w:r>
      <w:r>
        <w:rPr>
          <w:rFonts w:hint="default" w:ascii="Times New Roman" w:hAnsi="Times New Roman" w:eastAsia="方正仿宋_GBK" w:cs="Times New Roman"/>
          <w:kern w:val="2"/>
          <w:sz w:val="32"/>
          <w:szCs w:val="32"/>
          <w:highlight w:val="none"/>
          <w:lang w:val="en-US" w:eastAsia="zh-CN" w:bidi="ar-SA"/>
        </w:rPr>
        <w:t>办财</w:t>
      </w:r>
      <w:r>
        <w:rPr>
          <w:rFonts w:hint="eastAsia" w:ascii="仿宋_GB2312" w:hAnsi="仿宋_GB2312" w:cs="仿宋_GB2312"/>
          <w:kern w:val="2"/>
          <w:sz w:val="32"/>
          <w:szCs w:val="32"/>
          <w:highlight w:val="none"/>
          <w:lang w:val="en-US" w:eastAsia="zh-CN" w:bidi="ar-SA"/>
        </w:rPr>
        <w:t>[</w:t>
      </w:r>
      <w:r>
        <w:rPr>
          <w:rFonts w:hint="default" w:ascii="Times New Roman" w:hAnsi="Times New Roman" w:eastAsia="方正仿宋_GBK" w:cs="Times New Roman"/>
          <w:kern w:val="2"/>
          <w:sz w:val="32"/>
          <w:szCs w:val="32"/>
          <w:highlight w:val="none"/>
          <w:lang w:val="en-US" w:eastAsia="zh-CN" w:bidi="ar-SA"/>
        </w:rPr>
        <w:t>2021</w:t>
      </w:r>
      <w:r>
        <w:rPr>
          <w:rFonts w:hint="eastAsia" w:ascii="仿宋_GB2312" w:hAnsi="仿宋_GB2312" w:cs="仿宋_GB2312"/>
          <w:kern w:val="2"/>
          <w:sz w:val="32"/>
          <w:szCs w:val="32"/>
          <w:highlight w:val="none"/>
          <w:lang w:val="en-US" w:eastAsia="zh-CN" w:bidi="ar-SA"/>
        </w:rPr>
        <w:t>]</w:t>
      </w:r>
      <w:r>
        <w:rPr>
          <w:rFonts w:hint="default" w:ascii="Times New Roman" w:hAnsi="Times New Roman" w:eastAsia="方正仿宋_GBK" w:cs="Times New Roman"/>
          <w:kern w:val="2"/>
          <w:sz w:val="32"/>
          <w:szCs w:val="32"/>
          <w:highlight w:val="none"/>
          <w:lang w:val="en-US" w:eastAsia="zh-CN" w:bidi="ar-SA"/>
        </w:rPr>
        <w:t>4号文件指</w:t>
      </w:r>
      <w:r>
        <w:rPr>
          <w:rFonts w:hint="default" w:ascii="Times New Roman" w:hAnsi="Times New Roman" w:eastAsia="方正仿宋_GBK" w:cs="Times New Roman"/>
          <w:kern w:val="2"/>
          <w:sz w:val="32"/>
          <w:szCs w:val="32"/>
          <w:lang w:val="en-US" w:eastAsia="zh-CN" w:bidi="ar-SA"/>
        </w:rPr>
        <w:t>示</w:t>
      </w:r>
      <w:r>
        <w:rPr>
          <w:rFonts w:hint="eastAsia" w:eastAsia="方正仿宋_GBK" w:cs="Times New Roman"/>
          <w:kern w:val="2"/>
          <w:sz w:val="32"/>
          <w:szCs w:val="32"/>
          <w:lang w:val="en-US" w:eastAsia="zh-CN" w:bidi="ar-SA"/>
        </w:rPr>
        <w:t>，</w:t>
      </w:r>
      <w:r>
        <w:rPr>
          <w:rFonts w:hint="default" w:ascii="Times New Roman" w:hAnsi="Times New Roman" w:eastAsia="方正仿宋_GBK" w:cs="Times New Roman"/>
          <w:sz w:val="32"/>
          <w:szCs w:val="32"/>
        </w:rPr>
        <w:t>为切实做好首次配发综合行政执法制式服装和标志工作，水区市场监督管理局经水区司法局核实有133人符合首次配发综合行政执法制式服装和标志的条件，根据</w:t>
      </w:r>
      <w:r>
        <w:rPr>
          <w:rFonts w:hint="default" w:ascii="Times New Roman" w:hAnsi="Times New Roman" w:eastAsia="方正仿宋_GBK" w:cs="Times New Roman"/>
          <w:kern w:val="2"/>
          <w:sz w:val="32"/>
          <w:szCs w:val="32"/>
          <w:lang w:val="en-US" w:eastAsia="zh-CN" w:bidi="ar-SA"/>
        </w:rPr>
        <w:t>《新疆维吾尔自治区综合行政执法制式服装和标志管理实施办法》</w:t>
      </w:r>
      <w:r>
        <w:rPr>
          <w:rFonts w:hint="eastAsia" w:eastAsia="方正仿宋_GBK" w:cs="Times New Roman"/>
          <w:kern w:val="2"/>
          <w:sz w:val="32"/>
          <w:szCs w:val="32"/>
          <w:lang w:val="en-US" w:eastAsia="zh-CN" w:bidi="ar-SA"/>
        </w:rPr>
        <w:t>中</w:t>
      </w:r>
      <w:r>
        <w:rPr>
          <w:rFonts w:hint="default" w:ascii="Times New Roman" w:hAnsi="Times New Roman" w:eastAsia="方正仿宋_GBK" w:cs="Times New Roman"/>
          <w:sz w:val="32"/>
          <w:szCs w:val="32"/>
        </w:rPr>
        <w:t>综合行政</w:t>
      </w:r>
      <w:r>
        <w:rPr>
          <w:rFonts w:hint="eastAsia" w:eastAsia="方正仿宋_GBK" w:cs="Times New Roman"/>
          <w:sz w:val="32"/>
          <w:szCs w:val="32"/>
          <w:lang w:eastAsia="zh-CN"/>
        </w:rPr>
        <w:t>执</w:t>
      </w:r>
      <w:r>
        <w:rPr>
          <w:rFonts w:hint="default" w:ascii="Times New Roman" w:hAnsi="Times New Roman" w:eastAsia="方正仿宋_GBK" w:cs="Times New Roman"/>
          <w:sz w:val="32"/>
          <w:szCs w:val="32"/>
        </w:rPr>
        <w:t>法制式服装和标志定额标准</w:t>
      </w:r>
      <w:r>
        <w:rPr>
          <w:rFonts w:hint="eastAsia" w:eastAsia="方正仿宋_GBK" w:cs="Times New Roman"/>
          <w:sz w:val="32"/>
          <w:szCs w:val="32"/>
          <w:lang w:eastAsia="zh-CN"/>
        </w:rPr>
        <w:t>，</w:t>
      </w:r>
      <w:r>
        <w:rPr>
          <w:rFonts w:hint="default" w:ascii="Times New Roman" w:hAnsi="Times New Roman" w:eastAsia="方正仿宋_GBK" w:cs="Times New Roman"/>
          <w:sz w:val="32"/>
          <w:szCs w:val="32"/>
        </w:rPr>
        <w:t>为水区市场监督管理局133名执法人员配备了综合行政执法制式服装</w:t>
      </w:r>
      <w:r>
        <w:rPr>
          <w:rFonts w:hint="eastAsia" w:ascii="Times New Roman" w:hAnsi="Times New Roman" w:eastAsia="方正仿宋_GBK" w:cs="Times New Roman"/>
          <w:sz w:val="32"/>
          <w:szCs w:val="32"/>
          <w:lang w:eastAsia="zh-CN"/>
        </w:rPr>
        <w:t>，</w:t>
      </w:r>
      <w:r>
        <w:rPr>
          <w:rFonts w:hint="eastAsia" w:eastAsia="方正仿宋_GBK" w:cs="Times New Roman"/>
          <w:sz w:val="32"/>
          <w:szCs w:val="32"/>
          <w:lang w:eastAsia="zh-CN"/>
        </w:rPr>
        <w:t>综合行政执法服装配备率</w:t>
      </w:r>
      <w:r>
        <w:rPr>
          <w:rFonts w:hint="eastAsia" w:eastAsia="方正仿宋_GBK" w:cs="Times New Roman"/>
          <w:sz w:val="32"/>
          <w:szCs w:val="32"/>
          <w:lang w:val="en-US" w:eastAsia="zh-CN"/>
        </w:rPr>
        <w:t>100%，</w:t>
      </w:r>
      <w:r>
        <w:rPr>
          <w:rFonts w:hint="eastAsia" w:ascii="方正仿宋_GBK" w:hAnsi="方正仿宋_GBK" w:eastAsia="方正仿宋_GBK" w:cs="方正仿宋_GBK"/>
          <w:sz w:val="32"/>
          <w:szCs w:val="32"/>
        </w:rPr>
        <w:t>每人综合行政执法服装成</w:t>
      </w:r>
      <w:r>
        <w:rPr>
          <w:rFonts w:hint="eastAsia" w:eastAsia="方正仿宋_GBK" w:cs="Times New Roman"/>
          <w:sz w:val="32"/>
          <w:szCs w:val="32"/>
          <w:lang w:val="en-US" w:eastAsia="zh-CN"/>
        </w:rPr>
        <w:t>本2060元</w:t>
      </w:r>
      <w:r>
        <w:rPr>
          <w:rFonts w:hint="default" w:ascii="Times New Roman" w:hAnsi="Times New Roman" w:eastAsia="方正仿宋_GBK" w:cs="Times New Roman"/>
          <w:sz w:val="32"/>
          <w:szCs w:val="32"/>
        </w:rPr>
        <w:t>。水区市场监督管理局对服装质量进行全方位检查，服装采购验收合格率100%</w:t>
      </w:r>
      <w:r>
        <w:rPr>
          <w:rFonts w:hint="eastAsia" w:ascii="Times New Roman" w:hAnsi="Times New Roman" w:eastAsia="方正仿宋_GBK" w:cs="Times New Roman"/>
          <w:sz w:val="32"/>
          <w:szCs w:val="32"/>
          <w:lang w:eastAsia="zh-CN"/>
        </w:rPr>
        <w:t>。</w:t>
      </w:r>
      <w:r>
        <w:rPr>
          <w:rFonts w:hint="eastAsia" w:ascii="方正仿宋_GBK" w:hAnsi="方正仿宋_GBK" w:eastAsia="方正仿宋_GBK" w:cs="方正仿宋_GBK"/>
          <w:sz w:val="32"/>
          <w:szCs w:val="32"/>
          <w:lang w:eastAsia="zh-CN"/>
        </w:rPr>
        <w:t>我局执法人员</w:t>
      </w:r>
      <w:r>
        <w:rPr>
          <w:rFonts w:hint="eastAsia" w:eastAsia="方正仿宋_GBK" w:cs="Times New Roman"/>
          <w:sz w:val="32"/>
          <w:szCs w:val="32"/>
          <w:lang w:val="en-US" w:eastAsia="zh-CN"/>
        </w:rPr>
        <w:t>2024年完成市场监督检查工作1593</w:t>
      </w:r>
      <w:r>
        <w:rPr>
          <w:rFonts w:hint="eastAsia" w:eastAsia="方正仿宋_GBK" w:cs="Times New Roman"/>
          <w:color w:val="auto"/>
          <w:sz w:val="32"/>
          <w:szCs w:val="32"/>
          <w:lang w:val="en-US" w:eastAsia="zh-CN"/>
        </w:rPr>
        <w:t>户。</w:t>
      </w:r>
      <w:r>
        <w:rPr>
          <w:rFonts w:hint="eastAsia" w:ascii="Times New Roman" w:hAnsi="Times New Roman" w:eastAsia="方正仿宋_GBK" w:cs="Times New Roman"/>
          <w:sz w:val="32"/>
          <w:szCs w:val="32"/>
          <w:lang w:eastAsia="zh-CN"/>
        </w:rPr>
        <w:t>通过规范行政执法人员统一着装、规范着装，</w:t>
      </w:r>
      <w:r>
        <w:rPr>
          <w:rFonts w:hint="eastAsia" w:ascii="Times New Roman" w:hAnsi="Times New Roman" w:eastAsia="方正仿宋_GBK" w:cs="Times New Roman"/>
          <w:sz w:val="32"/>
          <w:szCs w:val="32"/>
        </w:rPr>
        <w:t>持续加强市场监管队伍建设，推进规范文明执法，</w:t>
      </w:r>
      <w:r>
        <w:rPr>
          <w:rFonts w:hint="eastAsia" w:ascii="Times New Roman" w:hAnsi="Times New Roman" w:eastAsia="方正仿宋_GBK" w:cs="Times New Roman"/>
          <w:sz w:val="32"/>
          <w:szCs w:val="32"/>
          <w:lang w:eastAsia="zh-CN"/>
        </w:rPr>
        <w:t>强化执法权威性和公信力，</w:t>
      </w:r>
      <w:r>
        <w:rPr>
          <w:rFonts w:hint="eastAsia" w:ascii="Times New Roman" w:hAnsi="Times New Roman" w:eastAsia="方正仿宋_GBK" w:cs="Times New Roman"/>
          <w:sz w:val="32"/>
          <w:szCs w:val="32"/>
        </w:rPr>
        <w:t>督促综合行政执法人员规范穿着制式服装、佩戴标志，严肃仪容仪表及执法风纪</w:t>
      </w:r>
      <w:r>
        <w:rPr>
          <w:rFonts w:hint="eastAsia" w:ascii="Times New Roman" w:hAnsi="Times New Roman" w:eastAsia="方正仿宋_GBK" w:cs="Times New Roman"/>
          <w:sz w:val="32"/>
          <w:szCs w:val="32"/>
          <w:lang w:eastAsia="zh-CN"/>
        </w:rPr>
        <w:t>，提升公众认知与社会信任，塑造良好政府形象</w:t>
      </w:r>
      <w:r>
        <w:rPr>
          <w:rFonts w:hint="eastAsia" w:ascii="Times New Roman" w:hAnsi="Times New Roman" w:eastAsia="方正仿宋_GBK" w:cs="Times New Roman"/>
          <w:sz w:val="32"/>
          <w:szCs w:val="32"/>
        </w:rPr>
        <w:t>。</w:t>
      </w:r>
    </w:p>
    <w:p w14:paraId="578200B8">
      <w:pPr>
        <w:spacing w:line="600" w:lineRule="exact"/>
        <w:ind w:firstLine="672" w:firstLineChars="200"/>
        <w:outlineLvl w:val="0"/>
        <w:rPr>
          <w:rFonts w:hint="eastAsia" w:ascii="Times New Roman" w:hAnsi="Times New Roman" w:eastAsia="方正仿宋_GBK" w:cs="Times New Roman"/>
          <w:b w:val="0"/>
          <w:bCs w:val="0"/>
          <w:kern w:val="28"/>
          <w:sz w:val="32"/>
          <w:szCs w:val="32"/>
          <w:lang w:val="en-US" w:eastAsia="zh-CN" w:bidi="ar-SA"/>
        </w:rPr>
      </w:pPr>
      <w:r>
        <w:rPr>
          <w:rFonts w:hint="eastAsia" w:ascii="Times New Roman" w:hAnsi="Times New Roman" w:cs="Times New Roman"/>
          <w:spacing w:val="8"/>
          <w:sz w:val="32"/>
          <w:szCs w:val="32"/>
          <w:lang w:val="en-US" w:eastAsia="zh-CN"/>
        </w:rPr>
        <w:t>主要经验及做法：</w:t>
      </w:r>
      <w:r>
        <w:rPr>
          <w:rFonts w:hint="eastAsia" w:ascii="Times New Roman" w:hAnsi="Times New Roman" w:eastAsia="方正仿宋_GBK" w:cs="Times New Roman"/>
          <w:b w:val="0"/>
          <w:bCs w:val="0"/>
          <w:kern w:val="28"/>
          <w:sz w:val="32"/>
          <w:szCs w:val="32"/>
          <w:lang w:val="en-US" w:eastAsia="zh-CN" w:bidi="ar-SA"/>
        </w:rPr>
        <w:t>1.提高认识，强化领导，全面推进绩效管理。积极组织单位人员学习绩效管理，充分认识到绩效管理工作的重要意义，树立清晰的绩效管理理念，强化领导责任，把绩效管理工作放在重要地位，为绩效管理工作顺利实施打下坚实基础。2.科学设置指标，注重细节，为全面推进绩效管理奠定基础。设置项目绩效指标首先根据上级下达的目标，合理设置本单位年度目标。各业务科室根据单位全年目标，结合本科室工作内容，在预算资金内，合理细化绩效目标，确保绩效目标的一致性、精准性。</w:t>
      </w:r>
      <w:r>
        <w:rPr>
          <w:rFonts w:hint="default" w:ascii="Times New Roman" w:hAnsi="Times New Roman" w:eastAsia="方正仿宋_GBK" w:cs="Times New Roman"/>
          <w:b w:val="0"/>
          <w:bCs w:val="0"/>
          <w:kern w:val="28"/>
          <w:sz w:val="32"/>
          <w:szCs w:val="32"/>
          <w:lang w:val="en-US" w:eastAsia="zh-CN" w:bidi="ar-SA"/>
        </w:rPr>
        <w:t>3</w:t>
      </w:r>
      <w:r>
        <w:rPr>
          <w:rFonts w:hint="eastAsia" w:ascii="Times New Roman" w:hAnsi="Times New Roman" w:eastAsia="方正仿宋_GBK" w:cs="Times New Roman"/>
          <w:b w:val="0"/>
          <w:bCs w:val="0"/>
          <w:kern w:val="28"/>
          <w:sz w:val="32"/>
          <w:szCs w:val="32"/>
          <w:lang w:val="en-US" w:eastAsia="zh-CN" w:bidi="ar-SA"/>
        </w:rPr>
        <w:t>.严格坚持先做事、后验收、再拨付的原则，基本杜绝了资金被挤占和挪用现象的发生，跟踪检查到位。在监督环节上，实行关口前移，从事后监督管理转向事前审核，事中监督和事后检查相结合的监督制度上来，形成多环节全过程的监督管理格局，尽量早发现问题，早解决问题。</w:t>
      </w:r>
    </w:p>
    <w:p w14:paraId="79881D44">
      <w:pPr>
        <w:spacing w:line="600" w:lineRule="exact"/>
        <w:ind w:firstLine="672" w:firstLineChars="200"/>
        <w:outlineLvl w:val="0"/>
        <w:rPr>
          <w:rFonts w:hint="eastAsia" w:ascii="Times New Roman" w:hAnsi="Times New Roman" w:eastAsia="方正仿宋_GBK" w:cs="Times New Roman"/>
          <w:b w:val="0"/>
          <w:bCs w:val="0"/>
          <w:kern w:val="28"/>
          <w:sz w:val="32"/>
          <w:szCs w:val="32"/>
          <w:lang w:val="en-US" w:eastAsia="zh-CN" w:bidi="ar-SA"/>
        </w:rPr>
      </w:pPr>
      <w:r>
        <w:rPr>
          <w:rFonts w:hint="eastAsia" w:ascii="Times New Roman" w:hAnsi="Times New Roman" w:cs="Times New Roman"/>
          <w:spacing w:val="8"/>
          <w:sz w:val="32"/>
          <w:szCs w:val="32"/>
          <w:lang w:val="en-US" w:eastAsia="zh-CN"/>
        </w:rPr>
        <w:t>存在的问题及原因分析：</w:t>
      </w:r>
      <w:r>
        <w:rPr>
          <w:rFonts w:hint="default" w:ascii="Times New Roman" w:hAnsi="Times New Roman" w:eastAsia="方正仿宋_GBK" w:cs="Times New Roman"/>
          <w:b w:val="0"/>
          <w:bCs w:val="0"/>
          <w:kern w:val="28"/>
          <w:sz w:val="32"/>
          <w:szCs w:val="32"/>
          <w:lang w:val="en-US" w:eastAsia="zh-CN" w:bidi="ar-SA"/>
        </w:rPr>
        <w:t>1</w:t>
      </w:r>
      <w:r>
        <w:rPr>
          <w:rFonts w:hint="eastAsia" w:ascii="Times New Roman" w:hAnsi="Times New Roman" w:eastAsia="方正仿宋_GBK" w:cs="Times New Roman"/>
          <w:b w:val="0"/>
          <w:bCs w:val="0"/>
          <w:kern w:val="28"/>
          <w:sz w:val="32"/>
          <w:szCs w:val="32"/>
          <w:lang w:val="en-US" w:eastAsia="zh-CN" w:bidi="ar-SA"/>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r>
        <w:rPr>
          <w:rFonts w:hint="default" w:ascii="Times New Roman" w:hAnsi="Times New Roman" w:eastAsia="方正仿宋_GBK" w:cs="Times New Roman"/>
          <w:b w:val="0"/>
          <w:bCs w:val="0"/>
          <w:kern w:val="28"/>
          <w:sz w:val="32"/>
          <w:szCs w:val="32"/>
          <w:lang w:val="en-US" w:eastAsia="zh-CN" w:bidi="ar-SA"/>
        </w:rPr>
        <w:t>2</w:t>
      </w:r>
      <w:r>
        <w:rPr>
          <w:rFonts w:hint="eastAsia" w:ascii="Times New Roman" w:hAnsi="Times New Roman" w:eastAsia="方正仿宋_GBK" w:cs="Times New Roman"/>
          <w:b w:val="0"/>
          <w:bCs w:val="0"/>
          <w:kern w:val="28"/>
          <w:sz w:val="32"/>
          <w:szCs w:val="32"/>
          <w:lang w:val="en-US" w:eastAsia="zh-CN" w:bidi="ar-SA"/>
        </w:rPr>
        <w:t>.财务管理和业务管理制度融合度较低。造成此问题的主要原因是各业务科室在彼此的领域沟通了解较少，导致单位业务与财务融合度较低，加强单位各科室人员的相互学习能力，促使财务管理制度与业务管理制度更好的融合在一起，相辅相成。</w:t>
      </w:r>
    </w:p>
    <w:p w14:paraId="5701968D">
      <w:pPr>
        <w:spacing w:line="600" w:lineRule="exact"/>
        <w:ind w:firstLine="672" w:firstLineChars="200"/>
        <w:outlineLvl w:val="0"/>
        <w:rPr>
          <w:rFonts w:hint="eastAsia" w:ascii="Times New Roman" w:hAnsi="Times New Roman" w:cs="Times New Roman"/>
          <w:spacing w:val="8"/>
          <w:sz w:val="32"/>
          <w:szCs w:val="32"/>
        </w:rPr>
      </w:pPr>
      <w:r>
        <w:rPr>
          <w:rFonts w:hint="eastAsia" w:ascii="Times New Roman" w:hAnsi="Times New Roman" w:cs="Times New Roman"/>
          <w:spacing w:val="8"/>
          <w:sz w:val="32"/>
          <w:szCs w:val="32"/>
        </w:rPr>
        <w:t>绩效评价工作开展情况</w:t>
      </w:r>
      <w:r>
        <w:rPr>
          <w:rFonts w:hint="eastAsia" w:ascii="Times New Roman" w:hAnsi="Times New Roman" w:cs="Times New Roman"/>
          <w:spacing w:val="8"/>
          <w:sz w:val="32"/>
          <w:szCs w:val="32"/>
          <w:lang w:eastAsia="zh-CN"/>
        </w:rPr>
        <w:t>：</w:t>
      </w:r>
      <w:r>
        <w:rPr>
          <w:rFonts w:hint="eastAsia" w:ascii="Times New Roman" w:hAnsi="Times New Roman" w:cs="Times New Roman"/>
          <w:spacing w:val="8"/>
          <w:sz w:val="32"/>
          <w:szCs w:val="32"/>
        </w:rPr>
        <w:t>首先根据本项目的特点、资金使用情况以及绩效目标要求，提出细化的评价指标，制定绩效评价工作方案，其次对项目的绩效评价基础资料进行收集、分类整理，对收集的绩效评价资料进行书面审查核实，对重点对项目立项、绩效目标、资金投入情况，项目资金管理、组织实施情况及项目产出数量、质量、时效、成本情况等情况进行核实，在此基础上运用相关的指标和标准，对资金的使用效果进行对比分析，对项目和资金使用的社会效益进行全面的评价，最后按照项目评价的要求，撰写项目支出绩效评价报告，报告包括:基本情况、绩效评价工作开展情况、综合评价情况及评价结论、绩效评价指标分析、主要经验及做法、存在的问题及原因分析等。</w:t>
      </w:r>
    </w:p>
    <w:p w14:paraId="37D7360C">
      <w:pPr>
        <w:spacing w:line="560" w:lineRule="exact"/>
        <w:ind w:firstLine="672"/>
        <w:rPr>
          <w:rFonts w:hint="eastAsia" w:ascii="Times New Roman" w:hAnsi="Times New Roman" w:eastAsia="仿宋_GB2312" w:cs="Times New Roman"/>
          <w:spacing w:val="8"/>
          <w:sz w:val="32"/>
          <w:szCs w:val="32"/>
          <w:lang w:eastAsia="zh-CN"/>
        </w:rPr>
      </w:pPr>
      <w:r>
        <w:rPr>
          <w:rFonts w:hint="eastAsia" w:ascii="Times New Roman" w:hAnsi="Times New Roman" w:cs="Times New Roman"/>
          <w:spacing w:val="8"/>
          <w:sz w:val="32"/>
          <w:szCs w:val="32"/>
        </w:rPr>
        <w:t>综合性评价结论</w:t>
      </w:r>
      <w:r>
        <w:rPr>
          <w:rFonts w:hint="eastAsia" w:ascii="Times New Roman" w:hAnsi="Times New Roman" w:cs="Times New Roman"/>
          <w:spacing w:val="8"/>
          <w:sz w:val="32"/>
          <w:szCs w:val="32"/>
          <w:lang w:eastAsia="zh-CN"/>
        </w:rPr>
        <w:t>：</w:t>
      </w:r>
      <w:r>
        <w:rPr>
          <w:rFonts w:hint="eastAsia" w:ascii="Times New Roman" w:hAnsi="Times New Roman" w:cs="Times New Roman"/>
          <w:spacing w:val="8"/>
          <w:sz w:val="32"/>
          <w:szCs w:val="32"/>
        </w:rPr>
        <w:t>结合项目特点，制定符合项目实际的绩效评价指标体系及评分标准，通过数据采集等形式，对202</w:t>
      </w:r>
      <w:r>
        <w:rPr>
          <w:rFonts w:hint="eastAsia" w:ascii="Times New Roman" w:hAnsi="Times New Roman" w:cs="Times New Roman"/>
          <w:spacing w:val="8"/>
          <w:sz w:val="32"/>
          <w:szCs w:val="32"/>
          <w:lang w:val="en-US" w:eastAsia="zh-CN"/>
        </w:rPr>
        <w:t>4</w:t>
      </w:r>
      <w:r>
        <w:rPr>
          <w:rFonts w:hint="eastAsia" w:ascii="Times New Roman" w:hAnsi="Times New Roman" w:cs="Times New Roman"/>
          <w:spacing w:val="8"/>
          <w:sz w:val="32"/>
          <w:szCs w:val="32"/>
        </w:rPr>
        <w:t>年消化202</w:t>
      </w:r>
      <w:r>
        <w:rPr>
          <w:rFonts w:hint="eastAsia" w:ascii="Times New Roman" w:hAnsi="Times New Roman" w:cs="Times New Roman"/>
          <w:spacing w:val="8"/>
          <w:sz w:val="32"/>
          <w:szCs w:val="32"/>
          <w:lang w:val="en-US" w:eastAsia="zh-CN"/>
        </w:rPr>
        <w:t>3</w:t>
      </w:r>
      <w:r>
        <w:rPr>
          <w:rFonts w:hint="eastAsia" w:ascii="Times New Roman" w:hAnsi="Times New Roman" w:cs="Times New Roman"/>
          <w:spacing w:val="8"/>
          <w:sz w:val="32"/>
          <w:szCs w:val="32"/>
        </w:rPr>
        <w:t>年暂付款项目进行客观评价，最终评分结果为：总分为100分，绩效评级为“优”</w:t>
      </w:r>
      <w:r>
        <w:rPr>
          <w:rFonts w:hint="eastAsia" w:ascii="Times New Roman" w:hAnsi="Times New Roman" w:cs="Times New Roman"/>
          <w:spacing w:val="8"/>
          <w:sz w:val="32"/>
          <w:szCs w:val="32"/>
          <w:lang w:eastAsia="zh-CN"/>
        </w:rPr>
        <w:t>。</w:t>
      </w:r>
    </w:p>
    <w:p w14:paraId="2778F55A">
      <w:pPr>
        <w:pStyle w:val="3"/>
        <w:spacing w:before="0" w:after="0" w:line="560" w:lineRule="exact"/>
        <w:ind w:firstLine="643"/>
        <w:rPr>
          <w:rFonts w:ascii="Times New Roman" w:hAnsi="Times New Roman" w:eastAsia="楷体" w:cs="Times New Roman"/>
          <w:bCs w:val="0"/>
        </w:rPr>
      </w:pPr>
      <w:bookmarkStart w:id="17" w:name="_Toc67911606"/>
      <w:bookmarkStart w:id="18" w:name="_Hlk67586765"/>
      <w:bookmarkStart w:id="19" w:name="_Toc23125"/>
      <w:r>
        <w:rPr>
          <w:rFonts w:ascii="Times New Roman" w:hAnsi="Times New Roman" w:eastAsia="楷体" w:cs="Times New Roman"/>
          <w:bCs w:val="0"/>
        </w:rPr>
        <w:t>（二）绩效评价原则、指标体系、方法及标准</w:t>
      </w:r>
      <w:bookmarkEnd w:id="17"/>
      <w:bookmarkEnd w:id="18"/>
      <w:bookmarkEnd w:id="19"/>
    </w:p>
    <w:p w14:paraId="41AD72D4">
      <w:pPr>
        <w:pStyle w:val="4"/>
        <w:spacing w:before="0" w:after="0" w:line="560" w:lineRule="exact"/>
        <w:ind w:firstLine="643"/>
        <w:rPr>
          <w:rFonts w:ascii="Times New Roman" w:hAnsi="Times New Roman" w:cs="Times New Roman"/>
        </w:rPr>
      </w:pPr>
      <w:bookmarkStart w:id="20" w:name="_Toc14270"/>
      <w:r>
        <w:rPr>
          <w:rFonts w:ascii="Times New Roman" w:hAnsi="Times New Roman" w:cs="Times New Roman"/>
        </w:rPr>
        <w:t>1. 评价原则</w:t>
      </w:r>
      <w:bookmarkEnd w:id="20"/>
    </w:p>
    <w:p w14:paraId="5F1E3C1F">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（1）科学公正。绩效评价应当运用科学合理的方法，按照规范的程序，对项目绩效进行客观、公正的反映。</w:t>
      </w:r>
    </w:p>
    <w:p w14:paraId="3E47A18F">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1E0D100">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（3）激励约束。绩效评价结果应与预算安排、政策调整、改进管理实质性挂钩，体现奖优罚劣和激励相容导向，有效要安排、低效要压减、无效要问责。</w:t>
      </w:r>
    </w:p>
    <w:p w14:paraId="04B469B1">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（4）公开透明。绩效评价结果应依法依规公开，并自觉接受社会监督。</w:t>
      </w:r>
    </w:p>
    <w:p w14:paraId="61164958">
      <w:pPr>
        <w:pStyle w:val="4"/>
        <w:spacing w:before="0" w:after="0" w:line="560" w:lineRule="exact"/>
        <w:ind w:firstLine="643"/>
        <w:rPr>
          <w:rFonts w:ascii="Times New Roman" w:hAnsi="Times New Roman" w:cs="Times New Roman"/>
        </w:rPr>
      </w:pPr>
      <w:bookmarkStart w:id="21" w:name="_Toc1619"/>
      <w:r>
        <w:rPr>
          <w:rFonts w:ascii="Times New Roman" w:hAnsi="Times New Roman" w:cs="Times New Roman"/>
        </w:rPr>
        <w:t>2. 评价指标体系</w:t>
      </w:r>
      <w:bookmarkEnd w:id="21"/>
    </w:p>
    <w:p w14:paraId="2FCB8A1D">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绩效评价指标体系作为衡量绩效目标实现程度的考核工具，一般遵循以下原则：</w:t>
      </w:r>
    </w:p>
    <w:p w14:paraId="7766628A">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（1）相关性原则：绩效评价指标应当与绩效目标有直接的联系，能够恰当反映目标的实现程度。</w:t>
      </w:r>
    </w:p>
    <w:p w14:paraId="44046695">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（2）重要性原则：应当优先使用最具评价对象代表性、最能反映评价要求的核心指标。</w:t>
      </w:r>
    </w:p>
    <w:p w14:paraId="6556A231">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（3）可比性原则：对同类评价对象要设定共性的绩效评价指标，以便于评价结果可以相互比较。</w:t>
      </w:r>
    </w:p>
    <w:p w14:paraId="07456298">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（4）系统性原则：绩效评价指标的设置应当将定量指标与定性指标相结合，能系统反映财政支出所产生的社会效益、经济效益和可持续影响等。</w:t>
      </w:r>
    </w:p>
    <w:p w14:paraId="5C709C7A">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（5）经济性原则：绩效评价指标设计应当通俗易懂、简便易行，数据的获得应当考虑现实条件和可操作性，符合成本效益原则。</w:t>
      </w:r>
    </w:p>
    <w:p w14:paraId="24986D66">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本项目的评价指标体系建立如表2-1所示</w:t>
      </w:r>
    </w:p>
    <w:p w14:paraId="4DA8474C">
      <w:pPr>
        <w:spacing w:line="560" w:lineRule="exact"/>
        <w:ind w:firstLine="672"/>
        <w:rPr>
          <w:rFonts w:hint="eastAsia" w:ascii="Times New Roman" w:hAnsi="Times New Roman" w:cs="Times New Roman"/>
          <w:spacing w:val="8"/>
          <w:sz w:val="32"/>
          <w:szCs w:val="32"/>
        </w:rPr>
        <w:sectPr>
          <w:headerReference r:id="rId11" w:type="default"/>
          <w:footerReference r:id="rId12" w:type="default"/>
          <w:pgSz w:w="11906" w:h="16838"/>
          <w:pgMar w:top="1440" w:right="1800" w:bottom="1440" w:left="1800" w:header="992" w:footer="992" w:gutter="0"/>
          <w:pgNumType w:start="1"/>
          <w:cols w:space="425" w:num="1"/>
          <w:docGrid w:type="lines" w:linePitch="381" w:charSpace="0"/>
        </w:sectPr>
      </w:pPr>
    </w:p>
    <w:p w14:paraId="77672E5F">
      <w:pPr>
        <w:spacing w:line="560" w:lineRule="exact"/>
        <w:ind w:firstLine="0" w:firstLineChars="0"/>
        <w:jc w:val="center"/>
        <w:rPr>
          <w:rFonts w:ascii="Times New Roman" w:hAnsi="Times New Roman" w:cs="Times New Roman"/>
          <w:b/>
          <w:bCs/>
          <w:sz w:val="24"/>
          <w:szCs w:val="24"/>
        </w:rPr>
      </w:pPr>
      <w:r>
        <w:rPr>
          <w:rFonts w:ascii="Times New Roman" w:hAnsi="Times New Roman" w:cs="Times New Roman"/>
          <w:b/>
          <w:bCs/>
          <w:sz w:val="24"/>
          <w:szCs w:val="24"/>
        </w:rPr>
        <w:t>表2-1 项目支出绩效评价指标体系</w:t>
      </w:r>
    </w:p>
    <w:tbl>
      <w:tblPr>
        <w:tblStyle w:val="16"/>
        <w:tblW w:w="13895"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55"/>
        <w:gridCol w:w="1199"/>
        <w:gridCol w:w="1411"/>
        <w:gridCol w:w="2789"/>
        <w:gridCol w:w="7341"/>
      </w:tblGrid>
      <w:tr w14:paraId="178FCE7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vAlign w:val="center"/>
          </w:tcPr>
          <w:p w14:paraId="6BEC5D84">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一级指标</w:t>
            </w:r>
          </w:p>
        </w:tc>
        <w:tc>
          <w:tcPr>
            <w:tcW w:w="1199" w:type="dxa"/>
            <w:tcBorders>
              <w:tl2br w:val="nil"/>
              <w:tr2bl w:val="nil"/>
            </w:tcBorders>
            <w:shd w:val="clear" w:color="auto" w:fill="D0CECE"/>
            <w:vAlign w:val="center"/>
          </w:tcPr>
          <w:p w14:paraId="0CA5AC95">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二级指标</w:t>
            </w:r>
          </w:p>
        </w:tc>
        <w:tc>
          <w:tcPr>
            <w:tcW w:w="1411" w:type="dxa"/>
            <w:tcBorders>
              <w:tl2br w:val="nil"/>
              <w:tr2bl w:val="nil"/>
            </w:tcBorders>
            <w:shd w:val="clear" w:color="auto" w:fill="D0CECE"/>
            <w:vAlign w:val="center"/>
          </w:tcPr>
          <w:p w14:paraId="799A75C0">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三级指标</w:t>
            </w:r>
          </w:p>
        </w:tc>
        <w:tc>
          <w:tcPr>
            <w:tcW w:w="2789" w:type="dxa"/>
            <w:tcBorders>
              <w:tl2br w:val="nil"/>
              <w:tr2bl w:val="nil"/>
            </w:tcBorders>
            <w:shd w:val="clear" w:color="auto" w:fill="D0CECE"/>
            <w:vAlign w:val="center"/>
          </w:tcPr>
          <w:p w14:paraId="52D23661">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指标解释</w:t>
            </w:r>
          </w:p>
        </w:tc>
        <w:tc>
          <w:tcPr>
            <w:tcW w:w="7341" w:type="dxa"/>
            <w:tcBorders>
              <w:tl2br w:val="nil"/>
              <w:tr2bl w:val="nil"/>
            </w:tcBorders>
            <w:shd w:val="clear" w:color="auto" w:fill="D0CECE"/>
            <w:vAlign w:val="center"/>
          </w:tcPr>
          <w:p w14:paraId="204010C1">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指标说明</w:t>
            </w:r>
          </w:p>
        </w:tc>
      </w:tr>
      <w:tr w14:paraId="0BD1311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3F59506C">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决策</w:t>
            </w:r>
          </w:p>
        </w:tc>
        <w:tc>
          <w:tcPr>
            <w:tcW w:w="1199" w:type="dxa"/>
            <w:vMerge w:val="restart"/>
            <w:tcBorders>
              <w:tl2br w:val="nil"/>
              <w:tr2bl w:val="nil"/>
            </w:tcBorders>
            <w:shd w:val="clear" w:color="auto" w:fill="FFFFFF"/>
            <w:vAlign w:val="center"/>
          </w:tcPr>
          <w:p w14:paraId="3AEAF9F2">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项目立项</w:t>
            </w:r>
          </w:p>
        </w:tc>
        <w:tc>
          <w:tcPr>
            <w:tcW w:w="1411" w:type="dxa"/>
            <w:tcBorders>
              <w:tl2br w:val="nil"/>
              <w:tr2bl w:val="nil"/>
            </w:tcBorders>
            <w:shd w:val="clear" w:color="auto" w:fill="FFFFFF"/>
            <w:vAlign w:val="center"/>
          </w:tcPr>
          <w:p w14:paraId="495B8C82">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立项依据</w:t>
            </w:r>
          </w:p>
          <w:p w14:paraId="49979361">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充分性</w:t>
            </w:r>
          </w:p>
        </w:tc>
        <w:tc>
          <w:tcPr>
            <w:tcW w:w="2789" w:type="dxa"/>
            <w:tcBorders>
              <w:tl2br w:val="nil"/>
              <w:tr2bl w:val="nil"/>
            </w:tcBorders>
            <w:shd w:val="clear" w:color="auto" w:fill="FFFFFF"/>
            <w:vAlign w:val="center"/>
          </w:tcPr>
          <w:p w14:paraId="46A4AB98">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693F92A9">
            <w:pPr>
              <w:widowControl/>
              <w:ind w:firstLine="0" w:firstLineChars="0"/>
              <w:jc w:val="left"/>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评价要点：</w:t>
            </w:r>
          </w:p>
          <w:p w14:paraId="0B38CCCE">
            <w:pPr>
              <w:widowControl/>
              <w:ind w:firstLine="0" w:firstLineChars="0"/>
              <w:jc w:val="left"/>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①项目立项是否符合国家法律法规、国民经济发展规划和相关政策；</w:t>
            </w:r>
          </w:p>
          <w:p w14:paraId="0233C949">
            <w:pPr>
              <w:widowControl/>
              <w:ind w:firstLine="0" w:firstLineChars="0"/>
              <w:jc w:val="left"/>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②项目立项是否符合行业发展规划和政策要求；</w:t>
            </w:r>
          </w:p>
          <w:p w14:paraId="114ECEA5">
            <w:pPr>
              <w:widowControl/>
              <w:ind w:firstLine="0" w:firstLineChars="0"/>
              <w:jc w:val="left"/>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③项目立项是否与部门职责范围相符，</w:t>
            </w:r>
            <w:r>
              <w:rPr>
                <w:rFonts w:ascii="Times New Roman" w:hAnsi="Times New Roman" w:cs="Times New Roman"/>
                <w:color w:val="000000"/>
                <w:kern w:val="0"/>
                <w:sz w:val="22"/>
                <w:lang w:val="en-US" w:eastAsia="zh-CN"/>
              </w:rPr>
              <w:t>属于部门</w:t>
            </w:r>
            <w:r>
              <w:rPr>
                <w:rFonts w:ascii="Times New Roman" w:hAnsi="Times New Roman" w:cs="Times New Roman"/>
                <w:color w:val="000000"/>
                <w:kern w:val="0"/>
                <w:sz w:val="22"/>
              </w:rPr>
              <w:t>履职所需；</w:t>
            </w:r>
          </w:p>
          <w:p w14:paraId="705906F7">
            <w:pPr>
              <w:widowControl/>
              <w:ind w:firstLine="0" w:firstLineChars="0"/>
              <w:jc w:val="left"/>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④项目是否属于公共财政支持范围，是否符合中央、地方事权支出责任划分原则；</w:t>
            </w:r>
          </w:p>
          <w:p w14:paraId="2BDCEC26">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⑤项目是否与相关部门同类项目或部门内部相关项目重复。</w:t>
            </w:r>
          </w:p>
        </w:tc>
      </w:tr>
      <w:tr w14:paraId="1096D17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0E7D1BCA">
            <w:pPr>
              <w:widowControl/>
              <w:ind w:firstLine="0" w:firstLineChars="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36BC7EB1">
            <w:pPr>
              <w:widowControl/>
              <w:ind w:firstLine="0" w:firstLineChars="0"/>
              <w:jc w:val="center"/>
              <w:rPr>
                <w:rFonts w:ascii="Times New Roman" w:hAnsi="Times New Roman" w:cs="Times New Roman"/>
                <w:color w:val="000000"/>
                <w:kern w:val="0"/>
                <w:sz w:val="22"/>
              </w:rPr>
            </w:pPr>
          </w:p>
        </w:tc>
        <w:tc>
          <w:tcPr>
            <w:tcW w:w="1411" w:type="dxa"/>
            <w:tcBorders>
              <w:tl2br w:val="nil"/>
              <w:tr2bl w:val="nil"/>
            </w:tcBorders>
            <w:shd w:val="clear" w:color="auto" w:fill="FFFFFF"/>
            <w:vAlign w:val="center"/>
          </w:tcPr>
          <w:p w14:paraId="67E70BB5">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立项程序</w:t>
            </w:r>
          </w:p>
          <w:p w14:paraId="17A679A9">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规范性</w:t>
            </w:r>
          </w:p>
        </w:tc>
        <w:tc>
          <w:tcPr>
            <w:tcW w:w="2789" w:type="dxa"/>
            <w:tcBorders>
              <w:tl2br w:val="nil"/>
              <w:tr2bl w:val="nil"/>
            </w:tcBorders>
            <w:shd w:val="clear" w:color="auto" w:fill="FFFFFF"/>
            <w:vAlign w:val="center"/>
          </w:tcPr>
          <w:p w14:paraId="02C37E3E">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3A92C1DB">
            <w:pPr>
              <w:widowControl/>
              <w:ind w:firstLine="0" w:firstLineChars="0"/>
              <w:jc w:val="left"/>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评价要点：</w:t>
            </w:r>
          </w:p>
          <w:p w14:paraId="68695028">
            <w:pPr>
              <w:widowControl/>
              <w:ind w:firstLine="0" w:firstLineChars="0"/>
              <w:jc w:val="left"/>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①项目是否按照规定的程序申请设立；</w:t>
            </w:r>
          </w:p>
          <w:p w14:paraId="5D7FE363">
            <w:pPr>
              <w:widowControl/>
              <w:ind w:firstLine="0" w:firstLineChars="0"/>
              <w:jc w:val="left"/>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②审批文件、材料是否符合相关要求；</w:t>
            </w:r>
          </w:p>
          <w:p w14:paraId="09713037">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③事前是否已经过必要的可行性研究、专家论证、风险评估、绩效评估、集体决策。</w:t>
            </w:r>
          </w:p>
        </w:tc>
      </w:tr>
      <w:tr w14:paraId="2E94AE3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0599D643">
            <w:pPr>
              <w:widowControl/>
              <w:ind w:firstLine="0" w:firstLineChars="0"/>
              <w:jc w:val="center"/>
              <w:rPr>
                <w:rFonts w:ascii="Times New Roman" w:hAnsi="Times New Roman" w:cs="Times New Roman"/>
                <w:color w:val="000000"/>
                <w:kern w:val="0"/>
                <w:sz w:val="22"/>
              </w:rPr>
            </w:pPr>
          </w:p>
        </w:tc>
        <w:tc>
          <w:tcPr>
            <w:tcW w:w="1199" w:type="dxa"/>
            <w:tcBorders>
              <w:tl2br w:val="nil"/>
              <w:tr2bl w:val="nil"/>
            </w:tcBorders>
            <w:shd w:val="clear" w:color="auto" w:fill="FFFFFF"/>
            <w:vAlign w:val="center"/>
          </w:tcPr>
          <w:p w14:paraId="31D88824">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绩效目标</w:t>
            </w:r>
          </w:p>
        </w:tc>
        <w:tc>
          <w:tcPr>
            <w:tcW w:w="1411" w:type="dxa"/>
            <w:tcBorders>
              <w:tl2br w:val="nil"/>
              <w:tr2bl w:val="nil"/>
            </w:tcBorders>
            <w:shd w:val="clear" w:color="auto" w:fill="FFFFFF"/>
            <w:vAlign w:val="center"/>
          </w:tcPr>
          <w:p w14:paraId="0515DE9C">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绩效目标</w:t>
            </w:r>
          </w:p>
          <w:p w14:paraId="4D0BFEDF">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合理性</w:t>
            </w:r>
          </w:p>
        </w:tc>
        <w:tc>
          <w:tcPr>
            <w:tcW w:w="2789" w:type="dxa"/>
            <w:tcBorders>
              <w:tl2br w:val="nil"/>
              <w:tr2bl w:val="nil"/>
            </w:tcBorders>
            <w:shd w:val="clear" w:color="000000" w:fill="FFFFFF"/>
            <w:vAlign w:val="center"/>
          </w:tcPr>
          <w:p w14:paraId="0AA41AAE">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0C279EA4">
            <w:pPr>
              <w:widowControl/>
              <w:ind w:firstLine="0" w:firstLineChars="0"/>
              <w:jc w:val="left"/>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评价要点：</w:t>
            </w:r>
          </w:p>
          <w:p w14:paraId="2F7C874F">
            <w:pPr>
              <w:widowControl/>
              <w:ind w:firstLine="0" w:firstLineChars="0"/>
              <w:jc w:val="left"/>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（如未设定预算绩效目标，也可考核其他工作任务目标）</w:t>
            </w:r>
          </w:p>
          <w:p w14:paraId="6EED8CB5">
            <w:pPr>
              <w:widowControl/>
              <w:ind w:firstLine="0" w:firstLineChars="0"/>
              <w:jc w:val="left"/>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①项目是否有绩效目标；</w:t>
            </w:r>
          </w:p>
          <w:p w14:paraId="252AA58E">
            <w:pPr>
              <w:widowControl/>
              <w:ind w:firstLine="0" w:firstLineChars="0"/>
              <w:jc w:val="left"/>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②项目绩效目标与实际工作内容是否具有相关性；</w:t>
            </w:r>
          </w:p>
          <w:p w14:paraId="3318221C">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③项目预期产出效益和效果是否符合正常的业绩水平；</w:t>
            </w:r>
          </w:p>
          <w:p w14:paraId="35312F91">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④是否与预算确定的项目投资额或资金量相匹配。</w:t>
            </w:r>
          </w:p>
        </w:tc>
      </w:tr>
      <w:tr w14:paraId="336909F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0E819A52">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决策</w:t>
            </w:r>
          </w:p>
        </w:tc>
        <w:tc>
          <w:tcPr>
            <w:tcW w:w="1199" w:type="dxa"/>
            <w:tcBorders>
              <w:tl2br w:val="nil"/>
              <w:tr2bl w:val="nil"/>
            </w:tcBorders>
            <w:shd w:val="clear" w:color="auto" w:fill="FFFFFF"/>
            <w:vAlign w:val="center"/>
          </w:tcPr>
          <w:p w14:paraId="29C1A1B2">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绩效目标</w:t>
            </w:r>
          </w:p>
        </w:tc>
        <w:tc>
          <w:tcPr>
            <w:tcW w:w="1411" w:type="dxa"/>
            <w:tcBorders>
              <w:tl2br w:val="nil"/>
              <w:tr2bl w:val="nil"/>
            </w:tcBorders>
            <w:shd w:val="clear" w:color="auto" w:fill="FFFFFF"/>
            <w:vAlign w:val="center"/>
          </w:tcPr>
          <w:p w14:paraId="5918A707">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绩效指标</w:t>
            </w:r>
          </w:p>
          <w:p w14:paraId="7102BED3">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明确性</w:t>
            </w:r>
          </w:p>
        </w:tc>
        <w:tc>
          <w:tcPr>
            <w:tcW w:w="2789" w:type="dxa"/>
            <w:tcBorders>
              <w:tl2br w:val="nil"/>
              <w:tr2bl w:val="nil"/>
            </w:tcBorders>
            <w:shd w:val="clear" w:color="000000" w:fill="FFFFFF"/>
            <w:vAlign w:val="center"/>
          </w:tcPr>
          <w:p w14:paraId="599EF406">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394545B3">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评价要点：</w:t>
            </w:r>
          </w:p>
          <w:p w14:paraId="5D3ED13F">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①是否将项目绩效目标细化分解为具体的绩效指标；</w:t>
            </w:r>
          </w:p>
          <w:p w14:paraId="7202AF7A">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②是否通过清晰、可衡量的指标值予以体现；</w:t>
            </w:r>
          </w:p>
          <w:p w14:paraId="7F9D3C6B">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③是否与项目目标任务数或计划数相对应。</w:t>
            </w:r>
          </w:p>
        </w:tc>
      </w:tr>
      <w:tr w14:paraId="48EA1A8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3923977A">
            <w:pPr>
              <w:widowControl/>
              <w:ind w:firstLine="0" w:firstLineChars="0"/>
              <w:jc w:val="center"/>
              <w:rPr>
                <w:rFonts w:ascii="Times New Roman" w:hAnsi="Times New Roman" w:cs="Times New Roman"/>
                <w:color w:val="000000"/>
                <w:kern w:val="0"/>
                <w:sz w:val="22"/>
              </w:rPr>
            </w:pPr>
          </w:p>
        </w:tc>
        <w:tc>
          <w:tcPr>
            <w:tcW w:w="1199" w:type="dxa"/>
            <w:vMerge w:val="restart"/>
            <w:tcBorders>
              <w:tl2br w:val="nil"/>
              <w:tr2bl w:val="nil"/>
            </w:tcBorders>
            <w:shd w:val="clear" w:color="auto" w:fill="FFFFFF"/>
            <w:vAlign w:val="center"/>
          </w:tcPr>
          <w:p w14:paraId="1F80B0C2">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资金投入</w:t>
            </w:r>
          </w:p>
        </w:tc>
        <w:tc>
          <w:tcPr>
            <w:tcW w:w="1411" w:type="dxa"/>
            <w:tcBorders>
              <w:tl2br w:val="nil"/>
              <w:tr2bl w:val="nil"/>
            </w:tcBorders>
            <w:shd w:val="clear" w:color="auto" w:fill="FFFFFF"/>
            <w:vAlign w:val="center"/>
          </w:tcPr>
          <w:p w14:paraId="19C745F2">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预算编制</w:t>
            </w:r>
          </w:p>
          <w:p w14:paraId="3BFCD1B5">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科学性</w:t>
            </w:r>
          </w:p>
        </w:tc>
        <w:tc>
          <w:tcPr>
            <w:tcW w:w="2789" w:type="dxa"/>
            <w:tcBorders>
              <w:tl2br w:val="nil"/>
              <w:tr2bl w:val="nil"/>
            </w:tcBorders>
            <w:shd w:val="clear" w:color="auto" w:fill="FFFFFF"/>
            <w:vAlign w:val="center"/>
          </w:tcPr>
          <w:p w14:paraId="303C82F2">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63168CC7">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评价要点：</w:t>
            </w:r>
          </w:p>
          <w:p w14:paraId="4D950534">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①预算编制是否经过科学论证；</w:t>
            </w:r>
          </w:p>
          <w:p w14:paraId="0E75024B">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②预算内容与项目内容是否匹配；</w:t>
            </w:r>
          </w:p>
          <w:p w14:paraId="0D30246D">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③预算额度测算依据是否充分，是否按照标准编制；</w:t>
            </w:r>
          </w:p>
          <w:p w14:paraId="7A2D3A12">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④预算确定的项目投资额或资金量是否与工作任务相匹配。</w:t>
            </w:r>
          </w:p>
        </w:tc>
      </w:tr>
      <w:tr w14:paraId="0B6592B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748A116D">
            <w:pPr>
              <w:widowControl/>
              <w:ind w:firstLine="0" w:firstLineChars="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160EAA91">
            <w:pPr>
              <w:widowControl/>
              <w:ind w:firstLine="0" w:firstLineChars="0"/>
              <w:jc w:val="center"/>
              <w:rPr>
                <w:rFonts w:ascii="Times New Roman" w:hAnsi="Times New Roman" w:cs="Times New Roman"/>
                <w:color w:val="000000"/>
                <w:kern w:val="0"/>
                <w:sz w:val="22"/>
              </w:rPr>
            </w:pPr>
          </w:p>
        </w:tc>
        <w:tc>
          <w:tcPr>
            <w:tcW w:w="1411" w:type="dxa"/>
            <w:tcBorders>
              <w:tl2br w:val="nil"/>
              <w:tr2bl w:val="nil"/>
            </w:tcBorders>
            <w:shd w:val="clear" w:color="auto" w:fill="FFFFFF"/>
            <w:vAlign w:val="center"/>
          </w:tcPr>
          <w:p w14:paraId="516BD5E4">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资金分配</w:t>
            </w:r>
          </w:p>
          <w:p w14:paraId="75BB3077">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合理性</w:t>
            </w:r>
          </w:p>
        </w:tc>
        <w:tc>
          <w:tcPr>
            <w:tcW w:w="2789" w:type="dxa"/>
            <w:tcBorders>
              <w:tl2br w:val="nil"/>
              <w:tr2bl w:val="nil"/>
            </w:tcBorders>
            <w:shd w:val="clear" w:color="auto" w:fill="FFFFFF"/>
            <w:vAlign w:val="center"/>
          </w:tcPr>
          <w:p w14:paraId="7FB30E19">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5678B5F6">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评价要点：</w:t>
            </w:r>
          </w:p>
          <w:p w14:paraId="24B7FB1A">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①预算资金分配依据是否充分；</w:t>
            </w:r>
          </w:p>
          <w:p w14:paraId="4C415757">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②资金分配额度是否合理，与项目单位或地方实际是否相适应。</w:t>
            </w:r>
          </w:p>
        </w:tc>
      </w:tr>
      <w:tr w14:paraId="45394CF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07850040">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过程</w:t>
            </w:r>
          </w:p>
        </w:tc>
        <w:tc>
          <w:tcPr>
            <w:tcW w:w="1199" w:type="dxa"/>
            <w:vMerge w:val="restart"/>
            <w:tcBorders>
              <w:tl2br w:val="nil"/>
              <w:tr2bl w:val="nil"/>
            </w:tcBorders>
            <w:shd w:val="clear" w:color="auto" w:fill="FFFFFF"/>
            <w:vAlign w:val="center"/>
          </w:tcPr>
          <w:p w14:paraId="6E0348F9">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资金管理</w:t>
            </w:r>
          </w:p>
        </w:tc>
        <w:tc>
          <w:tcPr>
            <w:tcW w:w="1411" w:type="dxa"/>
            <w:tcBorders>
              <w:tl2br w:val="nil"/>
              <w:tr2bl w:val="nil"/>
            </w:tcBorders>
            <w:shd w:val="clear" w:color="auto" w:fill="FFFFFF"/>
            <w:vAlign w:val="center"/>
          </w:tcPr>
          <w:p w14:paraId="614AAE12">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资金到位率</w:t>
            </w:r>
          </w:p>
        </w:tc>
        <w:tc>
          <w:tcPr>
            <w:tcW w:w="2789" w:type="dxa"/>
            <w:tcBorders>
              <w:tl2br w:val="nil"/>
              <w:tr2bl w:val="nil"/>
            </w:tcBorders>
            <w:shd w:val="clear" w:color="000000" w:fill="FFFFFF"/>
            <w:vAlign w:val="center"/>
          </w:tcPr>
          <w:p w14:paraId="06597D61">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5DB4DA0D">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资金到位率=（实际到位资金/预算资金）×100%。</w:t>
            </w:r>
          </w:p>
          <w:p w14:paraId="5F5B2CCD">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实际到位资金：一定时期（本年度或项目期）内落实到具体项目的资金。</w:t>
            </w:r>
          </w:p>
          <w:p w14:paraId="08F6B824">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预算资金：一定时期（本年度或项目期）内预算安排到具体项目的资金。</w:t>
            </w:r>
          </w:p>
        </w:tc>
      </w:tr>
      <w:tr w14:paraId="7E8866E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28EF0DCC">
            <w:pPr>
              <w:widowControl/>
              <w:ind w:firstLine="0" w:firstLineChars="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21360B28">
            <w:pPr>
              <w:widowControl/>
              <w:ind w:firstLine="0" w:firstLineChars="0"/>
              <w:jc w:val="center"/>
              <w:rPr>
                <w:rFonts w:ascii="Times New Roman" w:hAnsi="Times New Roman" w:cs="Times New Roman"/>
                <w:color w:val="000000"/>
                <w:kern w:val="0"/>
                <w:sz w:val="22"/>
              </w:rPr>
            </w:pPr>
          </w:p>
        </w:tc>
        <w:tc>
          <w:tcPr>
            <w:tcW w:w="1411" w:type="dxa"/>
            <w:tcBorders>
              <w:tl2br w:val="nil"/>
              <w:tr2bl w:val="nil"/>
            </w:tcBorders>
            <w:shd w:val="clear" w:color="auto" w:fill="FFFFFF"/>
            <w:vAlign w:val="center"/>
          </w:tcPr>
          <w:p w14:paraId="27316EA7">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预算执行率</w:t>
            </w:r>
          </w:p>
        </w:tc>
        <w:tc>
          <w:tcPr>
            <w:tcW w:w="2789" w:type="dxa"/>
            <w:tcBorders>
              <w:tl2br w:val="nil"/>
              <w:tr2bl w:val="nil"/>
            </w:tcBorders>
            <w:shd w:val="clear" w:color="auto" w:fill="FFFFFF"/>
            <w:vAlign w:val="center"/>
          </w:tcPr>
          <w:p w14:paraId="2AD778EA">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365C9BB0">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预算执行率=（实际支出资金/实际到位资金）×100%。</w:t>
            </w:r>
          </w:p>
          <w:p w14:paraId="617B6C94">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实际支出资金：一定时期（本年度或项目期）内项目实际拨付的资金。</w:t>
            </w:r>
          </w:p>
        </w:tc>
      </w:tr>
      <w:tr w14:paraId="7F6D50D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000684AF">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过程</w:t>
            </w:r>
          </w:p>
        </w:tc>
        <w:tc>
          <w:tcPr>
            <w:tcW w:w="1199" w:type="dxa"/>
            <w:tcBorders>
              <w:tl2br w:val="nil"/>
              <w:tr2bl w:val="nil"/>
            </w:tcBorders>
            <w:shd w:val="clear" w:color="auto" w:fill="FFFFFF"/>
            <w:vAlign w:val="center"/>
          </w:tcPr>
          <w:p w14:paraId="1F764F75">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资金管理</w:t>
            </w:r>
          </w:p>
        </w:tc>
        <w:tc>
          <w:tcPr>
            <w:tcW w:w="1411" w:type="dxa"/>
            <w:tcBorders>
              <w:tl2br w:val="nil"/>
              <w:tr2bl w:val="nil"/>
            </w:tcBorders>
            <w:shd w:val="clear" w:color="auto" w:fill="FFFFFF"/>
            <w:vAlign w:val="center"/>
          </w:tcPr>
          <w:p w14:paraId="467EE3FE">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资金使用</w:t>
            </w:r>
          </w:p>
          <w:p w14:paraId="27510892">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合规性</w:t>
            </w:r>
          </w:p>
        </w:tc>
        <w:tc>
          <w:tcPr>
            <w:tcW w:w="2789" w:type="dxa"/>
            <w:tcBorders>
              <w:tl2br w:val="nil"/>
              <w:tr2bl w:val="nil"/>
            </w:tcBorders>
            <w:shd w:val="clear" w:color="000000" w:fill="FFFFFF"/>
            <w:vAlign w:val="center"/>
          </w:tcPr>
          <w:p w14:paraId="2C93F537">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3E86F7B2">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评价要点：</w:t>
            </w:r>
          </w:p>
          <w:p w14:paraId="7C25F094">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①是否符合国家财经法规和财务管理制度以及有关专项资金管理办法的规定；</w:t>
            </w:r>
          </w:p>
          <w:p w14:paraId="2ED8C645">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②资金的拨付是否有完整的审批程序和手续；</w:t>
            </w:r>
          </w:p>
          <w:p w14:paraId="3ADB4766">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③是否符合项目预算批复或合同规定的用途；</w:t>
            </w:r>
          </w:p>
          <w:p w14:paraId="38CCFC13">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④是否存在截留、挤占、挪用、虚列支出等情况。</w:t>
            </w:r>
          </w:p>
        </w:tc>
      </w:tr>
      <w:tr w14:paraId="4DF0A46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1F0DD3B0">
            <w:pPr>
              <w:widowControl/>
              <w:ind w:firstLine="0" w:firstLineChars="0"/>
              <w:jc w:val="center"/>
              <w:rPr>
                <w:rFonts w:ascii="Times New Roman" w:hAnsi="Times New Roman" w:cs="Times New Roman"/>
                <w:color w:val="000000"/>
                <w:kern w:val="0"/>
                <w:sz w:val="22"/>
              </w:rPr>
            </w:pPr>
          </w:p>
        </w:tc>
        <w:tc>
          <w:tcPr>
            <w:tcW w:w="1199" w:type="dxa"/>
            <w:vMerge w:val="restart"/>
            <w:tcBorders>
              <w:tl2br w:val="nil"/>
              <w:tr2bl w:val="nil"/>
            </w:tcBorders>
            <w:shd w:val="clear" w:color="auto" w:fill="FFFFFF"/>
            <w:vAlign w:val="center"/>
          </w:tcPr>
          <w:p w14:paraId="6BA9CE0A">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组织实施</w:t>
            </w:r>
          </w:p>
        </w:tc>
        <w:tc>
          <w:tcPr>
            <w:tcW w:w="1411" w:type="dxa"/>
            <w:tcBorders>
              <w:tl2br w:val="nil"/>
              <w:tr2bl w:val="nil"/>
            </w:tcBorders>
            <w:shd w:val="clear" w:color="auto" w:fill="FFFFFF"/>
            <w:vAlign w:val="center"/>
          </w:tcPr>
          <w:p w14:paraId="660DC1C6">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管理制度</w:t>
            </w:r>
          </w:p>
          <w:p w14:paraId="359C3B53">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健全性</w:t>
            </w:r>
          </w:p>
        </w:tc>
        <w:tc>
          <w:tcPr>
            <w:tcW w:w="2789" w:type="dxa"/>
            <w:tcBorders>
              <w:tl2br w:val="nil"/>
              <w:tr2bl w:val="nil"/>
            </w:tcBorders>
            <w:shd w:val="clear" w:color="000000" w:fill="FFFFFF"/>
            <w:vAlign w:val="center"/>
          </w:tcPr>
          <w:p w14:paraId="6C3AE88E">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22D6A5D4">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评价要点：</w:t>
            </w:r>
          </w:p>
          <w:p w14:paraId="552E5EC2">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①是否已制定或具有相应的财务和业务管理制度；</w:t>
            </w:r>
          </w:p>
          <w:p w14:paraId="2D92EFC6">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②财务和业务管理制度是否合法、合规、完整。</w:t>
            </w:r>
          </w:p>
        </w:tc>
      </w:tr>
      <w:tr w14:paraId="51F8F95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483E77E4">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14:paraId="7A0F0AEF">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14:paraId="3A4D3E0B">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制度执行</w:t>
            </w:r>
          </w:p>
          <w:p w14:paraId="75090576">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有效性</w:t>
            </w:r>
          </w:p>
        </w:tc>
        <w:tc>
          <w:tcPr>
            <w:tcW w:w="2789" w:type="dxa"/>
            <w:tcBorders>
              <w:tl2br w:val="nil"/>
              <w:tr2bl w:val="nil"/>
            </w:tcBorders>
            <w:shd w:val="clear" w:color="000000" w:fill="FFFFFF"/>
            <w:vAlign w:val="center"/>
          </w:tcPr>
          <w:p w14:paraId="2A734ABB">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5622A0A4">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评价要点：</w:t>
            </w:r>
          </w:p>
          <w:p w14:paraId="6280F486">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①是否遵守相关法律法规和相关管理规定；</w:t>
            </w:r>
          </w:p>
          <w:p w14:paraId="1D024958">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②项目调整及支出调整手续是否完备；</w:t>
            </w:r>
          </w:p>
          <w:p w14:paraId="0678C62E">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③项目合同书、验收报告、技术鉴定等资料是否齐全并及时归档；</w:t>
            </w:r>
          </w:p>
          <w:p w14:paraId="1FA04B11">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④项目实施的人员条件、场地设备、信息支撑等是否落实到位。</w:t>
            </w:r>
          </w:p>
        </w:tc>
      </w:tr>
      <w:tr w14:paraId="041D15D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14:paraId="395066C5">
            <w:pPr>
              <w:widowControl/>
              <w:ind w:firstLine="0" w:firstLineChars="0"/>
              <w:jc w:val="center"/>
              <w:rPr>
                <w:rFonts w:hint="eastAsia"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产出</w:t>
            </w:r>
          </w:p>
        </w:tc>
        <w:tc>
          <w:tcPr>
            <w:tcW w:w="1199" w:type="dxa"/>
            <w:vMerge w:val="restart"/>
            <w:tcBorders>
              <w:tl2br w:val="nil"/>
              <w:tr2bl w:val="nil"/>
            </w:tcBorders>
            <w:shd w:val="clear" w:color="auto" w:fill="FFFFFF"/>
            <w:vAlign w:val="center"/>
          </w:tcPr>
          <w:p w14:paraId="500D5A1F">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产出数量</w:t>
            </w:r>
          </w:p>
        </w:tc>
        <w:tc>
          <w:tcPr>
            <w:tcW w:w="1411" w:type="dxa"/>
            <w:tcBorders>
              <w:tl2br w:val="nil"/>
              <w:tr2bl w:val="nil"/>
            </w:tcBorders>
            <w:shd w:val="clear" w:color="auto" w:fill="FFFFFF"/>
          </w:tcPr>
          <w:p w14:paraId="542170A0">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完成市场监督检查工作</w:t>
            </w:r>
          </w:p>
        </w:tc>
        <w:tc>
          <w:tcPr>
            <w:tcW w:w="2789" w:type="dxa"/>
            <w:vMerge w:val="restart"/>
            <w:tcBorders>
              <w:tl2br w:val="nil"/>
              <w:tr2bl w:val="nil"/>
            </w:tcBorders>
            <w:shd w:val="clear" w:color="000000" w:fill="FFFFFF"/>
            <w:vAlign w:val="center"/>
          </w:tcPr>
          <w:p w14:paraId="67D94461">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2D9C849D">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实际完成率=（实际产出数/计划产出数）×100%。</w:t>
            </w:r>
          </w:p>
          <w:p w14:paraId="7B8C36F1">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实际产出数：一定时期（本年度或项目期）内项目实际产出的产品或提供的服务数量。</w:t>
            </w:r>
          </w:p>
          <w:p w14:paraId="39B9DFE1">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计划产出数：项目绩效目标确定的在一定时期（本年度或项目期）内计划产出的产品或提供的服务数量。</w:t>
            </w:r>
          </w:p>
        </w:tc>
      </w:tr>
      <w:tr w14:paraId="7A8CD8C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0FF4A8AB">
            <w:pPr>
              <w:ind w:firstLine="440"/>
              <w:jc w:val="center"/>
              <w:rPr>
                <w:rFonts w:ascii="Times New Roman" w:hAnsi="Times New Roman" w:cs="Times New Roman"/>
                <w:color w:val="000000"/>
                <w:kern w:val="0"/>
                <w:sz w:val="22"/>
                <w:highlight w:val="none"/>
              </w:rPr>
            </w:pPr>
          </w:p>
        </w:tc>
        <w:tc>
          <w:tcPr>
            <w:tcW w:w="1199" w:type="dxa"/>
            <w:vMerge w:val="continue"/>
            <w:tcBorders>
              <w:tl2br w:val="nil"/>
              <w:tr2bl w:val="nil"/>
            </w:tcBorders>
            <w:shd w:val="clear" w:color="auto" w:fill="FFFFFF"/>
            <w:vAlign w:val="center"/>
          </w:tcPr>
          <w:p w14:paraId="0DCC797B">
            <w:pPr>
              <w:widowControl/>
              <w:ind w:firstLine="0" w:firstLineChars="0"/>
              <w:jc w:val="center"/>
              <w:rPr>
                <w:rFonts w:ascii="Times New Roman" w:hAnsi="Times New Roman" w:cs="Times New Roman"/>
                <w:color w:val="000000"/>
                <w:kern w:val="0"/>
                <w:sz w:val="22"/>
                <w:highlight w:val="none"/>
              </w:rPr>
            </w:pPr>
          </w:p>
        </w:tc>
        <w:tc>
          <w:tcPr>
            <w:tcW w:w="1411" w:type="dxa"/>
            <w:tcBorders>
              <w:tl2br w:val="nil"/>
              <w:tr2bl w:val="nil"/>
            </w:tcBorders>
            <w:shd w:val="clear" w:color="auto" w:fill="FFFFFF"/>
          </w:tcPr>
          <w:p w14:paraId="19A8A25B">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综合行政执法服装配备人数</w:t>
            </w:r>
          </w:p>
        </w:tc>
        <w:tc>
          <w:tcPr>
            <w:tcW w:w="2789" w:type="dxa"/>
            <w:vMerge w:val="continue"/>
            <w:tcBorders>
              <w:tl2br w:val="nil"/>
              <w:tr2bl w:val="nil"/>
            </w:tcBorders>
            <w:shd w:val="clear" w:color="000000" w:fill="FFFFFF"/>
            <w:vAlign w:val="center"/>
          </w:tcPr>
          <w:p w14:paraId="60480D00">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56A6CDFE">
            <w:pPr>
              <w:widowControl/>
              <w:ind w:firstLine="0" w:firstLineChars="0"/>
              <w:rPr>
                <w:rFonts w:ascii="Times New Roman" w:hAnsi="Times New Roman" w:cs="Times New Roman"/>
                <w:color w:val="000000"/>
                <w:kern w:val="0"/>
                <w:sz w:val="22"/>
              </w:rPr>
            </w:pPr>
          </w:p>
        </w:tc>
      </w:tr>
      <w:tr w14:paraId="4F039B9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49" w:hRule="atLeast"/>
          <w:jc w:val="center"/>
        </w:trPr>
        <w:tc>
          <w:tcPr>
            <w:tcW w:w="1155" w:type="dxa"/>
            <w:vMerge w:val="continue"/>
            <w:tcBorders>
              <w:tl2br w:val="nil"/>
              <w:tr2bl w:val="nil"/>
            </w:tcBorders>
            <w:shd w:val="clear" w:color="auto" w:fill="FFFFFF"/>
            <w:vAlign w:val="center"/>
          </w:tcPr>
          <w:p w14:paraId="3BE4ACA5">
            <w:pPr>
              <w:widowControl/>
              <w:ind w:firstLine="0" w:firstLineChars="0"/>
              <w:jc w:val="center"/>
              <w:rPr>
                <w:rFonts w:ascii="Times New Roman" w:hAnsi="Times New Roman" w:cs="Times New Roman"/>
                <w:color w:val="000000"/>
                <w:kern w:val="0"/>
                <w:sz w:val="22"/>
                <w:highlight w:val="none"/>
              </w:rPr>
            </w:pPr>
          </w:p>
        </w:tc>
        <w:tc>
          <w:tcPr>
            <w:tcW w:w="1199" w:type="dxa"/>
            <w:vMerge w:val="restart"/>
            <w:tcBorders>
              <w:tl2br w:val="nil"/>
              <w:tr2bl w:val="nil"/>
            </w:tcBorders>
            <w:shd w:val="clear" w:color="auto" w:fill="FFFFFF"/>
            <w:vAlign w:val="center"/>
          </w:tcPr>
          <w:p w14:paraId="248F6DD7">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产出质量</w:t>
            </w:r>
          </w:p>
        </w:tc>
        <w:tc>
          <w:tcPr>
            <w:tcW w:w="1411" w:type="dxa"/>
            <w:tcBorders>
              <w:tl2br w:val="nil"/>
              <w:tr2bl w:val="nil"/>
            </w:tcBorders>
            <w:shd w:val="clear" w:color="auto" w:fill="FFFFFF"/>
            <w:vAlign w:val="center"/>
          </w:tcPr>
          <w:p w14:paraId="4505CD17">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服装采购验收合格率</w:t>
            </w:r>
          </w:p>
        </w:tc>
        <w:tc>
          <w:tcPr>
            <w:tcW w:w="2789" w:type="dxa"/>
            <w:vMerge w:val="restart"/>
            <w:tcBorders>
              <w:tl2br w:val="nil"/>
              <w:tr2bl w:val="nil"/>
            </w:tcBorders>
            <w:shd w:val="clear" w:color="000000" w:fill="FFFFFF"/>
            <w:vAlign w:val="center"/>
          </w:tcPr>
          <w:p w14:paraId="1E74C257">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14:paraId="1C3EEB97">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质量达标率=（质量达标产出数/实际产出数）×100%。</w:t>
            </w:r>
          </w:p>
          <w:p w14:paraId="782BED33">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2D16180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49" w:hRule="atLeast"/>
          <w:jc w:val="center"/>
        </w:trPr>
        <w:tc>
          <w:tcPr>
            <w:tcW w:w="1155" w:type="dxa"/>
            <w:vMerge w:val="continue"/>
            <w:tcBorders>
              <w:tl2br w:val="nil"/>
              <w:tr2bl w:val="nil"/>
            </w:tcBorders>
            <w:shd w:val="clear" w:color="auto" w:fill="FFFFFF"/>
            <w:vAlign w:val="center"/>
          </w:tcPr>
          <w:p w14:paraId="45D6ADA6">
            <w:pPr>
              <w:widowControl/>
              <w:ind w:firstLine="0" w:firstLineChars="0"/>
              <w:jc w:val="center"/>
            </w:pPr>
          </w:p>
        </w:tc>
        <w:tc>
          <w:tcPr>
            <w:tcW w:w="1199" w:type="dxa"/>
            <w:vMerge w:val="continue"/>
            <w:tcBorders>
              <w:tl2br w:val="nil"/>
              <w:tr2bl w:val="nil"/>
            </w:tcBorders>
            <w:shd w:val="clear" w:color="auto" w:fill="FFFFFF"/>
            <w:vAlign w:val="center"/>
          </w:tcPr>
          <w:p w14:paraId="4111AB3F">
            <w:pPr>
              <w:widowControl/>
              <w:ind w:firstLine="0" w:firstLineChars="0"/>
              <w:jc w:val="center"/>
            </w:pPr>
          </w:p>
        </w:tc>
        <w:tc>
          <w:tcPr>
            <w:tcW w:w="1411" w:type="dxa"/>
            <w:tcBorders>
              <w:tl2br w:val="nil"/>
              <w:tr2bl w:val="nil"/>
            </w:tcBorders>
            <w:shd w:val="clear" w:color="auto" w:fill="FFFFFF"/>
            <w:vAlign w:val="center"/>
          </w:tcPr>
          <w:p w14:paraId="59052B9C">
            <w:pPr>
              <w:widowControl/>
              <w:ind w:firstLine="0" w:firstLineChars="0"/>
              <w:jc w:val="center"/>
              <w:rPr>
                <w:rFonts w:hint="eastAsia" w:ascii="Times New Roman" w:hAnsi="Times New Roman" w:cs="Times New Roman"/>
                <w:color w:val="000000"/>
                <w:kern w:val="0"/>
                <w:sz w:val="22"/>
                <w:highlight w:val="none"/>
                <w:lang w:eastAsia="zh-CN"/>
              </w:rPr>
            </w:pPr>
            <w:r>
              <w:rPr>
                <w:rFonts w:hint="eastAsia" w:ascii="Times New Roman" w:hAnsi="Times New Roman" w:cs="Times New Roman"/>
                <w:color w:val="000000"/>
                <w:kern w:val="0"/>
                <w:sz w:val="22"/>
                <w:highlight w:val="none"/>
                <w:lang w:eastAsia="zh-CN"/>
              </w:rPr>
              <w:t>综合行政执法服装配备率</w:t>
            </w:r>
          </w:p>
        </w:tc>
        <w:tc>
          <w:tcPr>
            <w:tcW w:w="2789" w:type="dxa"/>
            <w:vMerge w:val="continue"/>
            <w:tcBorders>
              <w:tl2br w:val="nil"/>
              <w:tr2bl w:val="nil"/>
            </w:tcBorders>
            <w:shd w:val="clear" w:color="000000" w:fill="FFFFFF"/>
            <w:vAlign w:val="center"/>
          </w:tcPr>
          <w:p w14:paraId="5B7FB8FD">
            <w:pPr>
              <w:widowControl/>
              <w:ind w:firstLine="0" w:firstLineChars="0"/>
              <w:jc w:val="center"/>
              <w:rPr>
                <w:rFonts w:hint="eastAsia" w:ascii="Times New Roman" w:hAnsi="Times New Roman" w:cs="Times New Roman"/>
                <w:color w:val="000000"/>
                <w:kern w:val="0"/>
                <w:sz w:val="22"/>
                <w:highlight w:val="none"/>
                <w:lang w:eastAsia="zh-CN"/>
              </w:rPr>
            </w:pPr>
          </w:p>
        </w:tc>
        <w:tc>
          <w:tcPr>
            <w:tcW w:w="7341" w:type="dxa"/>
            <w:vMerge w:val="continue"/>
            <w:tcBorders>
              <w:tl2br w:val="nil"/>
              <w:tr2bl w:val="nil"/>
            </w:tcBorders>
            <w:shd w:val="clear" w:color="000000" w:fill="FFFFFF"/>
            <w:vAlign w:val="center"/>
          </w:tcPr>
          <w:p w14:paraId="35016DFB">
            <w:pPr>
              <w:widowControl/>
              <w:ind w:firstLine="0" w:firstLineChars="0"/>
              <w:jc w:val="center"/>
              <w:rPr>
                <w:rFonts w:hint="eastAsia" w:ascii="Times New Roman" w:hAnsi="Times New Roman" w:cs="Times New Roman"/>
                <w:color w:val="000000"/>
                <w:kern w:val="0"/>
                <w:sz w:val="22"/>
                <w:highlight w:val="none"/>
                <w:lang w:eastAsia="zh-CN"/>
              </w:rPr>
            </w:pPr>
          </w:p>
        </w:tc>
      </w:tr>
      <w:tr w14:paraId="74B294C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96" w:hRule="atLeast"/>
          <w:jc w:val="center"/>
        </w:trPr>
        <w:tc>
          <w:tcPr>
            <w:tcW w:w="1155" w:type="dxa"/>
            <w:vMerge w:val="continue"/>
            <w:tcBorders>
              <w:tl2br w:val="nil"/>
              <w:tr2bl w:val="nil"/>
            </w:tcBorders>
            <w:shd w:val="clear" w:color="auto" w:fill="FFFFFF"/>
            <w:vAlign w:val="center"/>
          </w:tcPr>
          <w:p w14:paraId="684CF3B1">
            <w:pPr>
              <w:widowControl/>
              <w:ind w:firstLine="0" w:firstLineChars="0"/>
              <w:jc w:val="center"/>
              <w:rPr>
                <w:rFonts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14:paraId="7BF9C762">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产出成本</w:t>
            </w:r>
          </w:p>
        </w:tc>
        <w:tc>
          <w:tcPr>
            <w:tcW w:w="1411" w:type="dxa"/>
            <w:tcBorders>
              <w:tl2br w:val="nil"/>
              <w:tr2bl w:val="nil"/>
            </w:tcBorders>
            <w:shd w:val="clear" w:color="auto" w:fill="FFFFFF"/>
            <w:vAlign w:val="center"/>
          </w:tcPr>
          <w:p w14:paraId="4A0598D4">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每人综合行政执法服装成本</w:t>
            </w:r>
          </w:p>
        </w:tc>
        <w:tc>
          <w:tcPr>
            <w:tcW w:w="2789" w:type="dxa"/>
            <w:tcBorders>
              <w:tl2br w:val="nil"/>
              <w:tr2bl w:val="nil"/>
            </w:tcBorders>
            <w:shd w:val="clear" w:color="000000" w:fill="FFFFFF"/>
            <w:vAlign w:val="center"/>
          </w:tcPr>
          <w:p w14:paraId="46CA02C3">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2ECA5156">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成本节约率=[（计划成本-实际成本）/计划成本]×100%。</w:t>
            </w:r>
          </w:p>
          <w:p w14:paraId="54B51ED6">
            <w:pPr>
              <w:widowControl/>
              <w:ind w:firstLine="0" w:firstLineChars="0"/>
              <w:rPr>
                <w:rFonts w:hint="eastAsia" w:ascii="Times New Roman" w:hAnsi="Times New Roman" w:eastAsia="仿宋_GB2312" w:cs="Times New Roman"/>
                <w:color w:val="000000"/>
                <w:kern w:val="0"/>
                <w:sz w:val="22"/>
                <w:lang w:eastAsia="zh-CN"/>
              </w:rPr>
            </w:pPr>
            <w:r>
              <w:rPr>
                <w:rFonts w:ascii="Times New Roman" w:hAnsi="Times New Roman" w:cs="Times New Roman"/>
                <w:color w:val="000000"/>
                <w:kern w:val="0"/>
                <w:sz w:val="22"/>
              </w:rPr>
              <w:t>实际成本：项目实施单位如期、保质、保量完成既定工作目标实际所耗费的支出。</w:t>
            </w:r>
          </w:p>
          <w:p w14:paraId="4CCAF0A0">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计划成本：项目实施单位为完成工作目标计划安排的支出，一般以项目预算为参考。</w:t>
            </w:r>
          </w:p>
        </w:tc>
      </w:tr>
      <w:tr w14:paraId="28B2D4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52" w:hRule="atLeast"/>
          <w:jc w:val="center"/>
        </w:trPr>
        <w:tc>
          <w:tcPr>
            <w:tcW w:w="1155" w:type="dxa"/>
            <w:vMerge w:val="restart"/>
            <w:tcBorders>
              <w:tl2br w:val="nil"/>
              <w:tr2bl w:val="nil"/>
            </w:tcBorders>
            <w:shd w:val="clear" w:color="auto" w:fill="FFFFFF"/>
            <w:vAlign w:val="center"/>
          </w:tcPr>
          <w:p w14:paraId="5C128C85">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效益</w:t>
            </w:r>
          </w:p>
        </w:tc>
        <w:tc>
          <w:tcPr>
            <w:tcW w:w="1199" w:type="dxa"/>
            <w:vMerge w:val="restart"/>
            <w:tcBorders>
              <w:tl2br w:val="nil"/>
              <w:tr2bl w:val="nil"/>
            </w:tcBorders>
            <w:shd w:val="clear" w:color="auto" w:fill="FFFFFF"/>
            <w:vAlign w:val="center"/>
          </w:tcPr>
          <w:p w14:paraId="77CA453A">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社会效益指标</w:t>
            </w:r>
          </w:p>
        </w:tc>
        <w:tc>
          <w:tcPr>
            <w:tcW w:w="1411" w:type="dxa"/>
            <w:tcBorders>
              <w:tl2br w:val="nil"/>
              <w:tr2bl w:val="nil"/>
            </w:tcBorders>
            <w:shd w:val="clear" w:color="auto" w:fill="FFFFFF"/>
            <w:vAlign w:val="center"/>
          </w:tcPr>
          <w:p w14:paraId="3A1630CC">
            <w:pPr>
              <w:widowControl/>
              <w:ind w:firstLine="0" w:firstLineChars="0"/>
              <w:jc w:val="center"/>
              <w:rPr>
                <w:rFonts w:hint="eastAsia" w:ascii="Times New Roman" w:hAnsi="Times New Roman" w:cs="Times New Roman"/>
                <w:color w:val="000000"/>
                <w:kern w:val="0"/>
                <w:sz w:val="22"/>
                <w:highlight w:val="none"/>
                <w:lang w:eastAsia="zh-CN"/>
              </w:rPr>
            </w:pPr>
            <w:r>
              <w:rPr>
                <w:rFonts w:hint="eastAsia" w:ascii="Times New Roman" w:hAnsi="Times New Roman" w:cs="Times New Roman"/>
                <w:color w:val="000000"/>
                <w:kern w:val="0"/>
                <w:sz w:val="22"/>
                <w:highlight w:val="none"/>
                <w:lang w:eastAsia="zh-CN"/>
              </w:rPr>
              <w:t>严肃仪容仪表及执法风纪</w:t>
            </w:r>
          </w:p>
        </w:tc>
        <w:tc>
          <w:tcPr>
            <w:tcW w:w="2789" w:type="dxa"/>
            <w:vMerge w:val="restart"/>
            <w:tcBorders>
              <w:tl2br w:val="nil"/>
              <w:tr2bl w:val="nil"/>
            </w:tcBorders>
            <w:shd w:val="clear" w:color="auto" w:fill="FFFFFF"/>
            <w:vAlign w:val="center"/>
          </w:tcPr>
          <w:p w14:paraId="10DF3F9C">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项目实施所产生的效益。</w:t>
            </w:r>
          </w:p>
        </w:tc>
        <w:tc>
          <w:tcPr>
            <w:tcW w:w="7341" w:type="dxa"/>
            <w:vMerge w:val="restart"/>
            <w:tcBorders>
              <w:tl2br w:val="nil"/>
              <w:tr2bl w:val="nil"/>
            </w:tcBorders>
            <w:shd w:val="clear" w:color="auto" w:fill="FFFFFF"/>
            <w:vAlign w:val="center"/>
          </w:tcPr>
          <w:p w14:paraId="0B4A626F">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项目实施所产生的社会效益、经济效益、生态效益、可持续影响等。可根据项目实际情况有选择地设置和细化。</w:t>
            </w:r>
          </w:p>
        </w:tc>
      </w:tr>
      <w:tr w14:paraId="7BF0490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52" w:hRule="atLeast"/>
          <w:jc w:val="center"/>
        </w:trPr>
        <w:tc>
          <w:tcPr>
            <w:tcW w:w="1155" w:type="dxa"/>
            <w:vMerge w:val="continue"/>
            <w:tcBorders>
              <w:tl2br w:val="nil"/>
              <w:tr2bl w:val="nil"/>
            </w:tcBorders>
            <w:shd w:val="clear" w:color="auto" w:fill="FFFFFF"/>
            <w:vAlign w:val="center"/>
          </w:tcPr>
          <w:p w14:paraId="0825F2FB">
            <w:pPr>
              <w:widowControl/>
              <w:ind w:firstLine="0" w:firstLineChars="0"/>
              <w:jc w:val="center"/>
              <w:rPr>
                <w:highlight w:val="none"/>
              </w:rPr>
            </w:pPr>
          </w:p>
        </w:tc>
        <w:tc>
          <w:tcPr>
            <w:tcW w:w="1199" w:type="dxa"/>
            <w:vMerge w:val="continue"/>
            <w:tcBorders>
              <w:tl2br w:val="nil"/>
              <w:tr2bl w:val="nil"/>
            </w:tcBorders>
            <w:shd w:val="clear" w:color="auto" w:fill="FFFFFF"/>
            <w:vAlign w:val="center"/>
          </w:tcPr>
          <w:p w14:paraId="253592F0">
            <w:pPr>
              <w:widowControl/>
              <w:ind w:firstLine="0" w:firstLineChars="0"/>
              <w:jc w:val="center"/>
              <w:rPr>
                <w:highlight w:val="none"/>
              </w:rPr>
            </w:pPr>
          </w:p>
        </w:tc>
        <w:tc>
          <w:tcPr>
            <w:tcW w:w="1411" w:type="dxa"/>
            <w:tcBorders>
              <w:tl2br w:val="nil"/>
              <w:tr2bl w:val="nil"/>
            </w:tcBorders>
            <w:shd w:val="clear" w:color="auto" w:fill="FFFFFF"/>
            <w:vAlign w:val="center"/>
          </w:tcPr>
          <w:p w14:paraId="6660C1D7">
            <w:pPr>
              <w:widowControl/>
              <w:ind w:firstLine="0" w:firstLineChars="0"/>
              <w:jc w:val="center"/>
              <w:rPr>
                <w:rFonts w:hint="eastAsia" w:ascii="Times New Roman" w:hAnsi="Times New Roman" w:cs="Times New Roman"/>
                <w:color w:val="000000"/>
                <w:kern w:val="0"/>
                <w:sz w:val="22"/>
                <w:highlight w:val="none"/>
                <w:lang w:eastAsia="zh-CN"/>
              </w:rPr>
            </w:pPr>
            <w:r>
              <w:rPr>
                <w:rFonts w:hint="eastAsia" w:ascii="Times New Roman" w:hAnsi="Times New Roman" w:cs="Times New Roman"/>
                <w:color w:val="000000"/>
                <w:kern w:val="0"/>
                <w:sz w:val="22"/>
                <w:highlight w:val="none"/>
                <w:lang w:eastAsia="zh-CN"/>
              </w:rPr>
              <w:t>维护执法人员良好形象</w:t>
            </w:r>
          </w:p>
        </w:tc>
        <w:tc>
          <w:tcPr>
            <w:tcW w:w="2789" w:type="dxa"/>
            <w:vMerge w:val="continue"/>
            <w:tcBorders>
              <w:tl2br w:val="nil"/>
              <w:tr2bl w:val="nil"/>
            </w:tcBorders>
            <w:shd w:val="clear" w:color="auto" w:fill="FFFFFF"/>
            <w:vAlign w:val="center"/>
          </w:tcPr>
          <w:p w14:paraId="48D253E4">
            <w:pPr>
              <w:widowControl/>
              <w:ind w:firstLine="0" w:firstLineChars="0"/>
              <w:jc w:val="center"/>
              <w:rPr>
                <w:rFonts w:ascii="Times New Roman" w:hAnsi="Times New Roman" w:cs="Times New Roman"/>
                <w:color w:val="000000"/>
                <w:kern w:val="0"/>
                <w:sz w:val="22"/>
                <w:highlight w:val="yellow"/>
              </w:rPr>
            </w:pPr>
          </w:p>
        </w:tc>
        <w:tc>
          <w:tcPr>
            <w:tcW w:w="7341" w:type="dxa"/>
            <w:vMerge w:val="continue"/>
            <w:tcBorders>
              <w:tl2br w:val="nil"/>
              <w:tr2bl w:val="nil"/>
            </w:tcBorders>
            <w:shd w:val="clear" w:color="auto" w:fill="FFFFFF"/>
            <w:vAlign w:val="center"/>
          </w:tcPr>
          <w:p w14:paraId="32732F17">
            <w:pPr>
              <w:widowControl/>
              <w:ind w:firstLine="0" w:firstLineChars="0"/>
              <w:jc w:val="center"/>
              <w:rPr>
                <w:rFonts w:ascii="Times New Roman" w:hAnsi="Times New Roman" w:cs="Times New Roman"/>
                <w:color w:val="000000"/>
                <w:kern w:val="0"/>
                <w:sz w:val="22"/>
                <w:highlight w:val="yellow"/>
              </w:rPr>
            </w:pPr>
          </w:p>
        </w:tc>
      </w:tr>
    </w:tbl>
    <w:p w14:paraId="779C49DF">
      <w:pPr>
        <w:ind w:firstLine="0" w:firstLineChars="0"/>
        <w:jc w:val="center"/>
        <w:rPr>
          <w:rFonts w:ascii="Times New Roman" w:hAnsi="Times New Roman" w:cs="Times New Roman"/>
        </w:rPr>
      </w:pPr>
    </w:p>
    <w:p w14:paraId="33372BB8">
      <w:pPr>
        <w:ind w:firstLine="0" w:firstLineChars="0"/>
        <w:jc w:val="center"/>
        <w:rPr>
          <w:rFonts w:ascii="Times New Roman" w:hAnsi="Times New Roman" w:cs="Times New Roman"/>
        </w:rPr>
        <w:sectPr>
          <w:pgSz w:w="16838" w:h="11906" w:orient="landscape"/>
          <w:pgMar w:top="1800" w:right="1440" w:bottom="1800" w:left="1440" w:header="1276" w:footer="992" w:gutter="0"/>
          <w:cols w:space="425" w:num="1"/>
          <w:docGrid w:type="lines" w:linePitch="381" w:charSpace="0"/>
        </w:sectPr>
      </w:pPr>
    </w:p>
    <w:p w14:paraId="52C874D5">
      <w:pPr>
        <w:pStyle w:val="4"/>
        <w:spacing w:before="0" w:after="0" w:line="560" w:lineRule="exact"/>
        <w:ind w:firstLine="643"/>
        <w:rPr>
          <w:rFonts w:ascii="Times New Roman" w:hAnsi="Times New Roman" w:cs="Times New Roman"/>
        </w:rPr>
      </w:pPr>
      <w:bookmarkStart w:id="22" w:name="_Toc17754"/>
      <w:bookmarkStart w:id="23" w:name="_Hlk67586038"/>
      <w:r>
        <w:rPr>
          <w:rFonts w:ascii="Times New Roman" w:hAnsi="Times New Roman" w:cs="Times New Roman"/>
        </w:rPr>
        <w:t>3. 评价方法</w:t>
      </w:r>
      <w:bookmarkEnd w:id="22"/>
      <w:bookmarkEnd w:id="23"/>
    </w:p>
    <w:p w14:paraId="6C1765A4">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《关于印发&lt;项目支出绩效评价管理办法&gt;的通知》（财预</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2020</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10号）文件指出部门评价的方法主要包括成本效益分析法、比较法。</w:t>
      </w:r>
    </w:p>
    <w:p w14:paraId="3FDA3BD7">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（1）成本效益分析法。是指将投入与产出、效益进</w:t>
      </w:r>
    </w:p>
    <w:p w14:paraId="4EB0FC03">
      <w:pPr>
        <w:spacing w:line="560" w:lineRule="exact"/>
        <w:ind w:left="0" w:leftChars="0" w:firstLine="0" w:firstLineChars="0"/>
        <w:rPr>
          <w:rFonts w:hint="eastAsia" w:ascii="Times New Roman" w:hAnsi="Times New Roman" w:cs="Times New Roman"/>
          <w:spacing w:val="8"/>
          <w:sz w:val="32"/>
          <w:szCs w:val="32"/>
        </w:rPr>
      </w:pPr>
      <w:r>
        <w:rPr>
          <w:rFonts w:hint="eastAsia" w:ascii="Times New Roman" w:hAnsi="Times New Roman" w:cs="Times New Roman"/>
          <w:spacing w:val="8"/>
          <w:sz w:val="32"/>
          <w:szCs w:val="32"/>
        </w:rPr>
        <w:t>行关联性分析的方法。</w:t>
      </w:r>
    </w:p>
    <w:p w14:paraId="36A79E34">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（2）比较法。是指将实施情况与绩效目标、历史情</w:t>
      </w:r>
    </w:p>
    <w:p w14:paraId="7DBD7475">
      <w:pPr>
        <w:spacing w:line="560" w:lineRule="exact"/>
        <w:ind w:left="0" w:leftChars="0" w:firstLine="0" w:firstLineChars="0"/>
        <w:rPr>
          <w:rFonts w:hint="eastAsia" w:ascii="Times New Roman" w:hAnsi="Times New Roman" w:cs="Times New Roman"/>
          <w:spacing w:val="8"/>
          <w:sz w:val="32"/>
          <w:szCs w:val="32"/>
        </w:rPr>
      </w:pPr>
      <w:r>
        <w:rPr>
          <w:rFonts w:hint="eastAsia" w:ascii="Times New Roman" w:hAnsi="Times New Roman" w:cs="Times New Roman"/>
          <w:spacing w:val="8"/>
          <w:sz w:val="32"/>
          <w:szCs w:val="32"/>
        </w:rPr>
        <w:t>况、不同部门和地区同类支出情况进行比较的方法。</w:t>
      </w:r>
    </w:p>
    <w:p w14:paraId="04E6E308">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（3）因素分析法。是指综合分析影响绩效目标实现、</w:t>
      </w:r>
    </w:p>
    <w:p w14:paraId="10848445">
      <w:pPr>
        <w:spacing w:line="560" w:lineRule="exact"/>
        <w:ind w:left="0" w:leftChars="0" w:firstLine="0" w:firstLineChars="0"/>
        <w:rPr>
          <w:rFonts w:hint="eastAsia" w:ascii="Times New Roman" w:hAnsi="Times New Roman" w:cs="Times New Roman"/>
          <w:spacing w:val="8"/>
          <w:sz w:val="32"/>
          <w:szCs w:val="32"/>
        </w:rPr>
      </w:pPr>
      <w:r>
        <w:rPr>
          <w:rFonts w:hint="eastAsia" w:ascii="Times New Roman" w:hAnsi="Times New Roman" w:cs="Times New Roman"/>
          <w:spacing w:val="8"/>
          <w:sz w:val="32"/>
          <w:szCs w:val="32"/>
        </w:rPr>
        <w:t>实施效果的内外部因素的方法。</w:t>
      </w:r>
    </w:p>
    <w:p w14:paraId="0E2F7DEB">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（4）最低成本法。是指在绩效目标确定的前提下，</w:t>
      </w:r>
    </w:p>
    <w:p w14:paraId="17F2F8C0">
      <w:pPr>
        <w:spacing w:line="560" w:lineRule="exact"/>
        <w:ind w:left="0" w:leftChars="0" w:firstLine="0" w:firstLineChars="0"/>
        <w:rPr>
          <w:rFonts w:hint="eastAsia" w:ascii="Times New Roman" w:hAnsi="Times New Roman" w:cs="Times New Roman"/>
          <w:spacing w:val="8"/>
          <w:sz w:val="32"/>
          <w:szCs w:val="32"/>
        </w:rPr>
      </w:pPr>
      <w:r>
        <w:rPr>
          <w:rFonts w:hint="eastAsia" w:ascii="Times New Roman" w:hAnsi="Times New Roman" w:cs="Times New Roman"/>
          <w:spacing w:val="8"/>
          <w:sz w:val="32"/>
          <w:szCs w:val="32"/>
        </w:rPr>
        <w:t>成本最小者为优的方法。</w:t>
      </w:r>
    </w:p>
    <w:p w14:paraId="776BF0EB">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（5）公众评判法。是指通过专家评估、公众问卷及</w:t>
      </w:r>
    </w:p>
    <w:p w14:paraId="1B8193E3">
      <w:pPr>
        <w:spacing w:line="560" w:lineRule="exact"/>
        <w:ind w:left="0" w:leftChars="0" w:firstLine="0" w:firstLineChars="0"/>
        <w:rPr>
          <w:rFonts w:hint="eastAsia" w:ascii="Times New Roman" w:hAnsi="Times New Roman" w:cs="Times New Roman"/>
          <w:spacing w:val="8"/>
          <w:sz w:val="32"/>
          <w:szCs w:val="32"/>
        </w:rPr>
      </w:pPr>
      <w:r>
        <w:rPr>
          <w:rFonts w:hint="eastAsia" w:ascii="Times New Roman" w:hAnsi="Times New Roman" w:cs="Times New Roman"/>
          <w:spacing w:val="8"/>
          <w:sz w:val="32"/>
          <w:szCs w:val="32"/>
        </w:rPr>
        <w:t>抽样调查等方式进行评判的方法。</w:t>
      </w:r>
    </w:p>
    <w:p w14:paraId="66D610F8">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（6）标杆管理法。是指以国内外同行业中较高的绩</w:t>
      </w:r>
    </w:p>
    <w:p w14:paraId="0695BD5B">
      <w:pPr>
        <w:spacing w:line="560" w:lineRule="exact"/>
        <w:ind w:left="0" w:leftChars="0" w:firstLine="0" w:firstLineChars="0"/>
        <w:rPr>
          <w:rFonts w:hint="eastAsia" w:ascii="Times New Roman" w:hAnsi="Times New Roman" w:cs="Times New Roman"/>
          <w:spacing w:val="8"/>
          <w:sz w:val="32"/>
          <w:szCs w:val="32"/>
        </w:rPr>
      </w:pPr>
      <w:r>
        <w:rPr>
          <w:rFonts w:hint="eastAsia" w:ascii="Times New Roman" w:hAnsi="Times New Roman" w:cs="Times New Roman"/>
          <w:spacing w:val="8"/>
          <w:sz w:val="32"/>
          <w:szCs w:val="32"/>
        </w:rPr>
        <w:t>效水平为标杆进行评判的方法。</w:t>
      </w:r>
    </w:p>
    <w:p w14:paraId="1BBFFC8A">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w:t>
      </w:r>
      <w:r>
        <w:rPr>
          <w:rFonts w:hint="eastAsia" w:ascii="Times New Roman" w:hAnsi="Times New Roman" w:cs="Times New Roman"/>
          <w:spacing w:val="8"/>
          <w:sz w:val="32"/>
          <w:szCs w:val="32"/>
          <w:lang w:val="en-US" w:eastAsia="zh-CN"/>
        </w:rPr>
        <w:t>7</w:t>
      </w:r>
      <w:r>
        <w:rPr>
          <w:rFonts w:hint="eastAsia" w:ascii="Times New Roman" w:hAnsi="Times New Roman" w:cs="Times New Roman"/>
          <w:spacing w:val="8"/>
          <w:sz w:val="32"/>
          <w:szCs w:val="32"/>
        </w:rPr>
        <w:t>）其他评价方法。</w:t>
      </w:r>
    </w:p>
    <w:p w14:paraId="33A98D46">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根据本项目（消化202</w:t>
      </w:r>
      <w:r>
        <w:rPr>
          <w:rFonts w:hint="eastAsia" w:ascii="Times New Roman" w:hAnsi="Times New Roman" w:cs="Times New Roman"/>
          <w:spacing w:val="8"/>
          <w:sz w:val="32"/>
          <w:szCs w:val="32"/>
          <w:lang w:val="en-US" w:eastAsia="zh-CN"/>
        </w:rPr>
        <w:t>3</w:t>
      </w:r>
      <w:r>
        <w:rPr>
          <w:rFonts w:hint="eastAsia" w:ascii="Times New Roman" w:hAnsi="Times New Roman" w:cs="Times New Roman"/>
          <w:spacing w:val="8"/>
          <w:sz w:val="32"/>
          <w:szCs w:val="32"/>
        </w:rPr>
        <w:t>年暂付款项）的特点，本次评价主要采用成本效益分析法</w:t>
      </w:r>
      <w:r>
        <w:rPr>
          <w:rFonts w:hint="eastAsia" w:ascii="Times New Roman" w:hAnsi="Times New Roman" w:cs="Times New Roman"/>
          <w:spacing w:val="8"/>
          <w:sz w:val="32"/>
          <w:szCs w:val="32"/>
          <w:lang w:eastAsia="zh-CN"/>
        </w:rPr>
        <w:t>和</w:t>
      </w:r>
      <w:r>
        <w:rPr>
          <w:rFonts w:hint="eastAsia" w:ascii="Times New Roman" w:hAnsi="Times New Roman" w:cs="Times New Roman"/>
          <w:spacing w:val="8"/>
          <w:sz w:val="32"/>
          <w:szCs w:val="32"/>
        </w:rPr>
        <w:t>比较法，对项目总预算和明细预算的内容、标准、计划是否经济合理进行深入分析，以考察实际产出和效益是否达到预期。</w:t>
      </w:r>
    </w:p>
    <w:p w14:paraId="0BE1660E">
      <w:pPr>
        <w:pStyle w:val="4"/>
        <w:spacing w:before="0" w:after="0" w:line="560" w:lineRule="exact"/>
        <w:ind w:firstLine="643"/>
        <w:rPr>
          <w:rFonts w:ascii="Times New Roman" w:hAnsi="Times New Roman" w:cs="Times New Roman"/>
        </w:rPr>
      </w:pPr>
      <w:bookmarkStart w:id="24" w:name="_Toc10851"/>
      <w:r>
        <w:rPr>
          <w:rFonts w:ascii="Times New Roman" w:hAnsi="Times New Roman" w:cs="Times New Roman"/>
        </w:rPr>
        <w:t>4. 评价标准</w:t>
      </w:r>
      <w:bookmarkEnd w:id="24"/>
    </w:p>
    <w:p w14:paraId="3490B026">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绩效评价标准主要包括计划标准、行业标准、历史标准等，用于对绩效指标完成情况进行比较。</w:t>
      </w:r>
    </w:p>
    <w:p w14:paraId="12002B13">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（1）计划标准。指以预先制定的目标、计划、预算、定额等作为评价标准。</w:t>
      </w:r>
    </w:p>
    <w:p w14:paraId="0CFC8766">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（2）行业标准。指参照国家公布的行业指标数据制定的评价标准。</w:t>
      </w:r>
    </w:p>
    <w:p w14:paraId="701348DE">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（3）历史标准。指参照历史数据制定的评价标准，为体现绩效改进的原则，在可实现的条件下应当确定相对较高的评价标准。</w:t>
      </w:r>
    </w:p>
    <w:p w14:paraId="08CE9429">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在上述评价标准的基础上，本次评价依据以下文件为重要指导和准绳：</w:t>
      </w:r>
    </w:p>
    <w:p w14:paraId="7C05B8AE">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·《中共中央国务院关于全面实施预算绩效管理的意见》（中发</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2018</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34号）</w:t>
      </w:r>
    </w:p>
    <w:p w14:paraId="58A82628">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·《关于印发&lt;乌鲁木齐市本级部门预算绩效目标管理暂行办法&gt;的通知》（乌财预</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2018</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56号）</w:t>
      </w:r>
    </w:p>
    <w:p w14:paraId="0E2FBD53">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·《关于做好2019年部门预算项目支出绩效目标管理有关事宜的通知》（乌财预</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2018</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76号）</w:t>
      </w:r>
    </w:p>
    <w:p w14:paraId="52EABD03">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·《项目支出绩效评价管理办法》（财预</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2020</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10号）</w:t>
      </w:r>
    </w:p>
    <w:p w14:paraId="601D3ADE">
      <w:pPr>
        <w:spacing w:line="560" w:lineRule="exact"/>
        <w:ind w:firstLine="672"/>
        <w:rPr>
          <w:rFonts w:hint="eastAsia" w:ascii="Times New Roman" w:hAnsi="Times New Roman" w:cs="Times New Roman"/>
          <w:spacing w:val="8"/>
          <w:sz w:val="32"/>
          <w:szCs w:val="32"/>
          <w:lang w:eastAsia="zh-CN"/>
        </w:rPr>
      </w:pPr>
      <w:r>
        <w:rPr>
          <w:rFonts w:hint="eastAsia" w:ascii="Times New Roman" w:hAnsi="Times New Roman" w:cs="Times New Roman"/>
          <w:spacing w:val="8"/>
          <w:sz w:val="32"/>
          <w:szCs w:val="32"/>
        </w:rPr>
        <w:t>·</w:t>
      </w:r>
      <w:r>
        <w:rPr>
          <w:rFonts w:hint="eastAsia" w:ascii="Times New Roman" w:hAnsi="Times New Roman" w:cs="Times New Roman"/>
          <w:spacing w:val="8"/>
          <w:sz w:val="32"/>
          <w:szCs w:val="32"/>
          <w:lang w:eastAsia="zh-CN"/>
        </w:rPr>
        <w:t>《</w:t>
      </w:r>
      <w:r>
        <w:rPr>
          <w:rFonts w:hint="eastAsia" w:ascii="Times New Roman" w:hAnsi="Times New Roman" w:cs="Times New Roman"/>
          <w:spacing w:val="8"/>
          <w:sz w:val="32"/>
          <w:szCs w:val="32"/>
        </w:rPr>
        <w:t>乌鲁木齐市水磨沟区市场监督管理局项目支出绩效评价管理办法</w:t>
      </w:r>
      <w:r>
        <w:rPr>
          <w:rFonts w:hint="eastAsia" w:ascii="Times New Roman" w:hAnsi="Times New Roman" w:cs="Times New Roman"/>
          <w:spacing w:val="8"/>
          <w:sz w:val="32"/>
          <w:szCs w:val="32"/>
          <w:lang w:eastAsia="zh-CN"/>
        </w:rPr>
        <w:t>》</w:t>
      </w:r>
    </w:p>
    <w:p w14:paraId="1FDBF734">
      <w:pPr>
        <w:spacing w:line="560" w:lineRule="exact"/>
        <w:ind w:firstLine="672"/>
        <w:rPr>
          <w:rFonts w:hint="eastAsia" w:ascii="Times New Roman" w:hAnsi="Times New Roman" w:cs="Times New Roman"/>
          <w:spacing w:val="8"/>
          <w:sz w:val="32"/>
          <w:szCs w:val="32"/>
          <w:lang w:val="en-US" w:eastAsia="zh-CN"/>
        </w:rPr>
      </w:pPr>
      <w:bookmarkStart w:id="25" w:name="_Toc28061"/>
      <w:bookmarkStart w:id="26" w:name="_Toc67911607"/>
      <w:r>
        <w:rPr>
          <w:rFonts w:hint="eastAsia" w:ascii="Times New Roman" w:hAnsi="Times New Roman" w:cs="Times New Roman"/>
          <w:spacing w:val="8"/>
          <w:sz w:val="32"/>
          <w:szCs w:val="32"/>
          <w:lang w:val="en-US" w:eastAsia="zh-CN"/>
        </w:rPr>
        <w:t>·</w:t>
      </w:r>
      <w:r>
        <w:rPr>
          <w:rFonts w:hint="default" w:ascii="Times New Roman" w:hAnsi="Times New Roman" w:cs="Times New Roman"/>
          <w:spacing w:val="8"/>
          <w:sz w:val="32"/>
          <w:szCs w:val="32"/>
          <w:lang w:val="en-US" w:eastAsia="zh-CN"/>
        </w:rPr>
        <w:t>《新疆维吾尔自治区综合行政执法制式服装和标志管理实施办法》</w:t>
      </w:r>
      <w:r>
        <w:rPr>
          <w:rFonts w:hint="eastAsia" w:ascii="Times New Roman" w:hAnsi="Times New Roman" w:cs="Times New Roman"/>
          <w:spacing w:val="8"/>
          <w:sz w:val="32"/>
          <w:szCs w:val="32"/>
          <w:lang w:val="en-US" w:eastAsia="zh-CN"/>
        </w:rPr>
        <w:t>（新财规[2021]1号）</w:t>
      </w:r>
    </w:p>
    <w:p w14:paraId="77DBD59F">
      <w:pPr>
        <w:spacing w:line="560" w:lineRule="exact"/>
        <w:ind w:firstLine="672"/>
        <w:rPr>
          <w:rFonts w:hint="eastAsia" w:ascii="Times New Roman" w:hAnsi="Times New Roman" w:cs="Times New Roman"/>
          <w:spacing w:val="8"/>
          <w:sz w:val="32"/>
          <w:szCs w:val="32"/>
          <w:lang w:val="en-US" w:eastAsia="zh-CN"/>
        </w:rPr>
      </w:pPr>
      <w:r>
        <w:rPr>
          <w:rFonts w:hint="eastAsia" w:ascii="Times New Roman" w:hAnsi="Times New Roman" w:cs="Times New Roman"/>
          <w:spacing w:val="8"/>
          <w:sz w:val="32"/>
          <w:szCs w:val="32"/>
          <w:lang w:val="en-US" w:eastAsia="zh-CN"/>
        </w:rPr>
        <w:t>·《关于做好首次配发综合行政执法制式服装和标识有关工作的通知》（</w:t>
      </w:r>
      <w:r>
        <w:rPr>
          <w:rFonts w:hint="default" w:ascii="Times New Roman" w:hAnsi="Times New Roman" w:cs="Times New Roman"/>
          <w:spacing w:val="8"/>
          <w:sz w:val="32"/>
          <w:szCs w:val="32"/>
          <w:lang w:val="en-US" w:eastAsia="zh-CN"/>
        </w:rPr>
        <w:t>新市监办财</w:t>
      </w:r>
      <w:r>
        <w:rPr>
          <w:rFonts w:hint="eastAsia" w:ascii="Times New Roman" w:hAnsi="Times New Roman" w:cs="Times New Roman"/>
          <w:spacing w:val="8"/>
          <w:sz w:val="32"/>
          <w:szCs w:val="32"/>
          <w:lang w:val="en-US" w:eastAsia="zh-CN"/>
        </w:rPr>
        <w:t>[</w:t>
      </w:r>
      <w:r>
        <w:rPr>
          <w:rFonts w:hint="default" w:ascii="Times New Roman" w:hAnsi="Times New Roman" w:cs="Times New Roman"/>
          <w:spacing w:val="8"/>
          <w:sz w:val="32"/>
          <w:szCs w:val="32"/>
          <w:lang w:val="en-US" w:eastAsia="zh-CN"/>
        </w:rPr>
        <w:t>2021</w:t>
      </w:r>
      <w:r>
        <w:rPr>
          <w:rFonts w:hint="eastAsia" w:ascii="Times New Roman" w:hAnsi="Times New Roman" w:cs="Times New Roman"/>
          <w:spacing w:val="8"/>
          <w:sz w:val="32"/>
          <w:szCs w:val="32"/>
          <w:lang w:val="en-US" w:eastAsia="zh-CN"/>
        </w:rPr>
        <w:t>]</w:t>
      </w:r>
      <w:r>
        <w:rPr>
          <w:rFonts w:hint="default" w:ascii="Times New Roman" w:hAnsi="Times New Roman" w:cs="Times New Roman"/>
          <w:spacing w:val="8"/>
          <w:sz w:val="32"/>
          <w:szCs w:val="32"/>
          <w:lang w:val="en-US" w:eastAsia="zh-CN"/>
        </w:rPr>
        <w:t>4号</w:t>
      </w:r>
      <w:r>
        <w:rPr>
          <w:rFonts w:hint="eastAsia" w:ascii="Times New Roman" w:hAnsi="Times New Roman" w:cs="Times New Roman"/>
          <w:spacing w:val="8"/>
          <w:sz w:val="32"/>
          <w:szCs w:val="32"/>
          <w:lang w:val="en-US" w:eastAsia="zh-CN"/>
        </w:rPr>
        <w:t>）</w:t>
      </w:r>
    </w:p>
    <w:p w14:paraId="4FAAD82C">
      <w:pPr>
        <w:pStyle w:val="3"/>
        <w:spacing w:before="0" w:after="0" w:line="560" w:lineRule="exact"/>
        <w:ind w:firstLine="643"/>
        <w:rPr>
          <w:rFonts w:ascii="Times New Roman" w:hAnsi="Times New Roman" w:eastAsia="楷体" w:cs="Times New Roman"/>
          <w:bCs w:val="0"/>
        </w:rPr>
      </w:pPr>
      <w:r>
        <w:rPr>
          <w:rFonts w:ascii="Times New Roman" w:hAnsi="Times New Roman" w:eastAsia="楷体" w:cs="Times New Roman"/>
          <w:bCs w:val="0"/>
        </w:rPr>
        <w:t>（三）绩效评价工作过程</w:t>
      </w:r>
      <w:bookmarkEnd w:id="25"/>
      <w:bookmarkEnd w:id="26"/>
    </w:p>
    <w:p w14:paraId="49C4D07A">
      <w:pPr>
        <w:spacing w:line="560" w:lineRule="exact"/>
        <w:ind w:firstLine="643" w:firstLineChars="200"/>
        <w:rPr>
          <w:rFonts w:hint="default" w:ascii="Times New Roman" w:hAnsi="Times New Roman" w:eastAsia="方正仿宋_GBK" w:cs="Times New Roman"/>
          <w:bCs/>
          <w:sz w:val="32"/>
          <w:szCs w:val="32"/>
        </w:rPr>
      </w:pPr>
      <w:bookmarkStart w:id="27" w:name="_Toc67911608"/>
      <w:bookmarkStart w:id="28" w:name="_Toc735"/>
      <w:r>
        <w:rPr>
          <w:rFonts w:hint="default" w:ascii="Times New Roman" w:hAnsi="Times New Roman" w:eastAsia="方正仿宋_GBK" w:cs="Times New Roman"/>
          <w:b/>
          <w:bCs/>
          <w:sz w:val="32"/>
          <w:szCs w:val="32"/>
        </w:rPr>
        <w:t>1.前期准备。</w:t>
      </w:r>
      <w:r>
        <w:rPr>
          <w:rFonts w:hint="default" w:ascii="Times New Roman" w:hAnsi="Times New Roman" w:eastAsia="方正仿宋_GBK" w:cs="Times New Roman"/>
          <w:bCs/>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039C32C2">
      <w:pPr>
        <w:spacing w:line="560" w:lineRule="exact"/>
        <w:ind w:firstLine="643" w:firstLineChars="200"/>
        <w:rPr>
          <w:rFonts w:hint="default" w:ascii="Times New Roman" w:hAnsi="Times New Roman" w:eastAsia="方正仿宋_GBK" w:cs="Times New Roman"/>
          <w:bCs/>
          <w:sz w:val="32"/>
          <w:szCs w:val="32"/>
        </w:rPr>
      </w:pPr>
      <w:r>
        <w:rPr>
          <w:rFonts w:hint="default" w:ascii="Times New Roman" w:hAnsi="Times New Roman" w:eastAsia="方正仿宋_GBK" w:cs="Times New Roman"/>
          <w:b/>
          <w:bCs/>
          <w:sz w:val="32"/>
          <w:szCs w:val="32"/>
        </w:rPr>
        <w:t>2.组织实施。</w:t>
      </w:r>
      <w:r>
        <w:rPr>
          <w:rFonts w:hint="default" w:ascii="Times New Roman" w:hAnsi="Times New Roman" w:eastAsia="方正仿宋_GBK" w:cs="Times New Roman"/>
          <w:bCs/>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3AB973FE">
      <w:pPr>
        <w:spacing w:line="560" w:lineRule="exact"/>
        <w:ind w:firstLine="643" w:firstLineChars="200"/>
        <w:rPr>
          <w:rFonts w:hint="eastAsia" w:ascii="方正仿宋_GBK" w:hAnsi="方正仿宋_GBK" w:eastAsia="方正仿宋_GBK" w:cs="方正仿宋_GBK"/>
          <w:sz w:val="32"/>
          <w:szCs w:val="32"/>
        </w:rPr>
      </w:pPr>
      <w:r>
        <w:rPr>
          <w:rFonts w:hint="eastAsia" w:ascii="仿宋_GB2312" w:hAnsi="仿宋_GB2312" w:eastAsia="仿宋_GB2312" w:cs="仿宋_GB2312"/>
          <w:b/>
          <w:bCs/>
          <w:sz w:val="32"/>
          <w:szCs w:val="32"/>
        </w:rPr>
        <w:t>3.分析评价。</w:t>
      </w:r>
      <w:r>
        <w:rPr>
          <w:rFonts w:hint="eastAsia" w:ascii="方正仿宋_GBK" w:hAnsi="方正仿宋_GBK" w:eastAsia="方正仿宋_GBK" w:cs="方正仿宋_GBK"/>
          <w:bCs/>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7594780C">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rPr>
      </w:pPr>
      <w:r>
        <w:rPr>
          <w:rFonts w:ascii="Times New Roman" w:hAnsi="Times New Roman" w:eastAsia="黑体" w:cs="Times New Roman"/>
          <w:b w:val="0"/>
          <w:bCs w:val="0"/>
          <w:color w:val="000000"/>
          <w:spacing w:val="8"/>
          <w:kern w:val="0"/>
          <w:sz w:val="32"/>
          <w:szCs w:val="32"/>
        </w:rPr>
        <w:t>三、综合评价情况及评价结论</w:t>
      </w:r>
      <w:bookmarkEnd w:id="27"/>
      <w:bookmarkEnd w:id="28"/>
    </w:p>
    <w:p w14:paraId="1FA9927B">
      <w:pPr>
        <w:pStyle w:val="3"/>
        <w:spacing w:before="0" w:after="0" w:line="560" w:lineRule="exact"/>
        <w:ind w:firstLine="643"/>
        <w:rPr>
          <w:rFonts w:ascii="Times New Roman" w:hAnsi="Times New Roman" w:eastAsia="楷体" w:cs="Times New Roman"/>
          <w:color w:val="000000"/>
          <w:kern w:val="0"/>
        </w:rPr>
      </w:pPr>
      <w:bookmarkStart w:id="29" w:name="_Toc17524"/>
      <w:bookmarkStart w:id="30" w:name="_Toc67911609"/>
      <w:r>
        <w:rPr>
          <w:rFonts w:ascii="Times New Roman" w:hAnsi="Times New Roman" w:eastAsia="楷体" w:cs="Times New Roman"/>
          <w:color w:val="000000"/>
          <w:kern w:val="0"/>
        </w:rPr>
        <w:t>（一）评价结论</w:t>
      </w:r>
      <w:bookmarkEnd w:id="29"/>
      <w:bookmarkEnd w:id="30"/>
    </w:p>
    <w:p w14:paraId="4AC32A49">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结合项目特点，制定符合项目实际的绩效评价指标体系及评分标准，通过数据采集、问卷调查及访谈等形式，对202</w:t>
      </w:r>
      <w:r>
        <w:rPr>
          <w:rFonts w:hint="eastAsia" w:ascii="Times New Roman" w:hAnsi="Times New Roman" w:cs="Times New Roman"/>
          <w:spacing w:val="8"/>
          <w:sz w:val="32"/>
          <w:szCs w:val="32"/>
          <w:lang w:val="en-US" w:eastAsia="zh-CN"/>
        </w:rPr>
        <w:t>4</w:t>
      </w:r>
      <w:r>
        <w:rPr>
          <w:rFonts w:ascii="Times New Roman" w:hAnsi="Times New Roman" w:cs="Times New Roman"/>
          <w:spacing w:val="8"/>
          <w:sz w:val="32"/>
          <w:szCs w:val="32"/>
        </w:rPr>
        <w:t>年</w:t>
      </w:r>
      <w:r>
        <w:rPr>
          <w:rFonts w:hint="eastAsia" w:ascii="Times New Roman" w:hAnsi="Times New Roman" w:cs="Times New Roman"/>
          <w:spacing w:val="8"/>
          <w:sz w:val="32"/>
          <w:szCs w:val="32"/>
        </w:rPr>
        <w:t>消化202</w:t>
      </w:r>
      <w:r>
        <w:rPr>
          <w:rFonts w:hint="eastAsia" w:ascii="Times New Roman" w:hAnsi="Times New Roman" w:cs="Times New Roman"/>
          <w:spacing w:val="8"/>
          <w:sz w:val="32"/>
          <w:szCs w:val="32"/>
          <w:lang w:val="en-US" w:eastAsia="zh-CN"/>
        </w:rPr>
        <w:t>3</w:t>
      </w:r>
      <w:r>
        <w:rPr>
          <w:rFonts w:hint="eastAsia" w:ascii="Times New Roman" w:hAnsi="Times New Roman" w:cs="Times New Roman"/>
          <w:spacing w:val="8"/>
          <w:sz w:val="32"/>
          <w:szCs w:val="32"/>
        </w:rPr>
        <w:t>年暂付款项</w:t>
      </w:r>
      <w:r>
        <w:rPr>
          <w:rFonts w:ascii="Times New Roman" w:hAnsi="Times New Roman" w:cs="Times New Roman"/>
          <w:spacing w:val="8"/>
          <w:sz w:val="32"/>
          <w:szCs w:val="32"/>
        </w:rPr>
        <w:t>进行客观评价，最终评分结果为：总分为</w:t>
      </w:r>
      <w:r>
        <w:rPr>
          <w:rFonts w:hint="eastAsia" w:ascii="Times New Roman" w:hAnsi="Times New Roman" w:cs="Times New Roman"/>
          <w:spacing w:val="8"/>
          <w:sz w:val="32"/>
          <w:szCs w:val="32"/>
          <w:lang w:val="en-US" w:eastAsia="zh-CN"/>
        </w:rPr>
        <w:t>100</w:t>
      </w:r>
      <w:r>
        <w:rPr>
          <w:rFonts w:ascii="Times New Roman" w:hAnsi="Times New Roman" w:cs="Times New Roman"/>
          <w:spacing w:val="8"/>
          <w:sz w:val="32"/>
          <w:szCs w:val="32"/>
        </w:rPr>
        <w:t>分，绩效评级为“</w:t>
      </w:r>
      <w:r>
        <w:rPr>
          <w:rFonts w:hint="eastAsia" w:ascii="Times New Roman" w:hAnsi="Times New Roman" w:cs="Times New Roman"/>
          <w:spacing w:val="8"/>
          <w:sz w:val="32"/>
          <w:szCs w:val="32"/>
          <w:lang w:eastAsia="zh-CN"/>
        </w:rPr>
        <w:t>优</w:t>
      </w:r>
      <w:r>
        <w:rPr>
          <w:rFonts w:ascii="Times New Roman" w:hAnsi="Times New Roman" w:cs="Times New Roman"/>
          <w:spacing w:val="8"/>
          <w:sz w:val="32"/>
          <w:szCs w:val="32"/>
        </w:rPr>
        <w:t>”</w:t>
      </w:r>
      <w:r>
        <w:rPr>
          <w:rStyle w:val="21"/>
          <w:rFonts w:ascii="Times New Roman" w:hAnsi="Times New Roman" w:cs="Times New Roman"/>
          <w:spacing w:val="8"/>
          <w:sz w:val="32"/>
          <w:szCs w:val="32"/>
        </w:rPr>
        <w:footnoteReference w:id="0"/>
      </w:r>
      <w:r>
        <w:rPr>
          <w:rFonts w:ascii="Times New Roman" w:hAnsi="Times New Roman" w:cs="Times New Roman"/>
          <w:spacing w:val="8"/>
          <w:sz w:val="32"/>
          <w:szCs w:val="32"/>
        </w:rPr>
        <w:t>。</w:t>
      </w:r>
    </w:p>
    <w:p w14:paraId="1DDDC029">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项目各部分权重和绩效分值如表3-1所示：</w:t>
      </w:r>
    </w:p>
    <w:p w14:paraId="47C86090">
      <w:pPr>
        <w:adjustRightInd w:val="0"/>
        <w:spacing w:line="560" w:lineRule="exact"/>
        <w:ind w:firstLine="0" w:firstLineChars="0"/>
        <w:jc w:val="center"/>
        <w:rPr>
          <w:rFonts w:ascii="Times New Roman" w:hAnsi="Times New Roman" w:cs="Times New Roman"/>
          <w:b/>
          <w:bCs/>
          <w:sz w:val="24"/>
          <w:szCs w:val="24"/>
        </w:rPr>
      </w:pPr>
    </w:p>
    <w:p w14:paraId="348FDC9A">
      <w:pPr>
        <w:adjustRightInd w:val="0"/>
        <w:spacing w:line="560" w:lineRule="exact"/>
        <w:ind w:firstLine="0" w:firstLineChars="0"/>
        <w:jc w:val="center"/>
        <w:rPr>
          <w:rFonts w:ascii="Times New Roman" w:hAnsi="Times New Roman" w:cs="Times New Roman"/>
          <w:b/>
          <w:bCs/>
          <w:sz w:val="24"/>
          <w:szCs w:val="24"/>
        </w:rPr>
      </w:pPr>
    </w:p>
    <w:p w14:paraId="3561F264">
      <w:pPr>
        <w:adjustRightInd w:val="0"/>
        <w:spacing w:line="560" w:lineRule="exact"/>
        <w:ind w:firstLine="0" w:firstLineChars="0"/>
        <w:jc w:val="center"/>
        <w:rPr>
          <w:rFonts w:ascii="Times New Roman" w:hAnsi="Times New Roman" w:cs="Times New Roman"/>
          <w:b/>
          <w:bCs/>
          <w:sz w:val="24"/>
          <w:szCs w:val="24"/>
        </w:rPr>
      </w:pPr>
    </w:p>
    <w:p w14:paraId="7B401F2D">
      <w:pPr>
        <w:adjustRightInd w:val="0"/>
        <w:spacing w:line="560" w:lineRule="exact"/>
        <w:ind w:firstLine="0" w:firstLineChars="0"/>
        <w:jc w:val="center"/>
        <w:rPr>
          <w:rFonts w:ascii="Times New Roman" w:hAnsi="Times New Roman" w:cs="Times New Roman"/>
          <w:b/>
          <w:bCs/>
          <w:sz w:val="24"/>
          <w:szCs w:val="24"/>
        </w:rPr>
      </w:pPr>
    </w:p>
    <w:p w14:paraId="7E852076">
      <w:pPr>
        <w:adjustRightInd w:val="0"/>
        <w:spacing w:line="560" w:lineRule="exact"/>
        <w:ind w:firstLine="0" w:firstLineChars="0"/>
        <w:jc w:val="center"/>
        <w:rPr>
          <w:rFonts w:ascii="Times New Roman" w:hAnsi="Times New Roman" w:cs="Times New Roman"/>
          <w:b/>
          <w:bCs/>
          <w:sz w:val="24"/>
          <w:szCs w:val="24"/>
        </w:rPr>
      </w:pPr>
    </w:p>
    <w:p w14:paraId="06A43820">
      <w:pPr>
        <w:adjustRightInd w:val="0"/>
        <w:spacing w:line="560" w:lineRule="exact"/>
        <w:ind w:firstLine="0" w:firstLineChars="0"/>
        <w:jc w:val="center"/>
        <w:rPr>
          <w:rFonts w:ascii="Times New Roman" w:hAnsi="Times New Roman" w:cs="Times New Roman"/>
          <w:b/>
          <w:bCs/>
          <w:sz w:val="24"/>
          <w:szCs w:val="24"/>
        </w:rPr>
      </w:pPr>
      <w:r>
        <w:rPr>
          <w:rFonts w:ascii="Times New Roman" w:hAnsi="Times New Roman" w:cs="Times New Roman"/>
          <w:b/>
          <w:bCs/>
          <w:sz w:val="24"/>
          <w:szCs w:val="24"/>
        </w:rPr>
        <w:t>表3-1 项目各部分权重和绩效分值</w:t>
      </w:r>
    </w:p>
    <w:tbl>
      <w:tblPr>
        <w:tblStyle w:val="16"/>
        <w:tblW w:w="852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8"/>
        <w:gridCol w:w="1865"/>
        <w:gridCol w:w="2533"/>
        <w:gridCol w:w="844"/>
        <w:gridCol w:w="845"/>
        <w:gridCol w:w="977"/>
      </w:tblGrid>
      <w:tr w14:paraId="18D8B60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tblHeader/>
          <w:jc w:val="center"/>
        </w:trPr>
        <w:tc>
          <w:tcPr>
            <w:tcW w:w="1458" w:type="dxa"/>
            <w:tcBorders>
              <w:tl2br w:val="nil"/>
              <w:tr2bl w:val="nil"/>
            </w:tcBorders>
            <w:shd w:val="clear" w:color="auto" w:fill="D0CECE"/>
            <w:vAlign w:val="center"/>
          </w:tcPr>
          <w:p w14:paraId="197DDA31">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一级指标</w:t>
            </w:r>
          </w:p>
        </w:tc>
        <w:tc>
          <w:tcPr>
            <w:tcW w:w="1865" w:type="dxa"/>
            <w:tcBorders>
              <w:tl2br w:val="nil"/>
              <w:tr2bl w:val="nil"/>
            </w:tcBorders>
            <w:shd w:val="clear" w:color="auto" w:fill="D0CECE"/>
            <w:vAlign w:val="center"/>
          </w:tcPr>
          <w:p w14:paraId="6E59912B">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二级指标</w:t>
            </w:r>
          </w:p>
        </w:tc>
        <w:tc>
          <w:tcPr>
            <w:tcW w:w="2533" w:type="dxa"/>
            <w:tcBorders>
              <w:tl2br w:val="nil"/>
              <w:tr2bl w:val="nil"/>
            </w:tcBorders>
            <w:shd w:val="clear" w:color="auto" w:fill="D0CECE"/>
            <w:vAlign w:val="center"/>
          </w:tcPr>
          <w:p w14:paraId="18204995">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三级指标</w:t>
            </w:r>
          </w:p>
        </w:tc>
        <w:tc>
          <w:tcPr>
            <w:tcW w:w="844" w:type="dxa"/>
            <w:tcBorders>
              <w:tl2br w:val="nil"/>
              <w:tr2bl w:val="nil"/>
            </w:tcBorders>
            <w:shd w:val="clear" w:color="auto" w:fill="D0CECE"/>
            <w:vAlign w:val="center"/>
          </w:tcPr>
          <w:p w14:paraId="6F0E9A3B">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分值</w:t>
            </w:r>
          </w:p>
        </w:tc>
        <w:tc>
          <w:tcPr>
            <w:tcW w:w="845" w:type="dxa"/>
            <w:tcBorders>
              <w:tl2br w:val="nil"/>
              <w:tr2bl w:val="nil"/>
            </w:tcBorders>
            <w:shd w:val="clear" w:color="auto" w:fill="D0CECE"/>
            <w:vAlign w:val="center"/>
          </w:tcPr>
          <w:p w14:paraId="1BDF2A74">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得分</w:t>
            </w:r>
          </w:p>
        </w:tc>
        <w:tc>
          <w:tcPr>
            <w:tcW w:w="977" w:type="dxa"/>
            <w:tcBorders>
              <w:tl2br w:val="nil"/>
              <w:tr2bl w:val="nil"/>
            </w:tcBorders>
            <w:shd w:val="clear" w:color="auto" w:fill="D0CECE"/>
            <w:vAlign w:val="center"/>
          </w:tcPr>
          <w:p w14:paraId="1E53C2B7">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得分率</w:t>
            </w:r>
          </w:p>
        </w:tc>
      </w:tr>
      <w:tr w14:paraId="541E9BE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458" w:type="dxa"/>
            <w:vMerge w:val="restart"/>
            <w:tcBorders>
              <w:tl2br w:val="nil"/>
              <w:tr2bl w:val="nil"/>
            </w:tcBorders>
            <w:shd w:val="clear" w:color="auto" w:fill="FFFFFF"/>
            <w:vAlign w:val="center"/>
          </w:tcPr>
          <w:p w14:paraId="31C1C2E3">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决策</w:t>
            </w:r>
          </w:p>
        </w:tc>
        <w:tc>
          <w:tcPr>
            <w:tcW w:w="1865" w:type="dxa"/>
            <w:vMerge w:val="restart"/>
            <w:tcBorders>
              <w:tl2br w:val="nil"/>
              <w:tr2bl w:val="nil"/>
            </w:tcBorders>
            <w:shd w:val="clear" w:color="auto" w:fill="FFFFFF"/>
            <w:vAlign w:val="center"/>
          </w:tcPr>
          <w:p w14:paraId="27883FFF">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项目立项</w:t>
            </w:r>
          </w:p>
        </w:tc>
        <w:tc>
          <w:tcPr>
            <w:tcW w:w="2533" w:type="dxa"/>
            <w:tcBorders>
              <w:tl2br w:val="nil"/>
              <w:tr2bl w:val="nil"/>
            </w:tcBorders>
            <w:shd w:val="clear" w:color="auto" w:fill="FFFFFF"/>
            <w:vAlign w:val="center"/>
          </w:tcPr>
          <w:p w14:paraId="68C5F140">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立项依据充分性</w:t>
            </w:r>
          </w:p>
        </w:tc>
        <w:tc>
          <w:tcPr>
            <w:tcW w:w="844" w:type="dxa"/>
            <w:tcBorders>
              <w:tl2br w:val="nil"/>
              <w:tr2bl w:val="nil"/>
            </w:tcBorders>
            <w:shd w:val="clear" w:color="auto" w:fill="FFFFFF"/>
            <w:vAlign w:val="center"/>
          </w:tcPr>
          <w:p w14:paraId="2625732A">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845" w:type="dxa"/>
            <w:tcBorders>
              <w:tl2br w:val="nil"/>
              <w:tr2bl w:val="nil"/>
            </w:tcBorders>
            <w:shd w:val="clear" w:color="auto" w:fill="FFFFFF"/>
            <w:vAlign w:val="center"/>
          </w:tcPr>
          <w:p w14:paraId="0850A065">
            <w:pPr>
              <w:widowControl/>
              <w:ind w:firstLine="0" w:firstLineChars="0"/>
              <w:jc w:val="center"/>
              <w:rPr>
                <w:rFonts w:ascii="Times New Roman" w:hAnsi="Times New Roman" w:eastAsia="仿宋_GB2312" w:cs="Times New Roman"/>
                <w:kern w:val="0"/>
                <w:sz w:val="22"/>
                <w:szCs w:val="22"/>
                <w:lang w:val="en-US" w:eastAsia="zh-CN" w:bidi="ar-SA"/>
              </w:rPr>
            </w:pPr>
            <w:r>
              <w:rPr>
                <w:rFonts w:ascii="Times New Roman" w:hAnsi="Times New Roman" w:cs="Times New Roman"/>
                <w:kern w:val="0"/>
                <w:sz w:val="22"/>
              </w:rPr>
              <w:t>4</w:t>
            </w:r>
          </w:p>
        </w:tc>
        <w:tc>
          <w:tcPr>
            <w:tcW w:w="977" w:type="dxa"/>
            <w:tcBorders>
              <w:tl2br w:val="nil"/>
              <w:tr2bl w:val="nil"/>
            </w:tcBorders>
            <w:shd w:val="clear" w:color="auto" w:fill="FFFFFF"/>
            <w:vAlign w:val="center"/>
          </w:tcPr>
          <w:p w14:paraId="2990EBEF">
            <w:pPr>
              <w:widowControl/>
              <w:ind w:left="0" w:leftChars="0" w:firstLine="0" w:firstLineChars="0"/>
              <w:jc w:val="both"/>
              <w:rPr>
                <w:rFonts w:ascii="Times New Roman" w:hAnsi="Times New Roman" w:cs="Times New Roman"/>
                <w:kern w:val="0"/>
                <w:sz w:val="22"/>
              </w:rPr>
            </w:pPr>
            <w:r>
              <w:rPr>
                <w:rFonts w:hint="eastAsia" w:ascii="仿宋_GB2312" w:hAnsi="宋体" w:cs="宋体"/>
                <w:kern w:val="0"/>
                <w:sz w:val="24"/>
                <w:szCs w:val="24"/>
              </w:rPr>
              <w:t>100%</w:t>
            </w:r>
          </w:p>
        </w:tc>
      </w:tr>
      <w:tr w14:paraId="6143E92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32773F71">
            <w:pPr>
              <w:ind w:firstLine="44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3665F65A">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1BEE8676">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立项程序规范性</w:t>
            </w:r>
          </w:p>
        </w:tc>
        <w:tc>
          <w:tcPr>
            <w:tcW w:w="844" w:type="dxa"/>
            <w:tcBorders>
              <w:tl2br w:val="nil"/>
              <w:tr2bl w:val="nil"/>
            </w:tcBorders>
            <w:shd w:val="clear" w:color="auto" w:fill="FFFFFF"/>
            <w:vAlign w:val="center"/>
          </w:tcPr>
          <w:p w14:paraId="746CA734">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845" w:type="dxa"/>
            <w:tcBorders>
              <w:tl2br w:val="nil"/>
              <w:tr2bl w:val="nil"/>
            </w:tcBorders>
            <w:shd w:val="clear" w:color="auto" w:fill="FFFFFF"/>
            <w:vAlign w:val="center"/>
          </w:tcPr>
          <w:p w14:paraId="6C63FF4E">
            <w:pPr>
              <w:widowControl/>
              <w:ind w:firstLine="0" w:firstLineChars="0"/>
              <w:jc w:val="center"/>
              <w:rPr>
                <w:rFonts w:ascii="Times New Roman" w:hAnsi="Times New Roman" w:eastAsia="仿宋_GB2312" w:cs="Times New Roman"/>
                <w:kern w:val="0"/>
                <w:sz w:val="22"/>
                <w:szCs w:val="22"/>
                <w:lang w:val="en-US" w:eastAsia="zh-CN" w:bidi="ar-SA"/>
              </w:rPr>
            </w:pPr>
            <w:r>
              <w:rPr>
                <w:rFonts w:ascii="Times New Roman" w:hAnsi="Times New Roman" w:cs="Times New Roman"/>
                <w:kern w:val="0"/>
                <w:sz w:val="22"/>
              </w:rPr>
              <w:t>4</w:t>
            </w:r>
          </w:p>
        </w:tc>
        <w:tc>
          <w:tcPr>
            <w:tcW w:w="977" w:type="dxa"/>
            <w:tcBorders>
              <w:tl2br w:val="nil"/>
              <w:tr2bl w:val="nil"/>
            </w:tcBorders>
            <w:shd w:val="clear" w:color="auto" w:fill="FFFFFF"/>
            <w:vAlign w:val="center"/>
          </w:tcPr>
          <w:p w14:paraId="2BCF4A3D">
            <w:pPr>
              <w:widowControl/>
              <w:ind w:left="0" w:leftChars="0" w:firstLine="0" w:firstLineChars="0"/>
              <w:jc w:val="both"/>
              <w:rPr>
                <w:rFonts w:ascii="Times New Roman" w:hAnsi="Times New Roman" w:cs="Times New Roman"/>
                <w:kern w:val="0"/>
                <w:sz w:val="22"/>
              </w:rPr>
            </w:pPr>
            <w:r>
              <w:rPr>
                <w:rFonts w:hint="eastAsia" w:ascii="仿宋_GB2312" w:hAnsi="宋体" w:cs="宋体"/>
                <w:kern w:val="0"/>
                <w:sz w:val="24"/>
                <w:szCs w:val="24"/>
              </w:rPr>
              <w:t>100%</w:t>
            </w:r>
          </w:p>
        </w:tc>
      </w:tr>
      <w:tr w14:paraId="30C3125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64987D57">
            <w:pPr>
              <w:ind w:firstLine="44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3CD95555">
            <w:pPr>
              <w:ind w:firstLine="0" w:firstLineChars="0"/>
              <w:jc w:val="center"/>
              <w:rPr>
                <w:rFonts w:ascii="Times New Roman" w:hAnsi="Times New Roman" w:cs="Times New Roman"/>
                <w:kern w:val="0"/>
                <w:sz w:val="22"/>
              </w:rPr>
            </w:pPr>
            <w:r>
              <w:rPr>
                <w:rFonts w:ascii="Times New Roman" w:hAnsi="Times New Roman" w:cs="Times New Roman"/>
                <w:kern w:val="0"/>
                <w:sz w:val="22"/>
              </w:rPr>
              <w:t>绩效目标</w:t>
            </w:r>
          </w:p>
        </w:tc>
        <w:tc>
          <w:tcPr>
            <w:tcW w:w="2533" w:type="dxa"/>
            <w:tcBorders>
              <w:tl2br w:val="nil"/>
              <w:tr2bl w:val="nil"/>
            </w:tcBorders>
            <w:shd w:val="clear" w:color="auto" w:fill="FFFFFF"/>
            <w:vAlign w:val="center"/>
          </w:tcPr>
          <w:p w14:paraId="7E4CDF3E">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绩效目标合理性</w:t>
            </w:r>
          </w:p>
        </w:tc>
        <w:tc>
          <w:tcPr>
            <w:tcW w:w="844" w:type="dxa"/>
            <w:tcBorders>
              <w:tl2br w:val="nil"/>
              <w:tr2bl w:val="nil"/>
            </w:tcBorders>
            <w:shd w:val="clear" w:color="000000" w:fill="FFFFFF"/>
            <w:vAlign w:val="center"/>
          </w:tcPr>
          <w:p w14:paraId="268BD8D7">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068990CA">
            <w:pPr>
              <w:widowControl/>
              <w:ind w:firstLine="0" w:firstLineChars="0"/>
              <w:jc w:val="center"/>
              <w:rPr>
                <w:rFonts w:hint="eastAsia" w:ascii="Times New Roman" w:hAnsi="Times New Roman" w:eastAsia="仿宋_GB2312" w:cs="Times New Roman"/>
                <w:kern w:val="0"/>
                <w:sz w:val="22"/>
                <w:szCs w:val="22"/>
                <w:lang w:val="en-US" w:eastAsia="zh-CN" w:bidi="ar-SA"/>
              </w:rPr>
            </w:pPr>
            <w:r>
              <w:rPr>
                <w:rFonts w:hint="eastAsia" w:ascii="Times New Roman" w:hAnsi="Times New Roman" w:cs="Times New Roman"/>
                <w:kern w:val="0"/>
                <w:sz w:val="22"/>
                <w:lang w:val="en-US" w:eastAsia="zh-CN"/>
              </w:rPr>
              <w:t>3</w:t>
            </w:r>
          </w:p>
        </w:tc>
        <w:tc>
          <w:tcPr>
            <w:tcW w:w="977" w:type="dxa"/>
            <w:tcBorders>
              <w:tl2br w:val="nil"/>
              <w:tr2bl w:val="nil"/>
            </w:tcBorders>
            <w:shd w:val="clear" w:color="000000" w:fill="FFFFFF"/>
            <w:vAlign w:val="center"/>
          </w:tcPr>
          <w:p w14:paraId="5BF2C9CC">
            <w:pPr>
              <w:widowControl/>
              <w:ind w:left="0" w:leftChars="0" w:firstLine="0" w:firstLineChars="0"/>
              <w:jc w:val="both"/>
              <w:rPr>
                <w:rFonts w:ascii="Times New Roman" w:hAnsi="Times New Roman" w:cs="Times New Roman"/>
                <w:kern w:val="0"/>
                <w:sz w:val="22"/>
              </w:rPr>
            </w:pPr>
            <w:r>
              <w:rPr>
                <w:rFonts w:hint="eastAsia" w:ascii="仿宋_GB2312" w:hAnsi="宋体" w:cs="宋体"/>
                <w:kern w:val="0"/>
                <w:sz w:val="24"/>
                <w:szCs w:val="24"/>
              </w:rPr>
              <w:t>100%</w:t>
            </w:r>
          </w:p>
        </w:tc>
      </w:tr>
      <w:tr w14:paraId="1CF2CCC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79208631">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5282ADA5">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58C54265">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绩效指标明确性</w:t>
            </w:r>
          </w:p>
        </w:tc>
        <w:tc>
          <w:tcPr>
            <w:tcW w:w="844" w:type="dxa"/>
            <w:tcBorders>
              <w:tl2br w:val="nil"/>
              <w:tr2bl w:val="nil"/>
            </w:tcBorders>
            <w:shd w:val="clear" w:color="000000" w:fill="FFFFFF"/>
            <w:vAlign w:val="center"/>
          </w:tcPr>
          <w:p w14:paraId="7B6E42EB">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1D002A19">
            <w:pPr>
              <w:widowControl/>
              <w:ind w:firstLine="0" w:firstLineChars="0"/>
              <w:jc w:val="center"/>
              <w:rPr>
                <w:rFonts w:hint="eastAsia" w:ascii="Times New Roman" w:hAnsi="Times New Roman" w:eastAsia="仿宋_GB2312" w:cs="Times New Roman"/>
                <w:kern w:val="0"/>
                <w:sz w:val="22"/>
                <w:szCs w:val="22"/>
                <w:lang w:val="en-US" w:eastAsia="zh-CN" w:bidi="ar-SA"/>
              </w:rPr>
            </w:pPr>
            <w:r>
              <w:rPr>
                <w:rFonts w:hint="eastAsia" w:ascii="Times New Roman" w:hAnsi="Times New Roman" w:cs="Times New Roman"/>
                <w:kern w:val="0"/>
                <w:sz w:val="22"/>
                <w:lang w:val="en-US" w:eastAsia="zh-CN"/>
              </w:rPr>
              <w:t>3</w:t>
            </w:r>
          </w:p>
        </w:tc>
        <w:tc>
          <w:tcPr>
            <w:tcW w:w="977" w:type="dxa"/>
            <w:tcBorders>
              <w:tl2br w:val="nil"/>
              <w:tr2bl w:val="nil"/>
            </w:tcBorders>
            <w:shd w:val="clear" w:color="000000" w:fill="FFFFFF"/>
            <w:vAlign w:val="center"/>
          </w:tcPr>
          <w:p w14:paraId="2E6CBFCD">
            <w:pPr>
              <w:widowControl/>
              <w:ind w:left="0" w:leftChars="0" w:firstLine="0" w:firstLineChars="0"/>
              <w:jc w:val="both"/>
              <w:rPr>
                <w:rFonts w:ascii="Times New Roman" w:hAnsi="Times New Roman" w:cs="Times New Roman"/>
                <w:kern w:val="0"/>
                <w:sz w:val="22"/>
              </w:rPr>
            </w:pPr>
            <w:r>
              <w:rPr>
                <w:rFonts w:hint="eastAsia" w:ascii="仿宋_GB2312" w:hAnsi="宋体" w:cs="宋体"/>
                <w:kern w:val="0"/>
                <w:sz w:val="24"/>
                <w:szCs w:val="24"/>
              </w:rPr>
              <w:t>100%</w:t>
            </w:r>
          </w:p>
        </w:tc>
      </w:tr>
      <w:tr w14:paraId="10257A9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366F37B6">
            <w:pPr>
              <w:ind w:firstLine="0" w:firstLineChars="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1C49014B">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资金投入</w:t>
            </w:r>
          </w:p>
        </w:tc>
        <w:tc>
          <w:tcPr>
            <w:tcW w:w="2533" w:type="dxa"/>
            <w:tcBorders>
              <w:tl2br w:val="nil"/>
              <w:tr2bl w:val="nil"/>
            </w:tcBorders>
            <w:shd w:val="clear" w:color="auto" w:fill="FFFFFF"/>
            <w:vAlign w:val="center"/>
          </w:tcPr>
          <w:p w14:paraId="443E1DB5">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预算编制科学性</w:t>
            </w:r>
          </w:p>
        </w:tc>
        <w:tc>
          <w:tcPr>
            <w:tcW w:w="844" w:type="dxa"/>
            <w:tcBorders>
              <w:tl2br w:val="nil"/>
              <w:tr2bl w:val="nil"/>
            </w:tcBorders>
            <w:shd w:val="clear" w:color="auto" w:fill="FFFFFF"/>
            <w:vAlign w:val="center"/>
          </w:tcPr>
          <w:p w14:paraId="3D5FA661">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auto" w:fill="FFFFFF"/>
            <w:vAlign w:val="center"/>
          </w:tcPr>
          <w:p w14:paraId="13F1EA1F">
            <w:pPr>
              <w:widowControl/>
              <w:ind w:firstLine="0" w:firstLineChars="0"/>
              <w:jc w:val="center"/>
              <w:rPr>
                <w:rFonts w:ascii="Times New Roman" w:hAnsi="Times New Roman" w:eastAsia="仿宋_GB2312" w:cs="Times New Roman"/>
                <w:kern w:val="0"/>
                <w:sz w:val="22"/>
                <w:szCs w:val="22"/>
                <w:lang w:val="en-US" w:eastAsia="zh-CN" w:bidi="ar-SA"/>
              </w:rPr>
            </w:pPr>
            <w:r>
              <w:rPr>
                <w:rFonts w:ascii="Times New Roman" w:hAnsi="Times New Roman" w:cs="Times New Roman"/>
                <w:kern w:val="0"/>
                <w:sz w:val="22"/>
              </w:rPr>
              <w:t>3</w:t>
            </w:r>
          </w:p>
        </w:tc>
        <w:tc>
          <w:tcPr>
            <w:tcW w:w="977" w:type="dxa"/>
            <w:tcBorders>
              <w:tl2br w:val="nil"/>
              <w:tr2bl w:val="nil"/>
            </w:tcBorders>
            <w:shd w:val="clear" w:color="auto" w:fill="FFFFFF"/>
            <w:vAlign w:val="center"/>
          </w:tcPr>
          <w:p w14:paraId="04C4B6D0">
            <w:pPr>
              <w:widowControl/>
              <w:ind w:left="0" w:leftChars="0" w:firstLine="0" w:firstLineChars="0"/>
              <w:jc w:val="both"/>
              <w:rPr>
                <w:rFonts w:ascii="Times New Roman" w:hAnsi="Times New Roman" w:cs="Times New Roman"/>
                <w:kern w:val="0"/>
                <w:sz w:val="22"/>
              </w:rPr>
            </w:pPr>
            <w:r>
              <w:rPr>
                <w:rFonts w:hint="eastAsia" w:ascii="仿宋_GB2312" w:hAnsi="宋体" w:cs="宋体"/>
                <w:kern w:val="0"/>
                <w:sz w:val="24"/>
                <w:szCs w:val="24"/>
              </w:rPr>
              <w:t>100%</w:t>
            </w:r>
          </w:p>
        </w:tc>
      </w:tr>
      <w:tr w14:paraId="6B3CEBE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062EDE5F">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257FCB59">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44D4FE0E">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资金分配合理性</w:t>
            </w:r>
          </w:p>
        </w:tc>
        <w:tc>
          <w:tcPr>
            <w:tcW w:w="844" w:type="dxa"/>
            <w:tcBorders>
              <w:tl2br w:val="nil"/>
              <w:tr2bl w:val="nil"/>
            </w:tcBorders>
            <w:shd w:val="clear" w:color="auto" w:fill="FFFFFF"/>
            <w:vAlign w:val="center"/>
          </w:tcPr>
          <w:p w14:paraId="1F2C826A">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auto" w:fill="FFFFFF"/>
            <w:vAlign w:val="center"/>
          </w:tcPr>
          <w:p w14:paraId="60DD5232">
            <w:pPr>
              <w:widowControl/>
              <w:ind w:firstLine="0" w:firstLineChars="0"/>
              <w:jc w:val="center"/>
              <w:rPr>
                <w:rFonts w:ascii="Times New Roman" w:hAnsi="Times New Roman" w:eastAsia="仿宋_GB2312" w:cs="Times New Roman"/>
                <w:kern w:val="0"/>
                <w:sz w:val="22"/>
                <w:szCs w:val="22"/>
                <w:lang w:val="en-US" w:eastAsia="zh-CN" w:bidi="ar-SA"/>
              </w:rPr>
            </w:pPr>
            <w:r>
              <w:rPr>
                <w:rFonts w:ascii="Times New Roman" w:hAnsi="Times New Roman" w:cs="Times New Roman"/>
                <w:kern w:val="0"/>
                <w:sz w:val="22"/>
              </w:rPr>
              <w:t>3</w:t>
            </w:r>
          </w:p>
        </w:tc>
        <w:tc>
          <w:tcPr>
            <w:tcW w:w="977" w:type="dxa"/>
            <w:tcBorders>
              <w:tl2br w:val="nil"/>
              <w:tr2bl w:val="nil"/>
            </w:tcBorders>
            <w:shd w:val="clear" w:color="auto" w:fill="FFFFFF"/>
            <w:vAlign w:val="center"/>
          </w:tcPr>
          <w:p w14:paraId="10825E99">
            <w:pPr>
              <w:widowControl/>
              <w:ind w:left="0" w:leftChars="0" w:firstLine="0" w:firstLineChars="0"/>
              <w:jc w:val="both"/>
              <w:rPr>
                <w:rFonts w:ascii="Times New Roman" w:hAnsi="Times New Roman" w:cs="Times New Roman"/>
                <w:kern w:val="0"/>
                <w:sz w:val="22"/>
              </w:rPr>
            </w:pPr>
            <w:r>
              <w:rPr>
                <w:rFonts w:hint="eastAsia" w:ascii="仿宋_GB2312" w:hAnsi="宋体" w:cs="宋体"/>
                <w:kern w:val="0"/>
                <w:sz w:val="24"/>
                <w:szCs w:val="24"/>
              </w:rPr>
              <w:t>100%</w:t>
            </w:r>
          </w:p>
        </w:tc>
      </w:tr>
      <w:tr w14:paraId="1247F29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restart"/>
            <w:tcBorders>
              <w:tl2br w:val="nil"/>
              <w:tr2bl w:val="nil"/>
            </w:tcBorders>
            <w:shd w:val="clear" w:color="auto" w:fill="FFFFFF"/>
            <w:vAlign w:val="center"/>
          </w:tcPr>
          <w:p w14:paraId="13530C4D">
            <w:pPr>
              <w:ind w:firstLine="0" w:firstLineChars="0"/>
              <w:jc w:val="center"/>
              <w:rPr>
                <w:rFonts w:ascii="Times New Roman" w:hAnsi="Times New Roman" w:cs="Times New Roman"/>
                <w:kern w:val="0"/>
                <w:sz w:val="22"/>
              </w:rPr>
            </w:pPr>
            <w:r>
              <w:rPr>
                <w:rFonts w:ascii="Times New Roman" w:hAnsi="Times New Roman" w:cs="Times New Roman"/>
                <w:kern w:val="0"/>
                <w:sz w:val="22"/>
              </w:rPr>
              <w:t>过程</w:t>
            </w:r>
          </w:p>
        </w:tc>
        <w:tc>
          <w:tcPr>
            <w:tcW w:w="1865" w:type="dxa"/>
            <w:vMerge w:val="restart"/>
            <w:tcBorders>
              <w:tl2br w:val="nil"/>
              <w:tr2bl w:val="nil"/>
            </w:tcBorders>
            <w:shd w:val="clear" w:color="auto" w:fill="FFFFFF"/>
            <w:vAlign w:val="center"/>
          </w:tcPr>
          <w:p w14:paraId="47A1B83E">
            <w:pPr>
              <w:ind w:firstLine="0" w:firstLineChars="0"/>
              <w:jc w:val="center"/>
              <w:rPr>
                <w:rFonts w:ascii="Times New Roman" w:hAnsi="Times New Roman" w:cs="Times New Roman"/>
                <w:kern w:val="0"/>
                <w:sz w:val="22"/>
              </w:rPr>
            </w:pPr>
            <w:r>
              <w:rPr>
                <w:rFonts w:ascii="Times New Roman" w:hAnsi="Times New Roman" w:cs="Times New Roman"/>
                <w:kern w:val="0"/>
                <w:sz w:val="22"/>
              </w:rPr>
              <w:t>资金管理</w:t>
            </w:r>
          </w:p>
        </w:tc>
        <w:tc>
          <w:tcPr>
            <w:tcW w:w="2533" w:type="dxa"/>
            <w:tcBorders>
              <w:tl2br w:val="nil"/>
              <w:tr2bl w:val="nil"/>
            </w:tcBorders>
            <w:shd w:val="clear" w:color="auto" w:fill="FFFFFF"/>
            <w:vAlign w:val="center"/>
          </w:tcPr>
          <w:p w14:paraId="799AB02D">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资金到位率</w:t>
            </w:r>
          </w:p>
        </w:tc>
        <w:tc>
          <w:tcPr>
            <w:tcW w:w="844" w:type="dxa"/>
            <w:tcBorders>
              <w:tl2br w:val="nil"/>
              <w:tr2bl w:val="nil"/>
            </w:tcBorders>
            <w:shd w:val="clear" w:color="000000" w:fill="FFFFFF"/>
            <w:vAlign w:val="center"/>
          </w:tcPr>
          <w:p w14:paraId="71BEA058">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5</w:t>
            </w:r>
          </w:p>
        </w:tc>
        <w:tc>
          <w:tcPr>
            <w:tcW w:w="845" w:type="dxa"/>
            <w:tcBorders>
              <w:tl2br w:val="nil"/>
              <w:tr2bl w:val="nil"/>
            </w:tcBorders>
            <w:shd w:val="clear" w:color="000000" w:fill="FFFFFF"/>
            <w:vAlign w:val="center"/>
          </w:tcPr>
          <w:p w14:paraId="6D8223C2">
            <w:pPr>
              <w:widowControl/>
              <w:ind w:firstLine="0" w:firstLineChars="0"/>
              <w:jc w:val="center"/>
              <w:rPr>
                <w:rFonts w:ascii="Times New Roman" w:hAnsi="Times New Roman" w:eastAsia="仿宋_GB2312" w:cs="Times New Roman"/>
                <w:kern w:val="0"/>
                <w:sz w:val="22"/>
                <w:szCs w:val="22"/>
                <w:lang w:val="en-US" w:eastAsia="zh-CN" w:bidi="ar-SA"/>
              </w:rPr>
            </w:pPr>
            <w:r>
              <w:rPr>
                <w:rFonts w:ascii="Times New Roman" w:hAnsi="Times New Roman" w:cs="Times New Roman"/>
                <w:kern w:val="0"/>
                <w:sz w:val="22"/>
              </w:rPr>
              <w:t>5</w:t>
            </w:r>
          </w:p>
        </w:tc>
        <w:tc>
          <w:tcPr>
            <w:tcW w:w="977" w:type="dxa"/>
            <w:tcBorders>
              <w:tl2br w:val="nil"/>
              <w:tr2bl w:val="nil"/>
            </w:tcBorders>
            <w:shd w:val="clear" w:color="000000" w:fill="FFFFFF"/>
            <w:vAlign w:val="center"/>
          </w:tcPr>
          <w:p w14:paraId="789EACDD">
            <w:pPr>
              <w:widowControl/>
              <w:ind w:left="0" w:leftChars="0" w:firstLine="0" w:firstLineChars="0"/>
              <w:jc w:val="both"/>
              <w:rPr>
                <w:rFonts w:ascii="Times New Roman" w:hAnsi="Times New Roman" w:cs="Times New Roman"/>
                <w:kern w:val="0"/>
                <w:sz w:val="22"/>
              </w:rPr>
            </w:pPr>
            <w:r>
              <w:rPr>
                <w:rFonts w:hint="eastAsia" w:ascii="仿宋_GB2312" w:hAnsi="宋体" w:cs="宋体"/>
                <w:kern w:val="0"/>
                <w:sz w:val="24"/>
                <w:szCs w:val="24"/>
              </w:rPr>
              <w:t>100%</w:t>
            </w:r>
          </w:p>
        </w:tc>
      </w:tr>
      <w:tr w14:paraId="1FF4B1F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40833C59">
            <w:pPr>
              <w:ind w:firstLine="44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2F29C5A5">
            <w:pPr>
              <w:ind w:firstLine="44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386FD47A">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预算执行率</w:t>
            </w:r>
          </w:p>
        </w:tc>
        <w:tc>
          <w:tcPr>
            <w:tcW w:w="844" w:type="dxa"/>
            <w:tcBorders>
              <w:tl2br w:val="nil"/>
              <w:tr2bl w:val="nil"/>
            </w:tcBorders>
            <w:shd w:val="clear" w:color="auto" w:fill="FFFFFF"/>
            <w:vAlign w:val="center"/>
          </w:tcPr>
          <w:p w14:paraId="1446E135">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5</w:t>
            </w:r>
          </w:p>
        </w:tc>
        <w:tc>
          <w:tcPr>
            <w:tcW w:w="845" w:type="dxa"/>
            <w:tcBorders>
              <w:tl2br w:val="nil"/>
              <w:tr2bl w:val="nil"/>
            </w:tcBorders>
            <w:shd w:val="clear" w:color="auto" w:fill="FFFFFF"/>
            <w:vAlign w:val="center"/>
          </w:tcPr>
          <w:p w14:paraId="020636E9">
            <w:pPr>
              <w:widowControl/>
              <w:ind w:firstLine="0" w:firstLineChars="0"/>
              <w:jc w:val="center"/>
              <w:rPr>
                <w:rFonts w:ascii="Times New Roman" w:hAnsi="Times New Roman" w:eastAsia="仿宋_GB2312" w:cs="Times New Roman"/>
                <w:kern w:val="0"/>
                <w:sz w:val="22"/>
                <w:szCs w:val="22"/>
                <w:lang w:val="en-US" w:eastAsia="zh-CN" w:bidi="ar-SA"/>
              </w:rPr>
            </w:pPr>
            <w:r>
              <w:rPr>
                <w:rFonts w:ascii="Times New Roman" w:hAnsi="Times New Roman" w:cs="Times New Roman"/>
                <w:kern w:val="0"/>
                <w:sz w:val="22"/>
              </w:rPr>
              <w:t>5</w:t>
            </w:r>
          </w:p>
        </w:tc>
        <w:tc>
          <w:tcPr>
            <w:tcW w:w="977" w:type="dxa"/>
            <w:tcBorders>
              <w:tl2br w:val="nil"/>
              <w:tr2bl w:val="nil"/>
            </w:tcBorders>
            <w:shd w:val="clear" w:color="auto" w:fill="FFFFFF"/>
            <w:vAlign w:val="center"/>
          </w:tcPr>
          <w:p w14:paraId="44880C39">
            <w:pPr>
              <w:widowControl/>
              <w:ind w:left="0" w:leftChars="0" w:firstLine="0" w:firstLineChars="0"/>
              <w:jc w:val="both"/>
              <w:rPr>
                <w:rFonts w:ascii="Times New Roman" w:hAnsi="Times New Roman" w:cs="Times New Roman"/>
                <w:kern w:val="0"/>
                <w:sz w:val="22"/>
              </w:rPr>
            </w:pPr>
            <w:r>
              <w:rPr>
                <w:rFonts w:hint="eastAsia" w:ascii="仿宋_GB2312" w:hAnsi="宋体" w:cs="宋体"/>
                <w:kern w:val="0"/>
                <w:sz w:val="24"/>
                <w:szCs w:val="24"/>
              </w:rPr>
              <w:t>100%</w:t>
            </w:r>
          </w:p>
        </w:tc>
      </w:tr>
      <w:tr w14:paraId="428DE76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665FB99B">
            <w:pPr>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3910A814">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7FB1A3F5">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资金使用合规性</w:t>
            </w:r>
          </w:p>
        </w:tc>
        <w:tc>
          <w:tcPr>
            <w:tcW w:w="844" w:type="dxa"/>
            <w:tcBorders>
              <w:tl2br w:val="nil"/>
              <w:tr2bl w:val="nil"/>
            </w:tcBorders>
            <w:shd w:val="clear" w:color="000000" w:fill="FFFFFF"/>
            <w:vAlign w:val="center"/>
          </w:tcPr>
          <w:p w14:paraId="46A561BF">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385F28E3">
            <w:pPr>
              <w:widowControl/>
              <w:ind w:firstLine="0" w:firstLineChars="0"/>
              <w:jc w:val="center"/>
              <w:rPr>
                <w:rFonts w:ascii="Times New Roman" w:hAnsi="Times New Roman" w:eastAsia="仿宋_GB2312" w:cs="Times New Roman"/>
                <w:kern w:val="0"/>
                <w:sz w:val="22"/>
                <w:szCs w:val="22"/>
                <w:lang w:val="en-US" w:eastAsia="zh-CN" w:bidi="ar-SA"/>
              </w:rPr>
            </w:pPr>
            <w:r>
              <w:rPr>
                <w:rFonts w:ascii="Times New Roman" w:hAnsi="Times New Roman" w:cs="Times New Roman"/>
                <w:kern w:val="0"/>
                <w:sz w:val="22"/>
              </w:rPr>
              <w:t>3</w:t>
            </w:r>
          </w:p>
        </w:tc>
        <w:tc>
          <w:tcPr>
            <w:tcW w:w="977" w:type="dxa"/>
            <w:tcBorders>
              <w:tl2br w:val="nil"/>
              <w:tr2bl w:val="nil"/>
            </w:tcBorders>
            <w:shd w:val="clear" w:color="000000" w:fill="FFFFFF"/>
            <w:vAlign w:val="center"/>
          </w:tcPr>
          <w:p w14:paraId="1BD11EE0">
            <w:pPr>
              <w:widowControl/>
              <w:ind w:left="0" w:leftChars="0" w:firstLine="0" w:firstLineChars="0"/>
              <w:jc w:val="both"/>
              <w:rPr>
                <w:rFonts w:ascii="Times New Roman" w:hAnsi="Times New Roman" w:cs="Times New Roman"/>
                <w:kern w:val="0"/>
                <w:sz w:val="22"/>
              </w:rPr>
            </w:pPr>
            <w:r>
              <w:rPr>
                <w:rFonts w:hint="eastAsia" w:ascii="仿宋_GB2312" w:hAnsi="宋体" w:cs="宋体"/>
                <w:kern w:val="0"/>
                <w:sz w:val="24"/>
                <w:szCs w:val="24"/>
              </w:rPr>
              <w:t>100%</w:t>
            </w:r>
          </w:p>
        </w:tc>
      </w:tr>
      <w:tr w14:paraId="3A0A406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660E4DA6">
            <w:pPr>
              <w:ind w:firstLine="0" w:firstLineChars="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053E3315">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组织实施</w:t>
            </w:r>
          </w:p>
        </w:tc>
        <w:tc>
          <w:tcPr>
            <w:tcW w:w="2533" w:type="dxa"/>
            <w:tcBorders>
              <w:tl2br w:val="nil"/>
              <w:tr2bl w:val="nil"/>
            </w:tcBorders>
            <w:shd w:val="clear" w:color="auto" w:fill="FFFFFF"/>
            <w:vAlign w:val="center"/>
          </w:tcPr>
          <w:p w14:paraId="72AAD05E">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管理制度健全性</w:t>
            </w:r>
          </w:p>
        </w:tc>
        <w:tc>
          <w:tcPr>
            <w:tcW w:w="844" w:type="dxa"/>
            <w:tcBorders>
              <w:tl2br w:val="nil"/>
              <w:tr2bl w:val="nil"/>
            </w:tcBorders>
            <w:shd w:val="clear" w:color="000000" w:fill="FFFFFF"/>
            <w:vAlign w:val="center"/>
          </w:tcPr>
          <w:p w14:paraId="0B911A38">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0AA436A1">
            <w:pPr>
              <w:widowControl/>
              <w:ind w:firstLine="0" w:firstLineChars="0"/>
              <w:jc w:val="center"/>
              <w:rPr>
                <w:rFonts w:ascii="Times New Roman" w:hAnsi="Times New Roman" w:eastAsia="仿宋_GB2312" w:cs="Times New Roman"/>
                <w:kern w:val="0"/>
                <w:sz w:val="22"/>
                <w:szCs w:val="22"/>
                <w:lang w:val="en-US" w:eastAsia="zh-CN" w:bidi="ar-SA"/>
              </w:rPr>
            </w:pPr>
            <w:r>
              <w:rPr>
                <w:rFonts w:ascii="Times New Roman" w:hAnsi="Times New Roman" w:cs="Times New Roman"/>
                <w:kern w:val="0"/>
                <w:sz w:val="22"/>
              </w:rPr>
              <w:t>3</w:t>
            </w:r>
          </w:p>
        </w:tc>
        <w:tc>
          <w:tcPr>
            <w:tcW w:w="977" w:type="dxa"/>
            <w:tcBorders>
              <w:tl2br w:val="nil"/>
              <w:tr2bl w:val="nil"/>
            </w:tcBorders>
            <w:shd w:val="clear" w:color="000000" w:fill="FFFFFF"/>
            <w:vAlign w:val="center"/>
          </w:tcPr>
          <w:p w14:paraId="424E9A67">
            <w:pPr>
              <w:widowControl/>
              <w:ind w:left="0" w:leftChars="0" w:firstLine="0" w:firstLineChars="0"/>
              <w:jc w:val="both"/>
              <w:rPr>
                <w:rFonts w:ascii="Times New Roman" w:hAnsi="Times New Roman" w:cs="Times New Roman"/>
                <w:kern w:val="0"/>
                <w:sz w:val="22"/>
              </w:rPr>
            </w:pPr>
            <w:r>
              <w:rPr>
                <w:rFonts w:hint="eastAsia" w:ascii="仿宋_GB2312" w:hAnsi="宋体" w:cs="宋体"/>
                <w:kern w:val="0"/>
                <w:sz w:val="24"/>
                <w:szCs w:val="24"/>
              </w:rPr>
              <w:t>100%</w:t>
            </w:r>
          </w:p>
        </w:tc>
      </w:tr>
      <w:tr w14:paraId="0BDB90B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789038A0">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1D3B5CB4">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56B07B1A">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制度执行有效性</w:t>
            </w:r>
          </w:p>
        </w:tc>
        <w:tc>
          <w:tcPr>
            <w:tcW w:w="844" w:type="dxa"/>
            <w:tcBorders>
              <w:tl2br w:val="nil"/>
              <w:tr2bl w:val="nil"/>
            </w:tcBorders>
            <w:shd w:val="clear" w:color="000000" w:fill="FFFFFF"/>
            <w:vAlign w:val="center"/>
          </w:tcPr>
          <w:p w14:paraId="672B7CA1">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845" w:type="dxa"/>
            <w:tcBorders>
              <w:tl2br w:val="nil"/>
              <w:tr2bl w:val="nil"/>
            </w:tcBorders>
            <w:shd w:val="clear" w:color="000000" w:fill="FFFFFF"/>
            <w:vAlign w:val="center"/>
          </w:tcPr>
          <w:p w14:paraId="1BBA986E">
            <w:pPr>
              <w:widowControl/>
              <w:ind w:firstLine="0" w:firstLineChars="0"/>
              <w:jc w:val="center"/>
              <w:rPr>
                <w:rFonts w:ascii="Times New Roman" w:hAnsi="Times New Roman" w:eastAsia="仿宋_GB2312" w:cs="Times New Roman"/>
                <w:kern w:val="0"/>
                <w:sz w:val="22"/>
                <w:szCs w:val="22"/>
                <w:lang w:val="en-US" w:eastAsia="zh-CN" w:bidi="ar-SA"/>
              </w:rPr>
            </w:pPr>
            <w:r>
              <w:rPr>
                <w:rFonts w:ascii="Times New Roman" w:hAnsi="Times New Roman" w:cs="Times New Roman"/>
                <w:kern w:val="0"/>
                <w:sz w:val="22"/>
              </w:rPr>
              <w:t>4</w:t>
            </w:r>
          </w:p>
        </w:tc>
        <w:tc>
          <w:tcPr>
            <w:tcW w:w="977" w:type="dxa"/>
            <w:tcBorders>
              <w:tl2br w:val="nil"/>
              <w:tr2bl w:val="nil"/>
            </w:tcBorders>
            <w:shd w:val="clear" w:color="000000" w:fill="FFFFFF"/>
            <w:vAlign w:val="center"/>
          </w:tcPr>
          <w:p w14:paraId="643D26BE">
            <w:pPr>
              <w:widowControl/>
              <w:ind w:left="0" w:leftChars="0" w:firstLine="0" w:firstLineChars="0"/>
              <w:jc w:val="both"/>
              <w:rPr>
                <w:rFonts w:ascii="Times New Roman" w:hAnsi="Times New Roman" w:cs="Times New Roman"/>
                <w:kern w:val="0"/>
                <w:sz w:val="22"/>
              </w:rPr>
            </w:pPr>
            <w:r>
              <w:rPr>
                <w:rFonts w:hint="eastAsia" w:ascii="仿宋_GB2312" w:hAnsi="宋体" w:cs="宋体"/>
                <w:kern w:val="0"/>
                <w:sz w:val="24"/>
                <w:szCs w:val="24"/>
              </w:rPr>
              <w:t>100%</w:t>
            </w:r>
          </w:p>
        </w:tc>
      </w:tr>
      <w:tr w14:paraId="67770D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8" w:hRule="atLeast"/>
          <w:jc w:val="center"/>
        </w:trPr>
        <w:tc>
          <w:tcPr>
            <w:tcW w:w="1458" w:type="dxa"/>
            <w:vMerge w:val="restart"/>
            <w:tcBorders>
              <w:tl2br w:val="nil"/>
              <w:tr2bl w:val="nil"/>
            </w:tcBorders>
            <w:shd w:val="clear" w:color="auto" w:fill="FFFFFF"/>
            <w:vAlign w:val="center"/>
          </w:tcPr>
          <w:p w14:paraId="4F386ABB">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w:t>
            </w:r>
          </w:p>
        </w:tc>
        <w:tc>
          <w:tcPr>
            <w:tcW w:w="1865" w:type="dxa"/>
            <w:vMerge w:val="restart"/>
            <w:tcBorders>
              <w:tl2br w:val="nil"/>
              <w:tr2bl w:val="nil"/>
            </w:tcBorders>
            <w:shd w:val="clear" w:color="auto" w:fill="FFFFFF"/>
            <w:vAlign w:val="center"/>
          </w:tcPr>
          <w:p w14:paraId="29A5EDB4">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产出数量</w:t>
            </w:r>
          </w:p>
        </w:tc>
        <w:tc>
          <w:tcPr>
            <w:tcW w:w="2533" w:type="dxa"/>
            <w:tcBorders>
              <w:tl2br w:val="nil"/>
              <w:tr2bl w:val="nil"/>
            </w:tcBorders>
            <w:shd w:val="clear" w:color="auto" w:fill="FFFFFF"/>
            <w:vAlign w:val="top"/>
          </w:tcPr>
          <w:p w14:paraId="466EE7ED">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color w:val="000000"/>
                <w:kern w:val="0"/>
                <w:sz w:val="22"/>
                <w:highlight w:val="none"/>
              </w:rPr>
              <w:t>完成市场监督检查工作</w:t>
            </w:r>
          </w:p>
        </w:tc>
        <w:tc>
          <w:tcPr>
            <w:tcW w:w="844" w:type="dxa"/>
            <w:tcBorders>
              <w:tl2br w:val="nil"/>
              <w:tr2bl w:val="nil"/>
            </w:tcBorders>
            <w:shd w:val="clear" w:color="000000" w:fill="FFFFFF"/>
            <w:vAlign w:val="center"/>
          </w:tcPr>
          <w:p w14:paraId="39618416">
            <w:pPr>
              <w:widowControl/>
              <w:ind w:firstLine="0" w:firstLineChars="0"/>
              <w:jc w:val="center"/>
              <w:rPr>
                <w:rFonts w:hint="eastAsia" w:ascii="Times New Roman" w:hAnsi="Times New Roman" w:eastAsia="仿宋_GB2312" w:cs="Times New Roman"/>
                <w:kern w:val="0"/>
                <w:sz w:val="22"/>
                <w:highlight w:val="none"/>
                <w:lang w:eastAsia="zh-CN"/>
              </w:rPr>
            </w:pPr>
            <w:r>
              <w:rPr>
                <w:rFonts w:hint="eastAsia" w:ascii="Times New Roman" w:hAnsi="Times New Roman" w:cs="Times New Roman"/>
                <w:kern w:val="0"/>
                <w:sz w:val="22"/>
                <w:highlight w:val="none"/>
                <w:lang w:val="en-US" w:eastAsia="zh-CN"/>
              </w:rPr>
              <w:t>5</w:t>
            </w:r>
          </w:p>
        </w:tc>
        <w:tc>
          <w:tcPr>
            <w:tcW w:w="845" w:type="dxa"/>
            <w:tcBorders>
              <w:tl2br w:val="nil"/>
              <w:tr2bl w:val="nil"/>
            </w:tcBorders>
            <w:shd w:val="clear" w:color="000000" w:fill="FFFFFF"/>
            <w:vAlign w:val="center"/>
          </w:tcPr>
          <w:p w14:paraId="5A481898">
            <w:pPr>
              <w:widowControl/>
              <w:ind w:firstLine="0" w:firstLineChars="0"/>
              <w:jc w:val="center"/>
              <w:rPr>
                <w:rFonts w:hint="eastAsia" w:ascii="Times New Roman" w:hAnsi="Times New Roman" w:eastAsia="仿宋_GB2312" w:cs="Times New Roman"/>
                <w:kern w:val="0"/>
                <w:sz w:val="22"/>
                <w:szCs w:val="22"/>
                <w:highlight w:val="none"/>
                <w:lang w:val="en-US" w:eastAsia="zh-CN" w:bidi="ar-SA"/>
              </w:rPr>
            </w:pPr>
            <w:r>
              <w:rPr>
                <w:rFonts w:hint="eastAsia" w:ascii="Times New Roman" w:hAnsi="Times New Roman" w:cs="Times New Roman"/>
                <w:kern w:val="0"/>
                <w:sz w:val="22"/>
                <w:highlight w:val="none"/>
                <w:lang w:val="en-US" w:eastAsia="zh-CN"/>
              </w:rPr>
              <w:t>5</w:t>
            </w:r>
          </w:p>
        </w:tc>
        <w:tc>
          <w:tcPr>
            <w:tcW w:w="977" w:type="dxa"/>
            <w:tcBorders>
              <w:tl2br w:val="nil"/>
              <w:tr2bl w:val="nil"/>
            </w:tcBorders>
            <w:shd w:val="clear" w:color="000000" w:fill="FFFFFF"/>
            <w:vAlign w:val="center"/>
          </w:tcPr>
          <w:p w14:paraId="098A350B">
            <w:pPr>
              <w:widowControl/>
              <w:ind w:left="0" w:leftChars="0" w:firstLine="0" w:firstLineChars="0"/>
              <w:jc w:val="both"/>
              <w:rPr>
                <w:rFonts w:ascii="Times New Roman" w:hAnsi="Times New Roman" w:cs="Times New Roman"/>
                <w:kern w:val="0"/>
                <w:sz w:val="22"/>
                <w:highlight w:val="none"/>
              </w:rPr>
            </w:pPr>
            <w:r>
              <w:rPr>
                <w:rFonts w:hint="eastAsia" w:ascii="仿宋_GB2312" w:hAnsi="宋体" w:cs="宋体"/>
                <w:kern w:val="0"/>
                <w:sz w:val="24"/>
                <w:szCs w:val="24"/>
                <w:highlight w:val="none"/>
              </w:rPr>
              <w:t>100%</w:t>
            </w:r>
          </w:p>
        </w:tc>
      </w:tr>
      <w:tr w14:paraId="2F7E42E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8" w:hRule="atLeast"/>
          <w:jc w:val="center"/>
        </w:trPr>
        <w:tc>
          <w:tcPr>
            <w:tcW w:w="1458" w:type="dxa"/>
            <w:vMerge w:val="continue"/>
            <w:tcBorders>
              <w:tl2br w:val="nil"/>
              <w:tr2bl w:val="nil"/>
            </w:tcBorders>
            <w:shd w:val="clear" w:color="auto" w:fill="FFFFFF"/>
            <w:vAlign w:val="center"/>
          </w:tcPr>
          <w:p w14:paraId="26A05A9E">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1577647E">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top"/>
          </w:tcPr>
          <w:p w14:paraId="00FBB08B">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color w:val="000000"/>
                <w:kern w:val="0"/>
                <w:sz w:val="22"/>
                <w:highlight w:val="none"/>
              </w:rPr>
              <w:t>综合行政执法服装配备人数</w:t>
            </w:r>
          </w:p>
        </w:tc>
        <w:tc>
          <w:tcPr>
            <w:tcW w:w="844" w:type="dxa"/>
            <w:tcBorders>
              <w:tl2br w:val="nil"/>
              <w:tr2bl w:val="nil"/>
            </w:tcBorders>
            <w:shd w:val="clear" w:color="000000" w:fill="FFFFFF"/>
            <w:vAlign w:val="center"/>
          </w:tcPr>
          <w:p w14:paraId="1B72B4D4">
            <w:pPr>
              <w:widowControl/>
              <w:ind w:firstLine="0" w:firstLineChars="0"/>
              <w:jc w:val="center"/>
              <w:rPr>
                <w:rFonts w:hint="eastAsia" w:ascii="Times New Roman" w:hAnsi="Times New Roman" w:eastAsia="仿宋_GB2312" w:cs="Times New Roman"/>
                <w:kern w:val="0"/>
                <w:sz w:val="22"/>
                <w:highlight w:val="none"/>
                <w:lang w:eastAsia="zh-CN"/>
              </w:rPr>
            </w:pPr>
            <w:r>
              <w:rPr>
                <w:rFonts w:hint="eastAsia" w:ascii="Times New Roman" w:hAnsi="Times New Roman" w:cs="Times New Roman"/>
                <w:kern w:val="0"/>
                <w:sz w:val="22"/>
                <w:highlight w:val="none"/>
                <w:lang w:val="en-US" w:eastAsia="zh-CN"/>
              </w:rPr>
              <w:t>5</w:t>
            </w:r>
          </w:p>
        </w:tc>
        <w:tc>
          <w:tcPr>
            <w:tcW w:w="845" w:type="dxa"/>
            <w:tcBorders>
              <w:tl2br w:val="nil"/>
              <w:tr2bl w:val="nil"/>
            </w:tcBorders>
            <w:shd w:val="clear" w:color="000000" w:fill="FFFFFF"/>
            <w:vAlign w:val="center"/>
          </w:tcPr>
          <w:p w14:paraId="3297D48E">
            <w:pPr>
              <w:widowControl/>
              <w:ind w:firstLine="0" w:firstLineChars="0"/>
              <w:jc w:val="center"/>
              <w:rPr>
                <w:rFonts w:hint="eastAsia" w:ascii="Times New Roman" w:hAnsi="Times New Roman" w:eastAsia="仿宋_GB2312" w:cs="Times New Roman"/>
                <w:kern w:val="0"/>
                <w:sz w:val="22"/>
                <w:szCs w:val="22"/>
                <w:highlight w:val="none"/>
                <w:lang w:val="en-US" w:eastAsia="zh-CN" w:bidi="ar-SA"/>
              </w:rPr>
            </w:pPr>
            <w:r>
              <w:rPr>
                <w:rFonts w:hint="eastAsia" w:ascii="Times New Roman" w:hAnsi="Times New Roman" w:cs="Times New Roman"/>
                <w:kern w:val="0"/>
                <w:sz w:val="22"/>
                <w:highlight w:val="none"/>
                <w:lang w:val="en-US" w:eastAsia="zh-CN"/>
              </w:rPr>
              <w:t>5</w:t>
            </w:r>
          </w:p>
        </w:tc>
        <w:tc>
          <w:tcPr>
            <w:tcW w:w="977" w:type="dxa"/>
            <w:tcBorders>
              <w:tl2br w:val="nil"/>
              <w:tr2bl w:val="nil"/>
            </w:tcBorders>
            <w:shd w:val="clear" w:color="000000" w:fill="FFFFFF"/>
            <w:vAlign w:val="center"/>
          </w:tcPr>
          <w:p w14:paraId="02CD174E">
            <w:pPr>
              <w:widowControl/>
              <w:ind w:firstLine="0" w:firstLineChars="0"/>
              <w:jc w:val="both"/>
              <w:rPr>
                <w:rFonts w:ascii="Times New Roman" w:hAnsi="Times New Roman" w:cs="Times New Roman"/>
                <w:kern w:val="0"/>
                <w:sz w:val="22"/>
                <w:highlight w:val="none"/>
              </w:rPr>
            </w:pPr>
            <w:r>
              <w:rPr>
                <w:rFonts w:hint="eastAsia" w:ascii="仿宋_GB2312" w:hAnsi="宋体" w:cs="宋体"/>
                <w:kern w:val="0"/>
                <w:sz w:val="24"/>
                <w:szCs w:val="24"/>
                <w:highlight w:val="none"/>
              </w:rPr>
              <w:t>100%</w:t>
            </w:r>
          </w:p>
        </w:tc>
      </w:tr>
      <w:tr w14:paraId="7E0EA6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0F42379A">
            <w:pPr>
              <w:widowControl/>
              <w:ind w:firstLine="0" w:firstLineChars="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4DB2E243">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产出质量</w:t>
            </w:r>
          </w:p>
        </w:tc>
        <w:tc>
          <w:tcPr>
            <w:tcW w:w="2533" w:type="dxa"/>
            <w:tcBorders>
              <w:tl2br w:val="nil"/>
              <w:tr2bl w:val="nil"/>
            </w:tcBorders>
            <w:shd w:val="clear" w:color="auto" w:fill="FFFFFF"/>
            <w:vAlign w:val="center"/>
          </w:tcPr>
          <w:p w14:paraId="49BAA295">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color w:val="000000"/>
                <w:kern w:val="0"/>
                <w:sz w:val="22"/>
                <w:highlight w:val="none"/>
              </w:rPr>
              <w:t>服装采购验收合格率</w:t>
            </w:r>
          </w:p>
        </w:tc>
        <w:tc>
          <w:tcPr>
            <w:tcW w:w="844" w:type="dxa"/>
            <w:tcBorders>
              <w:tl2br w:val="nil"/>
              <w:tr2bl w:val="nil"/>
            </w:tcBorders>
            <w:shd w:val="clear" w:color="000000" w:fill="FFFFFF"/>
            <w:vAlign w:val="center"/>
          </w:tcPr>
          <w:p w14:paraId="4F06C463">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10</w:t>
            </w:r>
          </w:p>
        </w:tc>
        <w:tc>
          <w:tcPr>
            <w:tcW w:w="845" w:type="dxa"/>
            <w:tcBorders>
              <w:tl2br w:val="nil"/>
              <w:tr2bl w:val="nil"/>
            </w:tcBorders>
            <w:shd w:val="clear" w:color="000000" w:fill="FFFFFF"/>
            <w:vAlign w:val="center"/>
          </w:tcPr>
          <w:p w14:paraId="172454FA">
            <w:pPr>
              <w:widowControl/>
              <w:ind w:firstLine="0" w:firstLineChars="0"/>
              <w:jc w:val="center"/>
              <w:rPr>
                <w:rFonts w:ascii="Times New Roman" w:hAnsi="Times New Roman" w:eastAsia="仿宋_GB2312" w:cs="Times New Roman"/>
                <w:kern w:val="0"/>
                <w:sz w:val="22"/>
                <w:szCs w:val="22"/>
                <w:highlight w:val="none"/>
                <w:lang w:val="en-US" w:eastAsia="zh-CN" w:bidi="ar-SA"/>
              </w:rPr>
            </w:pPr>
            <w:r>
              <w:rPr>
                <w:rFonts w:ascii="Times New Roman" w:hAnsi="Times New Roman" w:cs="Times New Roman"/>
                <w:kern w:val="0"/>
                <w:sz w:val="22"/>
                <w:highlight w:val="none"/>
              </w:rPr>
              <w:t>10</w:t>
            </w:r>
          </w:p>
        </w:tc>
        <w:tc>
          <w:tcPr>
            <w:tcW w:w="977" w:type="dxa"/>
            <w:tcBorders>
              <w:tl2br w:val="nil"/>
              <w:tr2bl w:val="nil"/>
            </w:tcBorders>
            <w:shd w:val="clear" w:color="000000" w:fill="FFFFFF"/>
            <w:vAlign w:val="center"/>
          </w:tcPr>
          <w:p w14:paraId="338EAD04">
            <w:pPr>
              <w:widowControl/>
              <w:ind w:left="0" w:leftChars="0" w:firstLine="0" w:firstLineChars="0"/>
              <w:jc w:val="both"/>
              <w:rPr>
                <w:rFonts w:ascii="Times New Roman" w:hAnsi="Times New Roman" w:cs="Times New Roman"/>
                <w:kern w:val="0"/>
                <w:sz w:val="22"/>
                <w:highlight w:val="none"/>
              </w:rPr>
            </w:pPr>
            <w:r>
              <w:rPr>
                <w:rFonts w:hint="eastAsia" w:ascii="仿宋_GB2312" w:hAnsi="宋体" w:cs="宋体"/>
                <w:kern w:val="0"/>
                <w:sz w:val="24"/>
                <w:szCs w:val="24"/>
                <w:highlight w:val="none"/>
              </w:rPr>
              <w:t>100%</w:t>
            </w:r>
          </w:p>
        </w:tc>
      </w:tr>
      <w:tr w14:paraId="5217037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63" w:hRule="atLeast"/>
          <w:jc w:val="center"/>
        </w:trPr>
        <w:tc>
          <w:tcPr>
            <w:tcW w:w="1458" w:type="dxa"/>
            <w:vMerge w:val="continue"/>
            <w:tcBorders>
              <w:tl2br w:val="nil"/>
              <w:tr2bl w:val="nil"/>
            </w:tcBorders>
            <w:shd w:val="clear" w:color="auto" w:fill="FFFFFF"/>
            <w:vAlign w:val="center"/>
          </w:tcPr>
          <w:p w14:paraId="3FE924A5">
            <w:pPr>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5E046011">
            <w:pPr>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14:paraId="7C1F202D">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color w:val="000000"/>
                <w:kern w:val="0"/>
                <w:sz w:val="22"/>
                <w:highlight w:val="none"/>
                <w:lang w:eastAsia="zh-CN"/>
              </w:rPr>
              <w:t>综合行政执法服装配备率</w:t>
            </w:r>
          </w:p>
        </w:tc>
        <w:tc>
          <w:tcPr>
            <w:tcW w:w="844" w:type="dxa"/>
            <w:tcBorders>
              <w:tl2br w:val="nil"/>
              <w:tr2bl w:val="nil"/>
            </w:tcBorders>
            <w:shd w:val="clear" w:color="000000" w:fill="FFFFFF"/>
            <w:vAlign w:val="center"/>
          </w:tcPr>
          <w:p w14:paraId="6F687AA9">
            <w:pPr>
              <w:widowControl/>
              <w:ind w:firstLine="0" w:firstLineChars="0"/>
              <w:jc w:val="center"/>
              <w:rPr>
                <w:rFonts w:hint="default" w:ascii="Times New Roman" w:hAnsi="Times New Roman" w:eastAsia="仿宋_GB2312" w:cs="Times New Roman"/>
                <w:kern w:val="0"/>
                <w:sz w:val="22"/>
                <w:highlight w:val="none"/>
                <w:lang w:val="en-US" w:eastAsia="zh-CN"/>
              </w:rPr>
            </w:pPr>
            <w:r>
              <w:rPr>
                <w:rFonts w:hint="eastAsia" w:ascii="Times New Roman" w:hAnsi="Times New Roman" w:cs="Times New Roman"/>
                <w:kern w:val="0"/>
                <w:sz w:val="22"/>
                <w:highlight w:val="none"/>
                <w:lang w:val="en-US" w:eastAsia="zh-CN"/>
              </w:rPr>
              <w:t>10</w:t>
            </w:r>
          </w:p>
        </w:tc>
        <w:tc>
          <w:tcPr>
            <w:tcW w:w="845" w:type="dxa"/>
            <w:tcBorders>
              <w:tl2br w:val="nil"/>
              <w:tr2bl w:val="nil"/>
            </w:tcBorders>
            <w:shd w:val="clear" w:color="000000" w:fill="FFFFFF"/>
            <w:vAlign w:val="center"/>
          </w:tcPr>
          <w:p w14:paraId="0D579775">
            <w:pPr>
              <w:widowControl/>
              <w:ind w:firstLine="0" w:firstLineChars="0"/>
              <w:jc w:val="center"/>
              <w:rPr>
                <w:rFonts w:hint="default" w:ascii="Times New Roman" w:hAnsi="Times New Roman" w:eastAsia="仿宋_GB2312" w:cs="Times New Roman"/>
                <w:kern w:val="0"/>
                <w:sz w:val="22"/>
                <w:szCs w:val="22"/>
                <w:highlight w:val="none"/>
                <w:lang w:val="en-US" w:eastAsia="zh-CN" w:bidi="ar-SA"/>
              </w:rPr>
            </w:pPr>
            <w:r>
              <w:rPr>
                <w:rFonts w:hint="eastAsia" w:ascii="Times New Roman" w:hAnsi="Times New Roman" w:cs="Times New Roman"/>
                <w:kern w:val="0"/>
                <w:sz w:val="22"/>
                <w:highlight w:val="none"/>
                <w:lang w:val="en-US" w:eastAsia="zh-CN"/>
              </w:rPr>
              <w:t>10</w:t>
            </w:r>
          </w:p>
        </w:tc>
        <w:tc>
          <w:tcPr>
            <w:tcW w:w="977" w:type="dxa"/>
            <w:tcBorders>
              <w:tl2br w:val="nil"/>
              <w:tr2bl w:val="nil"/>
            </w:tcBorders>
            <w:shd w:val="clear" w:color="000000" w:fill="FFFFFF"/>
            <w:vAlign w:val="center"/>
          </w:tcPr>
          <w:p w14:paraId="02F3D676">
            <w:pPr>
              <w:widowControl/>
              <w:ind w:left="0" w:leftChars="0" w:firstLine="0" w:firstLineChars="0"/>
              <w:jc w:val="both"/>
              <w:rPr>
                <w:rFonts w:ascii="Times New Roman" w:hAnsi="Times New Roman" w:cs="Times New Roman"/>
                <w:kern w:val="0"/>
                <w:sz w:val="22"/>
                <w:highlight w:val="none"/>
              </w:rPr>
            </w:pPr>
            <w:r>
              <w:rPr>
                <w:rFonts w:hint="eastAsia" w:ascii="仿宋_GB2312" w:hAnsi="宋体" w:cs="宋体"/>
                <w:kern w:val="0"/>
                <w:sz w:val="24"/>
                <w:szCs w:val="24"/>
                <w:highlight w:val="none"/>
              </w:rPr>
              <w:t>100%</w:t>
            </w:r>
          </w:p>
        </w:tc>
      </w:tr>
      <w:tr w14:paraId="640DE0F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33CE50ED">
            <w:pPr>
              <w:widowControl/>
              <w:ind w:firstLine="0" w:firstLineChars="0"/>
              <w:jc w:val="center"/>
              <w:rPr>
                <w:rFonts w:ascii="Times New Roman" w:hAnsi="Times New Roman" w:cs="Times New Roman"/>
                <w:kern w:val="0"/>
                <w:sz w:val="22"/>
              </w:rPr>
            </w:pPr>
          </w:p>
        </w:tc>
        <w:tc>
          <w:tcPr>
            <w:tcW w:w="1865" w:type="dxa"/>
            <w:tcBorders>
              <w:tl2br w:val="nil"/>
              <w:tr2bl w:val="nil"/>
            </w:tcBorders>
            <w:shd w:val="clear" w:color="auto" w:fill="FFFFFF"/>
            <w:vAlign w:val="center"/>
          </w:tcPr>
          <w:p w14:paraId="43CB2B2A">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产出成本</w:t>
            </w:r>
          </w:p>
        </w:tc>
        <w:tc>
          <w:tcPr>
            <w:tcW w:w="2533" w:type="dxa"/>
            <w:tcBorders>
              <w:tl2br w:val="nil"/>
              <w:tr2bl w:val="nil"/>
            </w:tcBorders>
            <w:shd w:val="clear" w:color="auto" w:fill="FFFFFF"/>
            <w:vAlign w:val="center"/>
          </w:tcPr>
          <w:p w14:paraId="72525EE1">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color w:val="000000"/>
                <w:kern w:val="0"/>
                <w:sz w:val="22"/>
                <w:highlight w:val="none"/>
              </w:rPr>
              <w:t>每人综合行政执法服装成本</w:t>
            </w:r>
          </w:p>
        </w:tc>
        <w:tc>
          <w:tcPr>
            <w:tcW w:w="844" w:type="dxa"/>
            <w:tcBorders>
              <w:tl2br w:val="nil"/>
              <w:tr2bl w:val="nil"/>
            </w:tcBorders>
            <w:shd w:val="clear" w:color="000000" w:fill="FFFFFF"/>
            <w:vAlign w:val="center"/>
          </w:tcPr>
          <w:p w14:paraId="7E068C9D">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10</w:t>
            </w:r>
          </w:p>
        </w:tc>
        <w:tc>
          <w:tcPr>
            <w:tcW w:w="845" w:type="dxa"/>
            <w:tcBorders>
              <w:tl2br w:val="nil"/>
              <w:tr2bl w:val="nil"/>
            </w:tcBorders>
            <w:shd w:val="clear" w:color="000000" w:fill="FFFFFF"/>
            <w:vAlign w:val="center"/>
          </w:tcPr>
          <w:p w14:paraId="2987F520">
            <w:pPr>
              <w:widowControl/>
              <w:ind w:firstLine="0" w:firstLineChars="0"/>
              <w:jc w:val="center"/>
              <w:rPr>
                <w:rFonts w:ascii="Times New Roman" w:hAnsi="Times New Roman" w:eastAsia="仿宋_GB2312" w:cs="Times New Roman"/>
                <w:kern w:val="0"/>
                <w:sz w:val="22"/>
                <w:szCs w:val="22"/>
                <w:highlight w:val="none"/>
                <w:lang w:val="en-US" w:eastAsia="zh-CN" w:bidi="ar-SA"/>
              </w:rPr>
            </w:pPr>
            <w:r>
              <w:rPr>
                <w:rFonts w:ascii="Times New Roman" w:hAnsi="Times New Roman" w:cs="Times New Roman"/>
                <w:kern w:val="0"/>
                <w:sz w:val="22"/>
                <w:highlight w:val="none"/>
              </w:rPr>
              <w:t>10</w:t>
            </w:r>
          </w:p>
        </w:tc>
        <w:tc>
          <w:tcPr>
            <w:tcW w:w="977" w:type="dxa"/>
            <w:tcBorders>
              <w:tl2br w:val="nil"/>
              <w:tr2bl w:val="nil"/>
            </w:tcBorders>
            <w:shd w:val="clear" w:color="000000" w:fill="FFFFFF"/>
            <w:vAlign w:val="center"/>
          </w:tcPr>
          <w:p w14:paraId="3124696B">
            <w:pPr>
              <w:widowControl/>
              <w:ind w:left="0" w:leftChars="0" w:firstLine="0" w:firstLineChars="0"/>
              <w:jc w:val="both"/>
              <w:rPr>
                <w:rFonts w:ascii="Times New Roman" w:hAnsi="Times New Roman" w:cs="Times New Roman"/>
                <w:kern w:val="0"/>
                <w:sz w:val="22"/>
                <w:highlight w:val="none"/>
              </w:rPr>
            </w:pPr>
            <w:r>
              <w:rPr>
                <w:rFonts w:hint="eastAsia" w:ascii="仿宋_GB2312" w:hAnsi="宋体" w:cs="宋体"/>
                <w:kern w:val="0"/>
                <w:sz w:val="24"/>
                <w:szCs w:val="24"/>
                <w:highlight w:val="none"/>
              </w:rPr>
              <w:t>100%</w:t>
            </w:r>
          </w:p>
        </w:tc>
      </w:tr>
      <w:tr w14:paraId="6058293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2" w:hRule="atLeast"/>
          <w:jc w:val="center"/>
        </w:trPr>
        <w:tc>
          <w:tcPr>
            <w:tcW w:w="1458" w:type="dxa"/>
            <w:vMerge w:val="restart"/>
            <w:tcBorders>
              <w:tl2br w:val="nil"/>
              <w:tr2bl w:val="nil"/>
            </w:tcBorders>
            <w:shd w:val="clear" w:color="auto" w:fill="FFFFFF"/>
            <w:vAlign w:val="center"/>
          </w:tcPr>
          <w:p w14:paraId="412D5722">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效益</w:t>
            </w:r>
          </w:p>
        </w:tc>
        <w:tc>
          <w:tcPr>
            <w:tcW w:w="1865" w:type="dxa"/>
            <w:vMerge w:val="restart"/>
            <w:tcBorders>
              <w:tl2br w:val="nil"/>
              <w:tr2bl w:val="nil"/>
            </w:tcBorders>
            <w:shd w:val="clear" w:color="auto" w:fill="FFFFFF"/>
            <w:vAlign w:val="center"/>
          </w:tcPr>
          <w:p w14:paraId="7D347F8A">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社会效益指标</w:t>
            </w:r>
          </w:p>
        </w:tc>
        <w:tc>
          <w:tcPr>
            <w:tcW w:w="2533" w:type="dxa"/>
            <w:tcBorders>
              <w:tl2br w:val="nil"/>
              <w:tr2bl w:val="nil"/>
            </w:tcBorders>
            <w:shd w:val="clear" w:color="auto" w:fill="FFFFFF"/>
            <w:vAlign w:val="center"/>
          </w:tcPr>
          <w:p w14:paraId="7FEF847E">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color w:val="000000"/>
                <w:kern w:val="0"/>
                <w:sz w:val="22"/>
                <w:highlight w:val="none"/>
                <w:lang w:eastAsia="zh-CN"/>
              </w:rPr>
              <w:t>严肃仪容仪表及执法风纪</w:t>
            </w:r>
          </w:p>
        </w:tc>
        <w:tc>
          <w:tcPr>
            <w:tcW w:w="844" w:type="dxa"/>
            <w:tcBorders>
              <w:tl2br w:val="nil"/>
              <w:tr2bl w:val="nil"/>
            </w:tcBorders>
            <w:shd w:val="clear" w:color="auto" w:fill="FFFFFF"/>
            <w:vAlign w:val="center"/>
          </w:tcPr>
          <w:p w14:paraId="57625A81">
            <w:pPr>
              <w:ind w:firstLine="220" w:firstLineChars="100"/>
              <w:rPr>
                <w:rFonts w:hint="default" w:ascii="Times New Roman" w:hAnsi="Times New Roman" w:eastAsia="仿宋_GB2312" w:cs="Times New Roman"/>
                <w:kern w:val="0"/>
                <w:sz w:val="22"/>
                <w:highlight w:val="none"/>
                <w:lang w:val="en-US" w:eastAsia="zh-CN"/>
              </w:rPr>
            </w:pPr>
            <w:r>
              <w:rPr>
                <w:rFonts w:hint="eastAsia" w:ascii="Times New Roman" w:hAnsi="Times New Roman" w:cs="Times New Roman"/>
                <w:kern w:val="0"/>
                <w:sz w:val="22"/>
                <w:highlight w:val="none"/>
                <w:lang w:val="en-US" w:eastAsia="zh-CN"/>
              </w:rPr>
              <w:t>10</w:t>
            </w:r>
          </w:p>
        </w:tc>
        <w:tc>
          <w:tcPr>
            <w:tcW w:w="845" w:type="dxa"/>
            <w:tcBorders>
              <w:tl2br w:val="nil"/>
              <w:tr2bl w:val="nil"/>
            </w:tcBorders>
            <w:shd w:val="clear" w:color="auto" w:fill="FFFFFF"/>
            <w:vAlign w:val="center"/>
          </w:tcPr>
          <w:p w14:paraId="5826D32B">
            <w:pPr>
              <w:ind w:firstLine="220" w:firstLineChars="100"/>
              <w:rPr>
                <w:rFonts w:hint="default" w:ascii="Times New Roman" w:hAnsi="Times New Roman" w:eastAsia="仿宋_GB2312" w:cs="Times New Roman"/>
                <w:kern w:val="0"/>
                <w:sz w:val="22"/>
                <w:szCs w:val="22"/>
                <w:highlight w:val="none"/>
                <w:lang w:val="en-US" w:eastAsia="zh-CN" w:bidi="ar-SA"/>
              </w:rPr>
            </w:pPr>
            <w:r>
              <w:rPr>
                <w:rFonts w:hint="eastAsia" w:ascii="Times New Roman" w:hAnsi="Times New Roman" w:cs="Times New Roman"/>
                <w:kern w:val="0"/>
                <w:sz w:val="22"/>
                <w:highlight w:val="none"/>
                <w:lang w:val="en-US" w:eastAsia="zh-CN"/>
              </w:rPr>
              <w:t>10</w:t>
            </w:r>
          </w:p>
        </w:tc>
        <w:tc>
          <w:tcPr>
            <w:tcW w:w="977" w:type="dxa"/>
            <w:tcBorders>
              <w:tl2br w:val="nil"/>
              <w:tr2bl w:val="nil"/>
            </w:tcBorders>
            <w:shd w:val="clear" w:color="auto" w:fill="FFFFFF"/>
            <w:vAlign w:val="center"/>
          </w:tcPr>
          <w:p w14:paraId="43102DE3">
            <w:pPr>
              <w:widowControl/>
              <w:ind w:left="0" w:leftChars="0" w:firstLine="0" w:firstLineChars="0"/>
              <w:jc w:val="both"/>
              <w:rPr>
                <w:rFonts w:ascii="Times New Roman" w:hAnsi="Times New Roman" w:cs="Times New Roman"/>
                <w:kern w:val="0"/>
                <w:sz w:val="22"/>
                <w:highlight w:val="none"/>
              </w:rPr>
            </w:pPr>
            <w:r>
              <w:rPr>
                <w:rFonts w:hint="eastAsia" w:ascii="仿宋_GB2312" w:hAnsi="宋体" w:cs="宋体"/>
                <w:kern w:val="0"/>
                <w:sz w:val="24"/>
                <w:szCs w:val="24"/>
                <w:highlight w:val="none"/>
              </w:rPr>
              <w:t>100%</w:t>
            </w:r>
          </w:p>
        </w:tc>
      </w:tr>
      <w:tr w14:paraId="190590D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2" w:hRule="atLeast"/>
          <w:jc w:val="center"/>
        </w:trPr>
        <w:tc>
          <w:tcPr>
            <w:tcW w:w="1458" w:type="dxa"/>
            <w:vMerge w:val="continue"/>
            <w:tcBorders>
              <w:tl2br w:val="nil"/>
              <w:tr2bl w:val="nil"/>
            </w:tcBorders>
            <w:shd w:val="clear" w:color="auto" w:fill="FFFFFF"/>
            <w:vAlign w:val="center"/>
          </w:tcPr>
          <w:p w14:paraId="09EEB07C">
            <w:pPr>
              <w:widowControl/>
              <w:ind w:firstLine="0" w:firstLineChars="0"/>
              <w:jc w:val="center"/>
            </w:pPr>
          </w:p>
        </w:tc>
        <w:tc>
          <w:tcPr>
            <w:tcW w:w="1865" w:type="dxa"/>
            <w:vMerge w:val="continue"/>
            <w:tcBorders>
              <w:tl2br w:val="nil"/>
              <w:tr2bl w:val="nil"/>
            </w:tcBorders>
            <w:shd w:val="clear" w:color="auto" w:fill="FFFFFF"/>
            <w:vAlign w:val="center"/>
          </w:tcPr>
          <w:p w14:paraId="11357AAC">
            <w:pPr>
              <w:widowControl/>
              <w:ind w:firstLine="0" w:firstLineChars="0"/>
              <w:jc w:val="center"/>
              <w:rPr>
                <w:highlight w:val="none"/>
              </w:rPr>
            </w:pPr>
          </w:p>
        </w:tc>
        <w:tc>
          <w:tcPr>
            <w:tcW w:w="2533" w:type="dxa"/>
            <w:tcBorders>
              <w:tl2br w:val="nil"/>
              <w:tr2bl w:val="nil"/>
            </w:tcBorders>
            <w:shd w:val="clear" w:color="auto" w:fill="FFFFFF"/>
            <w:vAlign w:val="center"/>
          </w:tcPr>
          <w:p w14:paraId="6A029AA9">
            <w:pPr>
              <w:widowControl/>
              <w:ind w:firstLine="0" w:firstLineChars="0"/>
              <w:jc w:val="center"/>
              <w:rPr>
                <w:rFonts w:hint="eastAsia" w:ascii="宋体" w:hAnsi="宋体" w:eastAsia="宋体" w:cs="宋体"/>
                <w:color w:val="000000"/>
                <w:kern w:val="0"/>
                <w:sz w:val="22"/>
                <w:highlight w:val="none"/>
              </w:rPr>
            </w:pPr>
            <w:r>
              <w:rPr>
                <w:rFonts w:hint="eastAsia" w:ascii="Times New Roman" w:hAnsi="Times New Roman" w:cs="Times New Roman"/>
                <w:color w:val="000000"/>
                <w:kern w:val="0"/>
                <w:sz w:val="22"/>
                <w:highlight w:val="none"/>
                <w:lang w:eastAsia="zh-CN"/>
              </w:rPr>
              <w:t>维护执法人员良好形象</w:t>
            </w:r>
          </w:p>
        </w:tc>
        <w:tc>
          <w:tcPr>
            <w:tcW w:w="844" w:type="dxa"/>
            <w:tcBorders>
              <w:tl2br w:val="nil"/>
              <w:tr2bl w:val="nil"/>
            </w:tcBorders>
            <w:shd w:val="clear" w:color="auto" w:fill="FFFFFF"/>
            <w:vAlign w:val="center"/>
          </w:tcPr>
          <w:p w14:paraId="04C5B09C">
            <w:pPr>
              <w:widowControl/>
              <w:ind w:firstLine="0" w:firstLineChars="0"/>
              <w:jc w:val="center"/>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10</w:t>
            </w:r>
          </w:p>
        </w:tc>
        <w:tc>
          <w:tcPr>
            <w:tcW w:w="845" w:type="dxa"/>
            <w:tcBorders>
              <w:tl2br w:val="nil"/>
              <w:tr2bl w:val="nil"/>
            </w:tcBorders>
            <w:shd w:val="clear" w:color="auto" w:fill="FFFFFF"/>
            <w:vAlign w:val="center"/>
          </w:tcPr>
          <w:p w14:paraId="6E052A7E">
            <w:pPr>
              <w:widowControl/>
              <w:ind w:firstLine="0" w:firstLineChars="0"/>
              <w:jc w:val="center"/>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highlight w:val="none"/>
                <w:lang w:val="en-US" w:eastAsia="zh-CN"/>
              </w:rPr>
              <w:t>10</w:t>
            </w:r>
          </w:p>
        </w:tc>
        <w:tc>
          <w:tcPr>
            <w:tcW w:w="977" w:type="dxa"/>
            <w:tcBorders>
              <w:tl2br w:val="nil"/>
              <w:tr2bl w:val="nil"/>
            </w:tcBorders>
            <w:shd w:val="clear" w:color="auto" w:fill="FFFFFF"/>
            <w:vAlign w:val="center"/>
          </w:tcPr>
          <w:p w14:paraId="7922D05D">
            <w:pPr>
              <w:widowControl/>
              <w:ind w:left="0" w:leftChars="0" w:firstLine="0" w:firstLineChars="0"/>
              <w:jc w:val="both"/>
              <w:rPr>
                <w:rFonts w:hint="eastAsia" w:ascii="宋体" w:hAnsi="宋体" w:eastAsia="宋体" w:cs="宋体"/>
                <w:color w:val="000000"/>
                <w:kern w:val="0"/>
                <w:sz w:val="22"/>
                <w:highlight w:val="none"/>
              </w:rPr>
            </w:pPr>
            <w:r>
              <w:rPr>
                <w:rFonts w:hint="eastAsia" w:ascii="仿宋_GB2312" w:hAnsi="宋体" w:cs="宋体"/>
                <w:kern w:val="0"/>
                <w:sz w:val="24"/>
                <w:szCs w:val="24"/>
                <w:highlight w:val="none"/>
              </w:rPr>
              <w:t>100%</w:t>
            </w:r>
          </w:p>
        </w:tc>
      </w:tr>
    </w:tbl>
    <w:p w14:paraId="40075324">
      <w:pPr>
        <w:pStyle w:val="3"/>
        <w:spacing w:before="0" w:after="0" w:line="560" w:lineRule="exact"/>
        <w:ind w:firstLine="643"/>
        <w:rPr>
          <w:rFonts w:ascii="Times New Roman" w:hAnsi="Times New Roman" w:eastAsia="楷体" w:cs="Times New Roman"/>
          <w:color w:val="000000"/>
          <w:kern w:val="0"/>
        </w:rPr>
      </w:pPr>
      <w:bookmarkStart w:id="31" w:name="_Toc24854"/>
      <w:bookmarkStart w:id="32" w:name="_Toc67911610"/>
      <w:r>
        <w:rPr>
          <w:rFonts w:ascii="Times New Roman" w:hAnsi="Times New Roman" w:eastAsia="楷体" w:cs="Times New Roman"/>
          <w:color w:val="000000"/>
          <w:kern w:val="0"/>
        </w:rPr>
        <w:t>（二）主要绩效</w:t>
      </w:r>
      <w:bookmarkEnd w:id="31"/>
      <w:bookmarkEnd w:id="32"/>
    </w:p>
    <w:p w14:paraId="08248CB3">
      <w:pPr>
        <w:spacing w:line="560" w:lineRule="exact"/>
        <w:ind w:firstLine="643"/>
        <w:rPr>
          <w:rFonts w:hint="eastAsia" w:ascii="Times New Roman" w:hAnsi="Times New Roman" w:cs="Times New Roman"/>
          <w:color w:val="auto"/>
          <w:spacing w:val="8"/>
          <w:sz w:val="32"/>
          <w:szCs w:val="32"/>
          <w:lang w:eastAsia="zh-CN"/>
        </w:rPr>
      </w:pPr>
      <w:r>
        <w:rPr>
          <w:rFonts w:hint="eastAsia" w:ascii="Times New Roman" w:hAnsi="Times New Roman" w:cs="Times New Roman"/>
          <w:spacing w:val="8"/>
          <w:sz w:val="32"/>
          <w:szCs w:val="32"/>
          <w:lang w:eastAsia="zh-CN"/>
        </w:rPr>
        <w:t>该项目资金区财政及时拨付，单位在此次评价期间内，有序完成设定目标的全部工作任务。具体完成情况：</w:t>
      </w:r>
      <w:r>
        <w:rPr>
          <w:rFonts w:hint="default" w:ascii="Times New Roman" w:hAnsi="Times New Roman" w:cs="Times New Roman"/>
          <w:spacing w:val="8"/>
          <w:sz w:val="32"/>
          <w:szCs w:val="32"/>
          <w:lang w:val="en-US" w:eastAsia="zh-CN"/>
        </w:rPr>
        <w:t>根据新市监办财</w:t>
      </w:r>
      <w:r>
        <w:rPr>
          <w:rFonts w:hint="eastAsia" w:ascii="Times New Roman" w:hAnsi="Times New Roman" w:cs="Times New Roman"/>
          <w:spacing w:val="8"/>
          <w:sz w:val="32"/>
          <w:szCs w:val="32"/>
          <w:lang w:val="en-US" w:eastAsia="zh-CN"/>
        </w:rPr>
        <w:t>[</w:t>
      </w:r>
      <w:r>
        <w:rPr>
          <w:rFonts w:hint="default" w:ascii="Times New Roman" w:hAnsi="Times New Roman" w:cs="Times New Roman"/>
          <w:spacing w:val="8"/>
          <w:sz w:val="32"/>
          <w:szCs w:val="32"/>
          <w:lang w:val="en-US" w:eastAsia="zh-CN"/>
        </w:rPr>
        <w:t>2021</w:t>
      </w:r>
      <w:r>
        <w:rPr>
          <w:rFonts w:hint="eastAsia" w:ascii="Times New Roman" w:hAnsi="Times New Roman" w:cs="Times New Roman"/>
          <w:spacing w:val="8"/>
          <w:sz w:val="32"/>
          <w:szCs w:val="32"/>
          <w:lang w:val="en-US" w:eastAsia="zh-CN"/>
        </w:rPr>
        <w:t>]</w:t>
      </w:r>
      <w:r>
        <w:rPr>
          <w:rFonts w:hint="default" w:ascii="Times New Roman" w:hAnsi="Times New Roman" w:cs="Times New Roman"/>
          <w:spacing w:val="8"/>
          <w:sz w:val="32"/>
          <w:szCs w:val="32"/>
          <w:lang w:val="en-US" w:eastAsia="zh-CN"/>
        </w:rPr>
        <w:t>4号文件指示</w:t>
      </w:r>
      <w:r>
        <w:rPr>
          <w:rFonts w:hint="eastAsia" w:ascii="Times New Roman" w:hAnsi="Times New Roman" w:cs="Times New Roman"/>
          <w:spacing w:val="8"/>
          <w:sz w:val="32"/>
          <w:szCs w:val="32"/>
          <w:lang w:val="en-US" w:eastAsia="zh-CN"/>
        </w:rPr>
        <w:t>，</w:t>
      </w:r>
      <w:r>
        <w:rPr>
          <w:rFonts w:hint="default" w:ascii="Times New Roman" w:hAnsi="Times New Roman" w:cs="Times New Roman"/>
          <w:spacing w:val="8"/>
          <w:sz w:val="32"/>
          <w:szCs w:val="32"/>
          <w:lang w:eastAsia="zh-CN"/>
        </w:rPr>
        <w:t>水区市场监督管理局经水区司法局核实有133人符合首次配发综合行政执法制式服装和标志的条件，为水区市场监督管理局133名执法人员配备了综合行政执法制式服装</w:t>
      </w:r>
      <w:r>
        <w:rPr>
          <w:rFonts w:hint="eastAsia" w:ascii="Times New Roman" w:hAnsi="Times New Roman" w:cs="Times New Roman"/>
          <w:spacing w:val="8"/>
          <w:sz w:val="32"/>
          <w:szCs w:val="32"/>
          <w:lang w:eastAsia="zh-CN"/>
        </w:rPr>
        <w:t>，综合行政执法服装配备率</w:t>
      </w:r>
      <w:r>
        <w:rPr>
          <w:rFonts w:hint="eastAsia" w:ascii="Times New Roman" w:hAnsi="Times New Roman" w:cs="Times New Roman"/>
          <w:spacing w:val="8"/>
          <w:sz w:val="32"/>
          <w:szCs w:val="32"/>
          <w:lang w:val="en-US" w:eastAsia="zh-CN"/>
        </w:rPr>
        <w:t>100%，</w:t>
      </w:r>
      <w:r>
        <w:rPr>
          <w:rFonts w:hint="eastAsia" w:ascii="Times New Roman" w:hAnsi="Times New Roman" w:cs="Times New Roman"/>
          <w:spacing w:val="8"/>
          <w:sz w:val="32"/>
          <w:szCs w:val="32"/>
          <w:lang w:eastAsia="zh-CN"/>
        </w:rPr>
        <w:t>每人综合行政执法服装成</w:t>
      </w:r>
      <w:r>
        <w:rPr>
          <w:rFonts w:hint="eastAsia" w:ascii="Times New Roman" w:hAnsi="Times New Roman" w:cs="Times New Roman"/>
          <w:spacing w:val="8"/>
          <w:sz w:val="32"/>
          <w:szCs w:val="32"/>
          <w:lang w:val="en-US" w:eastAsia="zh-CN"/>
        </w:rPr>
        <w:t>本2060元。</w:t>
      </w:r>
      <w:r>
        <w:rPr>
          <w:rFonts w:hint="eastAsia" w:ascii="Times New Roman" w:hAnsi="Times New Roman" w:cs="Times New Roman"/>
          <w:spacing w:val="8"/>
          <w:sz w:val="32"/>
          <w:szCs w:val="32"/>
          <w:lang w:eastAsia="zh-CN"/>
        </w:rPr>
        <w:t>水区市场监督管理局对服装质量进行全方位检查，服装采购验收合格率</w:t>
      </w:r>
      <w:r>
        <w:rPr>
          <w:rFonts w:hint="eastAsia" w:ascii="Times New Roman" w:hAnsi="Times New Roman" w:cs="Times New Roman"/>
          <w:spacing w:val="8"/>
          <w:sz w:val="32"/>
          <w:szCs w:val="32"/>
          <w:lang w:val="en-US" w:eastAsia="zh-CN"/>
        </w:rPr>
        <w:t>100%。</w:t>
      </w:r>
      <w:r>
        <w:rPr>
          <w:rFonts w:hint="eastAsia" w:ascii="Times New Roman" w:hAnsi="Times New Roman" w:cs="Times New Roman"/>
          <w:spacing w:val="8"/>
          <w:sz w:val="32"/>
          <w:szCs w:val="32"/>
          <w:lang w:eastAsia="zh-CN"/>
        </w:rPr>
        <w:t>我局执法人员</w:t>
      </w:r>
      <w:r>
        <w:rPr>
          <w:rFonts w:hint="eastAsia" w:ascii="Times New Roman" w:hAnsi="Times New Roman" w:cs="Times New Roman"/>
          <w:spacing w:val="8"/>
          <w:sz w:val="32"/>
          <w:szCs w:val="32"/>
          <w:lang w:val="en-US" w:eastAsia="zh-CN"/>
        </w:rPr>
        <w:t>2024年完成市场监督检查工作1593</w:t>
      </w:r>
      <w:r>
        <w:rPr>
          <w:rFonts w:hint="eastAsia" w:ascii="Times New Roman" w:hAnsi="Times New Roman" w:cs="Times New Roman"/>
          <w:color w:val="auto"/>
          <w:spacing w:val="8"/>
          <w:sz w:val="32"/>
          <w:szCs w:val="32"/>
          <w:lang w:val="en-US" w:eastAsia="zh-CN"/>
        </w:rPr>
        <w:t>户。通过规范行政执法人员统一着装、规范着装，持续加强市场监管队伍建设，推进规范文明执法，强化执法权威性和公信力，督促综合行政执法人员规范穿着制式服装、佩戴标志，严肃仪容仪表及执法风纪，提升公众认知与社会信任，塑造良好政府形象。</w:t>
      </w:r>
    </w:p>
    <w:p w14:paraId="648F6ED5">
      <w:pPr>
        <w:numPr>
          <w:ilvl w:val="0"/>
          <w:numId w:val="1"/>
        </w:numPr>
        <w:spacing w:line="560" w:lineRule="exact"/>
        <w:ind w:firstLine="640"/>
        <w:rPr>
          <w:rFonts w:ascii="Times New Roman" w:hAnsi="Times New Roman" w:eastAsia="黑体" w:cs="Times New Roman"/>
          <w:b w:val="0"/>
          <w:bCs w:val="0"/>
          <w:color w:val="000000"/>
          <w:spacing w:val="8"/>
          <w:kern w:val="0"/>
          <w:sz w:val="32"/>
          <w:szCs w:val="32"/>
        </w:rPr>
      </w:pPr>
      <w:bookmarkStart w:id="33" w:name="_Toc30399"/>
      <w:bookmarkStart w:id="34" w:name="_Toc67911611"/>
      <w:r>
        <w:rPr>
          <w:rFonts w:ascii="Times New Roman" w:hAnsi="Times New Roman" w:eastAsia="黑体" w:cs="Times New Roman"/>
          <w:b w:val="0"/>
          <w:bCs w:val="0"/>
          <w:color w:val="000000"/>
          <w:spacing w:val="8"/>
          <w:kern w:val="0"/>
          <w:sz w:val="32"/>
          <w:szCs w:val="32"/>
        </w:rPr>
        <w:t>绩效评价指标分析</w:t>
      </w:r>
      <w:bookmarkEnd w:id="33"/>
      <w:bookmarkEnd w:id="34"/>
      <w:bookmarkStart w:id="35" w:name="_Toc67911612"/>
      <w:bookmarkStart w:id="36" w:name="_Toc1030"/>
    </w:p>
    <w:p w14:paraId="016C39CC">
      <w:pPr>
        <w:pStyle w:val="3"/>
        <w:spacing w:before="0" w:after="0" w:line="560" w:lineRule="exact"/>
        <w:ind w:firstLine="643"/>
        <w:rPr>
          <w:rFonts w:ascii="Times New Roman" w:hAnsi="Times New Roman" w:eastAsia="楷体" w:cs="Times New Roman"/>
          <w:color w:val="000000"/>
          <w:kern w:val="0"/>
        </w:rPr>
      </w:pPr>
      <w:r>
        <w:rPr>
          <w:rFonts w:ascii="Times New Roman" w:hAnsi="Times New Roman" w:eastAsia="楷体" w:cs="Times New Roman"/>
          <w:color w:val="000000"/>
          <w:kern w:val="0"/>
        </w:rPr>
        <w:t>（一）项目决策情况</w:t>
      </w:r>
      <w:bookmarkEnd w:id="35"/>
      <w:bookmarkEnd w:id="36"/>
    </w:p>
    <w:p w14:paraId="5BE0935A">
      <w:pPr>
        <w:spacing w:line="560" w:lineRule="exact"/>
        <w:ind w:firstLine="672"/>
        <w:rPr>
          <w:rFonts w:hint="eastAsia" w:ascii="Times New Roman" w:hAnsi="Times New Roman" w:cs="Times New Roman"/>
          <w:spacing w:val="8"/>
          <w:sz w:val="32"/>
          <w:szCs w:val="32"/>
          <w:lang w:eastAsia="zh-CN"/>
        </w:rPr>
      </w:pPr>
      <w:r>
        <w:rPr>
          <w:rFonts w:hint="eastAsia" w:ascii="Times New Roman" w:hAnsi="Times New Roman" w:cs="Times New Roman"/>
          <w:spacing w:val="8"/>
          <w:sz w:val="32"/>
          <w:szCs w:val="32"/>
          <w:lang w:eastAsia="zh-CN"/>
        </w:rPr>
        <w:t>项目决策指标由3个二级指标和6个三级指标构成，权重为20分，实际得分</w:t>
      </w:r>
      <w:r>
        <w:rPr>
          <w:rFonts w:hint="eastAsia" w:ascii="Times New Roman" w:hAnsi="Times New Roman" w:cs="Times New Roman"/>
          <w:spacing w:val="8"/>
          <w:sz w:val="32"/>
          <w:szCs w:val="32"/>
          <w:lang w:val="en-US" w:eastAsia="zh-CN"/>
        </w:rPr>
        <w:t>20</w:t>
      </w:r>
      <w:r>
        <w:rPr>
          <w:rFonts w:hint="eastAsia" w:ascii="Times New Roman" w:hAnsi="Times New Roman" w:cs="Times New Roman"/>
          <w:spacing w:val="8"/>
          <w:sz w:val="32"/>
          <w:szCs w:val="32"/>
          <w:lang w:eastAsia="zh-CN"/>
        </w:rPr>
        <w:t>分。</w:t>
      </w:r>
    </w:p>
    <w:p w14:paraId="01B64A73">
      <w:pPr>
        <w:pStyle w:val="4"/>
        <w:spacing w:before="0" w:after="0" w:line="560" w:lineRule="exact"/>
        <w:ind w:firstLine="643"/>
        <w:rPr>
          <w:rFonts w:ascii="Times New Roman" w:hAnsi="Times New Roman" w:cs="Times New Roman"/>
        </w:rPr>
      </w:pPr>
      <w:bookmarkStart w:id="37" w:name="_Toc32411"/>
      <w:r>
        <w:rPr>
          <w:rFonts w:ascii="Times New Roman" w:hAnsi="Times New Roman" w:cs="Times New Roman"/>
        </w:rPr>
        <w:t>1. 项目立项</w:t>
      </w:r>
      <w:bookmarkEnd w:id="37"/>
    </w:p>
    <w:p w14:paraId="1042BD44">
      <w:pPr>
        <w:pStyle w:val="38"/>
        <w:spacing w:line="560" w:lineRule="exact"/>
        <w:ind w:firstLine="640"/>
        <w:rPr>
          <w:rFonts w:hint="eastAsia" w:ascii="Times New Roman" w:hAnsi="Times New Roman" w:cs="Times New Roman"/>
          <w:spacing w:val="8"/>
          <w:sz w:val="32"/>
          <w:szCs w:val="32"/>
          <w:lang w:eastAsia="zh-CN"/>
        </w:rPr>
      </w:pPr>
      <w:r>
        <w:rPr>
          <w:rFonts w:ascii="Times New Roman" w:hAnsi="Times New Roman" w:cs="Times New Roman"/>
          <w:b/>
          <w:bCs/>
          <w:sz w:val="32"/>
          <w:szCs w:val="32"/>
        </w:rPr>
        <w:t>立项依据充分性：</w:t>
      </w:r>
      <w:r>
        <w:rPr>
          <w:rFonts w:hint="eastAsia" w:ascii="Times New Roman" w:hAnsi="Times New Roman" w:cs="Times New Roman"/>
          <w:spacing w:val="8"/>
          <w:sz w:val="32"/>
          <w:szCs w:val="32"/>
          <w:lang w:eastAsia="zh-CN"/>
        </w:rPr>
        <w:t>项目立项符合水区政府要求，严格按照</w:t>
      </w:r>
      <w:r>
        <w:rPr>
          <w:rFonts w:hint="default" w:ascii="Times New Roman" w:hAnsi="Times New Roman" w:eastAsia="方正仿宋_GBK" w:cs="Times New Roman"/>
          <w:kern w:val="2"/>
          <w:sz w:val="32"/>
          <w:szCs w:val="32"/>
          <w:highlight w:val="none"/>
          <w:lang w:val="en-US" w:eastAsia="zh-CN" w:bidi="ar-SA"/>
        </w:rPr>
        <w:t>自治区财政厅、司法厅联合制定的新财规</w:t>
      </w:r>
      <w:r>
        <w:rPr>
          <w:rFonts w:hint="eastAsia" w:ascii="仿宋_GB2312" w:hAnsi="仿宋_GB2312" w:cs="仿宋_GB2312"/>
          <w:kern w:val="2"/>
          <w:sz w:val="32"/>
          <w:szCs w:val="32"/>
          <w:highlight w:val="none"/>
          <w:lang w:val="en-US" w:eastAsia="zh-CN" w:bidi="ar-SA"/>
        </w:rPr>
        <w:t>[</w:t>
      </w:r>
      <w:r>
        <w:rPr>
          <w:rFonts w:hint="default" w:ascii="Times New Roman" w:hAnsi="Times New Roman" w:eastAsia="方正仿宋_GBK" w:cs="Times New Roman"/>
          <w:kern w:val="2"/>
          <w:sz w:val="32"/>
          <w:szCs w:val="32"/>
          <w:highlight w:val="none"/>
          <w:lang w:val="en-US" w:eastAsia="zh-CN" w:bidi="ar-SA"/>
        </w:rPr>
        <w:t>2021</w:t>
      </w:r>
      <w:r>
        <w:rPr>
          <w:rFonts w:hint="eastAsia" w:ascii="仿宋_GB2312" w:hAnsi="仿宋_GB2312" w:cs="仿宋_GB2312"/>
          <w:kern w:val="2"/>
          <w:sz w:val="32"/>
          <w:szCs w:val="32"/>
          <w:highlight w:val="none"/>
          <w:lang w:val="en-US" w:eastAsia="zh-CN" w:bidi="ar-SA"/>
        </w:rPr>
        <w:t>]</w:t>
      </w:r>
      <w:r>
        <w:rPr>
          <w:rFonts w:hint="default" w:ascii="Times New Roman" w:hAnsi="Times New Roman" w:eastAsia="方正仿宋_GBK" w:cs="Times New Roman"/>
          <w:kern w:val="2"/>
          <w:sz w:val="32"/>
          <w:szCs w:val="32"/>
          <w:highlight w:val="none"/>
          <w:lang w:val="en-US" w:eastAsia="zh-CN" w:bidi="ar-SA"/>
        </w:rPr>
        <w:t>1号文件《新疆维吾尔自治区综合行政执法制式服装和标志管理实施办法》</w:t>
      </w:r>
      <w:r>
        <w:rPr>
          <w:rFonts w:hint="eastAsia" w:ascii="Times New Roman" w:hAnsi="Times New Roman" w:eastAsia="方正仿宋_GBK" w:cs="Times New Roman"/>
          <w:kern w:val="2"/>
          <w:sz w:val="32"/>
          <w:szCs w:val="32"/>
          <w:highlight w:val="none"/>
          <w:lang w:val="en-US" w:eastAsia="zh-CN" w:bidi="ar-SA"/>
        </w:rPr>
        <w:t>和</w:t>
      </w:r>
      <w:r>
        <w:rPr>
          <w:rFonts w:hint="eastAsia" w:ascii="Times New Roman" w:hAnsi="Times New Roman" w:cs="Times New Roman"/>
          <w:spacing w:val="8"/>
          <w:sz w:val="32"/>
          <w:szCs w:val="32"/>
          <w:lang w:val="en-US" w:eastAsia="zh-CN"/>
        </w:rPr>
        <w:t>《关于做好首次配发综合行政执法制式服装和标识有关工作的通知》（</w:t>
      </w:r>
      <w:r>
        <w:rPr>
          <w:rFonts w:hint="default" w:ascii="Times New Roman" w:hAnsi="Times New Roman" w:cs="Times New Roman"/>
          <w:spacing w:val="8"/>
          <w:sz w:val="32"/>
          <w:szCs w:val="32"/>
          <w:lang w:val="en-US" w:eastAsia="zh-CN"/>
        </w:rPr>
        <w:t>新市监办财</w:t>
      </w:r>
      <w:r>
        <w:rPr>
          <w:rFonts w:hint="eastAsia" w:ascii="Times New Roman" w:hAnsi="Times New Roman" w:cs="Times New Roman"/>
          <w:spacing w:val="8"/>
          <w:sz w:val="32"/>
          <w:szCs w:val="32"/>
          <w:lang w:val="en-US" w:eastAsia="zh-CN"/>
        </w:rPr>
        <w:t>[</w:t>
      </w:r>
      <w:r>
        <w:rPr>
          <w:rFonts w:hint="default" w:ascii="Times New Roman" w:hAnsi="Times New Roman" w:cs="Times New Roman"/>
          <w:spacing w:val="8"/>
          <w:sz w:val="32"/>
          <w:szCs w:val="32"/>
          <w:lang w:val="en-US" w:eastAsia="zh-CN"/>
        </w:rPr>
        <w:t>2021</w:t>
      </w:r>
      <w:r>
        <w:rPr>
          <w:rFonts w:hint="eastAsia" w:ascii="Times New Roman" w:hAnsi="Times New Roman" w:cs="Times New Roman"/>
          <w:spacing w:val="8"/>
          <w:sz w:val="32"/>
          <w:szCs w:val="32"/>
          <w:lang w:val="en-US" w:eastAsia="zh-CN"/>
        </w:rPr>
        <w:t>]</w:t>
      </w:r>
      <w:r>
        <w:rPr>
          <w:rFonts w:hint="default" w:ascii="Times New Roman" w:hAnsi="Times New Roman" w:cs="Times New Roman"/>
          <w:spacing w:val="8"/>
          <w:sz w:val="32"/>
          <w:szCs w:val="32"/>
          <w:lang w:val="en-US" w:eastAsia="zh-CN"/>
        </w:rPr>
        <w:t>4号</w:t>
      </w:r>
      <w:r>
        <w:rPr>
          <w:rFonts w:hint="eastAsia" w:ascii="Times New Roman" w:hAnsi="Times New Roman" w:cs="Times New Roman"/>
          <w:spacing w:val="8"/>
          <w:sz w:val="32"/>
          <w:szCs w:val="32"/>
          <w:lang w:val="en-US" w:eastAsia="zh-CN"/>
        </w:rPr>
        <w:t>）文件执行</w:t>
      </w:r>
      <w:r>
        <w:rPr>
          <w:rFonts w:hint="eastAsia" w:ascii="Times New Roman" w:hAnsi="Times New Roman" w:cs="Times New Roman"/>
          <w:spacing w:val="8"/>
          <w:sz w:val="32"/>
          <w:szCs w:val="32"/>
          <w:lang w:eastAsia="zh-CN"/>
        </w:rPr>
        <w:t>。同时，项目与部门职责范围相符，</w:t>
      </w:r>
      <w:r>
        <w:rPr>
          <w:rFonts w:hint="default" w:ascii="Times New Roman" w:hAnsi="Times New Roman" w:eastAsia="方正仿宋_GBK" w:cs="Times New Roman"/>
          <w:kern w:val="2"/>
          <w:sz w:val="32"/>
          <w:szCs w:val="32"/>
          <w:lang w:val="en-US" w:eastAsia="zh-CN" w:bidi="ar-SA"/>
        </w:rPr>
        <w:t>结合</w:t>
      </w:r>
      <w:r>
        <w:rPr>
          <w:rFonts w:hint="eastAsia" w:eastAsia="方正仿宋_GBK" w:cs="Times New Roman"/>
          <w:kern w:val="2"/>
          <w:sz w:val="32"/>
          <w:szCs w:val="32"/>
          <w:lang w:val="en-US" w:eastAsia="zh-CN" w:bidi="ar-SA"/>
        </w:rPr>
        <w:t>我</w:t>
      </w:r>
      <w:r>
        <w:rPr>
          <w:rFonts w:hint="default" w:ascii="Times New Roman" w:hAnsi="Times New Roman" w:eastAsia="方正仿宋_GBK" w:cs="Times New Roman"/>
          <w:kern w:val="2"/>
          <w:sz w:val="32"/>
          <w:szCs w:val="32"/>
          <w:lang w:val="en-US" w:eastAsia="zh-CN" w:bidi="ar-SA"/>
        </w:rPr>
        <w:t>区市场监管部门的实际状况，加快统一制式着装工作迫在眉睫。这不仅是提升队伍形象的重要举措，更是增强执法权威性和公信力的必然要求。</w:t>
      </w:r>
      <w:r>
        <w:rPr>
          <w:rFonts w:hint="eastAsia" w:ascii="Times New Roman" w:hAnsi="Times New Roman" w:cs="Times New Roman"/>
          <w:spacing w:val="8"/>
          <w:sz w:val="32"/>
          <w:szCs w:val="32"/>
          <w:lang w:eastAsia="zh-CN"/>
        </w:rPr>
        <w:t>此外，本项目属于区级财政拨款范围，符合区级财政资金支出责任划分原则。因此，立项依据充分，得4分。</w:t>
      </w:r>
    </w:p>
    <w:p w14:paraId="1B582851">
      <w:pPr>
        <w:spacing w:line="560" w:lineRule="exact"/>
        <w:ind w:firstLine="643"/>
        <w:rPr>
          <w:rFonts w:hint="eastAsia" w:ascii="Times New Roman" w:hAnsi="Times New Roman" w:cs="Times New Roman"/>
          <w:color w:val="auto"/>
          <w:spacing w:val="8"/>
          <w:sz w:val="32"/>
          <w:szCs w:val="32"/>
          <w:lang w:eastAsia="zh-CN"/>
        </w:rPr>
      </w:pPr>
      <w:r>
        <w:rPr>
          <w:rFonts w:ascii="Times New Roman" w:hAnsi="Times New Roman" w:cs="Times New Roman"/>
          <w:b/>
          <w:bCs/>
          <w:color w:val="auto"/>
          <w:sz w:val="32"/>
          <w:szCs w:val="32"/>
        </w:rPr>
        <w:t>立项程序规范性:</w:t>
      </w:r>
      <w:r>
        <w:rPr>
          <w:rFonts w:hint="eastAsia" w:ascii="Times New Roman" w:hAnsi="Times New Roman" w:cs="Times New Roman"/>
          <w:color w:val="auto"/>
          <w:sz w:val="32"/>
          <w:szCs w:val="32"/>
          <w:highlight w:val="none"/>
        </w:rPr>
        <w:t>项</w:t>
      </w:r>
      <w:r>
        <w:rPr>
          <w:rFonts w:hint="eastAsia" w:ascii="Times New Roman" w:hAnsi="Times New Roman" w:cs="Times New Roman"/>
          <w:color w:val="auto"/>
          <w:spacing w:val="8"/>
          <w:sz w:val="32"/>
          <w:szCs w:val="32"/>
          <w:lang w:eastAsia="zh-CN"/>
        </w:rPr>
        <w:t>目按照规定的项目管理程序申请设立，严格按照</w:t>
      </w:r>
      <w:r>
        <w:rPr>
          <w:rFonts w:hint="default" w:ascii="Times New Roman" w:hAnsi="Times New Roman" w:eastAsia="方正仿宋_GBK" w:cs="Times New Roman"/>
          <w:color w:val="auto"/>
          <w:kern w:val="2"/>
          <w:sz w:val="32"/>
          <w:szCs w:val="32"/>
          <w:lang w:val="en-US" w:eastAsia="zh-CN" w:bidi="ar-SA"/>
        </w:rPr>
        <w:t>《新疆维吾尔自治区综合行政执法制式服装和标志管理实施办法》</w:t>
      </w:r>
      <w:r>
        <w:rPr>
          <w:rFonts w:hint="eastAsia" w:eastAsia="方正仿宋_GBK" w:cs="Times New Roman"/>
          <w:color w:val="auto"/>
          <w:kern w:val="2"/>
          <w:sz w:val="32"/>
          <w:szCs w:val="32"/>
          <w:lang w:val="en-US" w:eastAsia="zh-CN" w:bidi="ar-SA"/>
        </w:rPr>
        <w:t>中</w:t>
      </w:r>
      <w:r>
        <w:rPr>
          <w:rFonts w:hint="default" w:ascii="Times New Roman" w:hAnsi="Times New Roman" w:eastAsia="方正仿宋_GBK" w:cs="Times New Roman"/>
          <w:color w:val="auto"/>
          <w:sz w:val="32"/>
          <w:szCs w:val="32"/>
        </w:rPr>
        <w:t>综合行政</w:t>
      </w:r>
      <w:r>
        <w:rPr>
          <w:rFonts w:hint="eastAsia" w:eastAsia="方正仿宋_GBK" w:cs="Times New Roman"/>
          <w:color w:val="auto"/>
          <w:sz w:val="32"/>
          <w:szCs w:val="32"/>
          <w:lang w:eastAsia="zh-CN"/>
        </w:rPr>
        <w:t>执</w:t>
      </w:r>
      <w:r>
        <w:rPr>
          <w:rFonts w:hint="default" w:ascii="Times New Roman" w:hAnsi="Times New Roman" w:eastAsia="方正仿宋_GBK" w:cs="Times New Roman"/>
          <w:color w:val="auto"/>
          <w:sz w:val="32"/>
          <w:szCs w:val="32"/>
        </w:rPr>
        <w:t>法制式服装和标志定额标准</w:t>
      </w:r>
      <w:r>
        <w:rPr>
          <w:rFonts w:hint="eastAsia"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为水区市场监督管理局133名执法人员配备了综合行政执法制式服装。</w:t>
      </w:r>
      <w:r>
        <w:rPr>
          <w:rFonts w:hint="eastAsia" w:ascii="Times New Roman" w:hAnsi="Times New Roman" w:cs="Times New Roman"/>
          <w:color w:val="auto"/>
          <w:spacing w:val="8"/>
          <w:sz w:val="32"/>
          <w:szCs w:val="32"/>
          <w:lang w:eastAsia="zh-CN"/>
        </w:rPr>
        <w:t>中标通知书、服装采购合同、服装验收单、支付凭证项目档案等材料符合相关要求，故立项程序规范，得 4 分。</w:t>
      </w:r>
    </w:p>
    <w:p w14:paraId="7F134AF3">
      <w:pPr>
        <w:spacing w:line="560" w:lineRule="exact"/>
        <w:ind w:firstLine="643"/>
        <w:rPr>
          <w:rFonts w:ascii="Times New Roman" w:hAnsi="Times New Roman" w:cs="Times New Roman"/>
          <w:b/>
          <w:bCs/>
          <w:color w:val="auto"/>
          <w:sz w:val="32"/>
          <w:szCs w:val="32"/>
        </w:rPr>
      </w:pPr>
      <w:r>
        <w:rPr>
          <w:rFonts w:ascii="Times New Roman" w:hAnsi="Times New Roman" w:cs="Times New Roman"/>
          <w:b/>
          <w:bCs/>
          <w:color w:val="auto"/>
          <w:sz w:val="32"/>
          <w:szCs w:val="32"/>
        </w:rPr>
        <w:t>综上，该指标满分8分，得分</w:t>
      </w:r>
      <w:r>
        <w:rPr>
          <w:rFonts w:hint="eastAsia" w:ascii="Times New Roman" w:hAnsi="Times New Roman" w:cs="Times New Roman"/>
          <w:b/>
          <w:bCs/>
          <w:color w:val="auto"/>
          <w:sz w:val="32"/>
          <w:szCs w:val="32"/>
          <w:lang w:val="en-US" w:eastAsia="zh-CN"/>
        </w:rPr>
        <w:t>8</w:t>
      </w:r>
      <w:r>
        <w:rPr>
          <w:rFonts w:ascii="Times New Roman" w:hAnsi="Times New Roman" w:cs="Times New Roman"/>
          <w:b/>
          <w:bCs/>
          <w:color w:val="auto"/>
          <w:sz w:val="32"/>
          <w:szCs w:val="32"/>
        </w:rPr>
        <w:t>分。</w:t>
      </w:r>
    </w:p>
    <w:p w14:paraId="04C58824">
      <w:pPr>
        <w:pStyle w:val="4"/>
        <w:spacing w:before="0" w:after="0" w:line="560" w:lineRule="exact"/>
        <w:ind w:firstLine="643"/>
        <w:rPr>
          <w:rFonts w:ascii="Times New Roman" w:hAnsi="Times New Roman" w:cs="Times New Roman"/>
          <w:color w:val="auto"/>
        </w:rPr>
      </w:pPr>
      <w:bookmarkStart w:id="38" w:name="_Toc16395"/>
      <w:r>
        <w:rPr>
          <w:rFonts w:ascii="Times New Roman" w:hAnsi="Times New Roman" w:cs="Times New Roman"/>
          <w:color w:val="auto"/>
        </w:rPr>
        <w:t>2. 绩效目标</w:t>
      </w:r>
      <w:bookmarkEnd w:id="38"/>
    </w:p>
    <w:p w14:paraId="0C184292">
      <w:pPr>
        <w:spacing w:line="560" w:lineRule="exact"/>
        <w:ind w:firstLine="643"/>
        <w:rPr>
          <w:rFonts w:hint="eastAsia" w:ascii="Times New Roman" w:hAnsi="Times New Roman" w:cs="Times New Roman"/>
          <w:color w:val="auto"/>
          <w:spacing w:val="8"/>
          <w:sz w:val="32"/>
          <w:szCs w:val="32"/>
          <w:lang w:eastAsia="zh-CN"/>
        </w:rPr>
      </w:pPr>
      <w:r>
        <w:rPr>
          <w:rFonts w:ascii="Times New Roman" w:hAnsi="Times New Roman" w:cs="Times New Roman"/>
          <w:b/>
          <w:bCs/>
          <w:color w:val="auto"/>
          <w:sz w:val="32"/>
          <w:szCs w:val="32"/>
        </w:rPr>
        <w:t>绩效目标</w:t>
      </w:r>
      <w:r>
        <w:rPr>
          <w:rFonts w:ascii="Times New Roman" w:hAnsi="Times New Roman" w:cs="Times New Roman"/>
          <w:b/>
          <w:bCs/>
          <w:color w:val="auto"/>
          <w:sz w:val="32"/>
          <w:szCs w:val="32"/>
          <w:highlight w:val="none"/>
        </w:rPr>
        <w:t>合理性：</w:t>
      </w:r>
      <w:r>
        <w:rPr>
          <w:rFonts w:hint="eastAsia" w:ascii="Times New Roman" w:hAnsi="Times New Roman" w:cs="Times New Roman"/>
          <w:color w:val="auto"/>
          <w:spacing w:val="8"/>
          <w:sz w:val="32"/>
          <w:szCs w:val="32"/>
          <w:lang w:eastAsia="zh-CN"/>
        </w:rPr>
        <w:t>本项目的绩效目标按照产出、成本、效益构建绩效评价指标，且具有明确性、可衡量性、可实现性、相关性和时限性等特点，能较为全面地反映本项目的产出和效益。</w:t>
      </w:r>
    </w:p>
    <w:p w14:paraId="671A5B26">
      <w:pPr>
        <w:spacing w:line="560" w:lineRule="exact"/>
        <w:ind w:firstLine="643"/>
        <w:rPr>
          <w:rFonts w:hint="eastAsia" w:ascii="Times New Roman" w:hAnsi="Times New Roman" w:cs="Times New Roman"/>
          <w:color w:val="auto"/>
          <w:spacing w:val="8"/>
          <w:sz w:val="32"/>
          <w:szCs w:val="32"/>
          <w:lang w:eastAsia="zh-CN"/>
        </w:rPr>
      </w:pPr>
      <w:r>
        <w:rPr>
          <w:rFonts w:hint="eastAsia" w:ascii="Times New Roman" w:hAnsi="Times New Roman" w:cs="Times New Roman"/>
          <w:color w:val="auto"/>
          <w:spacing w:val="8"/>
          <w:sz w:val="32"/>
          <w:szCs w:val="32"/>
          <w:lang w:eastAsia="zh-CN"/>
        </w:rPr>
        <w:t>我局购置</w:t>
      </w:r>
      <w:r>
        <w:rPr>
          <w:rFonts w:hint="default" w:ascii="Times New Roman" w:hAnsi="Times New Roman" w:eastAsia="方正仿宋_GBK" w:cs="Times New Roman"/>
          <w:color w:val="auto"/>
          <w:kern w:val="2"/>
          <w:sz w:val="32"/>
          <w:szCs w:val="32"/>
          <w:lang w:val="en-US" w:eastAsia="zh-CN" w:bidi="ar-SA"/>
        </w:rPr>
        <w:t>综合行政执法制式服装</w:t>
      </w:r>
      <w:r>
        <w:rPr>
          <w:rFonts w:hint="default" w:ascii="Times New Roman" w:hAnsi="Times New Roman" w:eastAsia="方正仿宋_GBK" w:cs="Times New Roman"/>
          <w:color w:val="auto"/>
          <w:kern w:val="2"/>
          <w:sz w:val="32"/>
          <w:szCs w:val="32"/>
          <w:highlight w:val="none"/>
          <w:lang w:val="en-US" w:eastAsia="zh-CN" w:bidi="ar-SA"/>
        </w:rPr>
        <w:t>与标志</w:t>
      </w:r>
      <w:r>
        <w:rPr>
          <w:rFonts w:hint="eastAsia" w:ascii="Times New Roman" w:hAnsi="Times New Roman" w:cs="Times New Roman"/>
          <w:color w:val="auto"/>
          <w:spacing w:val="8"/>
          <w:sz w:val="32"/>
          <w:szCs w:val="32"/>
          <w:lang w:eastAsia="zh-CN"/>
        </w:rPr>
        <w:t>项目已按照区财政局统一部署申报设立了绩效目标，并通过财政审核。项目绩效目标与实际工作内容基本相关，项目预期产出效益为严肃仪容仪表及执法风纪和维护执法人员良好形象，符合正常的业绩水平，与项目确定的投资额相匹配。故绩效目标合理性指标得分</w:t>
      </w:r>
      <w:r>
        <w:rPr>
          <w:rFonts w:hint="eastAsia" w:ascii="Times New Roman" w:hAnsi="Times New Roman" w:cs="Times New Roman"/>
          <w:color w:val="auto"/>
          <w:spacing w:val="8"/>
          <w:sz w:val="32"/>
          <w:szCs w:val="32"/>
          <w:lang w:val="en-US" w:eastAsia="zh-CN"/>
        </w:rPr>
        <w:t>3</w:t>
      </w:r>
      <w:r>
        <w:rPr>
          <w:rFonts w:hint="eastAsia" w:ascii="Times New Roman" w:hAnsi="Times New Roman" w:cs="Times New Roman"/>
          <w:color w:val="auto"/>
          <w:spacing w:val="8"/>
          <w:sz w:val="32"/>
          <w:szCs w:val="32"/>
          <w:lang w:eastAsia="zh-CN"/>
        </w:rPr>
        <w:t>分。</w:t>
      </w:r>
    </w:p>
    <w:p w14:paraId="17F384DD">
      <w:pPr>
        <w:autoSpaceDE w:val="0"/>
        <w:spacing w:line="560" w:lineRule="exact"/>
        <w:ind w:firstLine="643"/>
        <w:rPr>
          <w:rFonts w:hint="eastAsia" w:ascii="Times New Roman" w:hAnsi="Times New Roman" w:cs="Times New Roman"/>
          <w:color w:val="auto"/>
          <w:spacing w:val="8"/>
          <w:sz w:val="32"/>
          <w:szCs w:val="32"/>
          <w:lang w:eastAsia="zh-CN"/>
        </w:rPr>
      </w:pPr>
      <w:r>
        <w:rPr>
          <w:rFonts w:ascii="Times New Roman" w:hAnsi="Times New Roman" w:cs="Times New Roman"/>
          <w:b/>
          <w:color w:val="auto"/>
          <w:kern w:val="0"/>
          <w:sz w:val="32"/>
          <w:szCs w:val="32"/>
        </w:rPr>
        <w:t>绩效目标明确性：</w:t>
      </w:r>
      <w:r>
        <w:rPr>
          <w:rFonts w:hint="eastAsia" w:ascii="Times New Roman" w:hAnsi="Times New Roman" w:cs="Times New Roman"/>
          <w:color w:val="auto"/>
          <w:spacing w:val="8"/>
          <w:sz w:val="32"/>
          <w:szCs w:val="32"/>
          <w:lang w:eastAsia="zh-CN"/>
        </w:rPr>
        <w:t>目标已细化为具体的绩效指标，可通过数量指标完成市场监督检查工作、综合行政执法服装配备人数，质量指标服装采购验收合格率、综合行政执法服装配备率和成本指标每人综合行政执法服装成本予以量化，并具有确切的评价标准，且指标设定均与目标相关。各项指标均能在现实条件下收集到相关数据进行佐证，采购部门提供的中标通知书、采购合同和服装验收单，财务部门提供的发票和支付凭证，并与当年项目年度计划相对应，故绩效目标明确性指标得分</w:t>
      </w:r>
      <w:r>
        <w:rPr>
          <w:rFonts w:hint="eastAsia" w:ascii="Times New Roman" w:hAnsi="Times New Roman" w:cs="Times New Roman"/>
          <w:color w:val="auto"/>
          <w:spacing w:val="8"/>
          <w:sz w:val="32"/>
          <w:szCs w:val="32"/>
          <w:lang w:val="en-US" w:eastAsia="zh-CN"/>
        </w:rPr>
        <w:t>3</w:t>
      </w:r>
      <w:r>
        <w:rPr>
          <w:rFonts w:hint="eastAsia" w:ascii="Times New Roman" w:hAnsi="Times New Roman" w:cs="Times New Roman"/>
          <w:color w:val="auto"/>
          <w:spacing w:val="8"/>
          <w:sz w:val="32"/>
          <w:szCs w:val="32"/>
          <w:lang w:eastAsia="zh-CN"/>
        </w:rPr>
        <w:t>分。</w:t>
      </w:r>
    </w:p>
    <w:p w14:paraId="19807FF6">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综上，该指标满分6分，得分</w:t>
      </w:r>
      <w:r>
        <w:rPr>
          <w:rFonts w:hint="eastAsia" w:ascii="Times New Roman" w:hAnsi="Times New Roman" w:cs="Times New Roman"/>
          <w:b/>
          <w:kern w:val="0"/>
          <w:sz w:val="32"/>
          <w:szCs w:val="32"/>
          <w:lang w:val="en-US" w:eastAsia="zh-CN"/>
        </w:rPr>
        <w:t>6</w:t>
      </w:r>
      <w:r>
        <w:rPr>
          <w:rFonts w:ascii="Times New Roman" w:hAnsi="Times New Roman" w:cs="Times New Roman"/>
          <w:b/>
          <w:kern w:val="0"/>
          <w:sz w:val="32"/>
          <w:szCs w:val="32"/>
        </w:rPr>
        <w:t>分。</w:t>
      </w:r>
    </w:p>
    <w:p w14:paraId="3FAC130A">
      <w:pPr>
        <w:pStyle w:val="4"/>
        <w:spacing w:before="0" w:after="0" w:line="560" w:lineRule="exact"/>
        <w:ind w:firstLine="643"/>
        <w:rPr>
          <w:rFonts w:ascii="Times New Roman" w:hAnsi="Times New Roman" w:cs="Times New Roman"/>
        </w:rPr>
      </w:pPr>
      <w:bookmarkStart w:id="39" w:name="_Toc24290"/>
      <w:r>
        <w:rPr>
          <w:rFonts w:ascii="Times New Roman" w:hAnsi="Times New Roman" w:cs="Times New Roman"/>
        </w:rPr>
        <w:t>3. 资金投入</w:t>
      </w:r>
      <w:bookmarkEnd w:id="39"/>
    </w:p>
    <w:p w14:paraId="3D356F16">
      <w:pPr>
        <w:autoSpaceDE w:val="0"/>
        <w:spacing w:line="560" w:lineRule="exact"/>
        <w:ind w:firstLine="643"/>
        <w:rPr>
          <w:rFonts w:hint="eastAsia" w:ascii="Times New Roman" w:hAnsi="Times New Roman" w:cs="Times New Roman"/>
          <w:spacing w:val="8"/>
          <w:sz w:val="32"/>
          <w:szCs w:val="32"/>
          <w:lang w:eastAsia="zh-CN"/>
        </w:rPr>
      </w:pPr>
      <w:r>
        <w:rPr>
          <w:rFonts w:ascii="Times New Roman" w:hAnsi="Times New Roman" w:cs="Times New Roman"/>
          <w:b/>
          <w:kern w:val="0"/>
          <w:sz w:val="32"/>
          <w:szCs w:val="32"/>
        </w:rPr>
        <w:t>预算编制科学性：</w:t>
      </w:r>
      <w:r>
        <w:rPr>
          <w:rFonts w:hint="eastAsia" w:ascii="Times New Roman" w:hAnsi="Times New Roman" w:cs="Times New Roman"/>
          <w:spacing w:val="8"/>
          <w:sz w:val="32"/>
          <w:szCs w:val="32"/>
          <w:lang w:eastAsia="zh-CN"/>
        </w:rPr>
        <w:t>根据水财发</w:t>
      </w:r>
      <w:r>
        <w:rPr>
          <w:rFonts w:hint="eastAsia" w:ascii="Times New Roman" w:hAnsi="Times New Roman" w:cs="Times New Roman"/>
          <w:spacing w:val="8"/>
          <w:sz w:val="32"/>
          <w:szCs w:val="32"/>
          <w:lang w:val="en-US" w:eastAsia="zh-CN"/>
        </w:rPr>
        <w:t>[2024]20号文件精神，该经费为消化2023年暂付款项，经费按</w:t>
      </w:r>
      <w:r>
        <w:rPr>
          <w:rFonts w:hint="eastAsia" w:ascii="Times New Roman" w:hAnsi="Times New Roman" w:eastAsia="方正仿宋_GBK" w:cs="Times New Roman"/>
          <w:kern w:val="2"/>
          <w:sz w:val="32"/>
          <w:szCs w:val="32"/>
          <w:highlight w:val="none"/>
          <w:lang w:val="en-US" w:eastAsia="zh-CN" w:bidi="ar-SA"/>
        </w:rPr>
        <w:t>133名执法人员配备</w:t>
      </w:r>
      <w:r>
        <w:rPr>
          <w:rFonts w:hint="default" w:ascii="Times New Roman" w:hAnsi="Times New Roman" w:eastAsia="方正仿宋_GBK" w:cs="Times New Roman"/>
          <w:kern w:val="2"/>
          <w:sz w:val="32"/>
          <w:szCs w:val="32"/>
          <w:lang w:val="en-US" w:eastAsia="zh-CN" w:bidi="ar-SA"/>
        </w:rPr>
        <w:t>综合行政执法制式服装</w:t>
      </w:r>
      <w:r>
        <w:rPr>
          <w:rFonts w:hint="default" w:ascii="Times New Roman" w:hAnsi="Times New Roman" w:eastAsia="方正仿宋_GBK" w:cs="Times New Roman"/>
          <w:kern w:val="2"/>
          <w:sz w:val="32"/>
          <w:szCs w:val="32"/>
          <w:highlight w:val="none"/>
          <w:lang w:val="en-US" w:eastAsia="zh-CN" w:bidi="ar-SA"/>
        </w:rPr>
        <w:t>与标志</w:t>
      </w:r>
      <w:r>
        <w:rPr>
          <w:rFonts w:hint="eastAsia" w:ascii="Times New Roman" w:hAnsi="Times New Roman" w:eastAsia="方正仿宋_GBK" w:cs="Times New Roman"/>
          <w:kern w:val="2"/>
          <w:sz w:val="32"/>
          <w:szCs w:val="32"/>
          <w:highlight w:val="none"/>
          <w:lang w:val="en-US" w:eastAsia="zh-CN" w:bidi="ar-SA"/>
        </w:rPr>
        <w:t>所需</w:t>
      </w:r>
      <w:r>
        <w:rPr>
          <w:rFonts w:hint="eastAsia" w:ascii="Times New Roman" w:hAnsi="Times New Roman" w:cs="Times New Roman"/>
          <w:spacing w:val="8"/>
          <w:sz w:val="32"/>
          <w:szCs w:val="32"/>
          <w:lang w:val="en-US" w:eastAsia="zh-CN"/>
        </w:rPr>
        <w:t>金额总额拨付</w:t>
      </w:r>
      <w:r>
        <w:rPr>
          <w:rFonts w:hint="eastAsia" w:ascii="Times New Roman" w:hAnsi="Times New Roman" w:cs="Times New Roman"/>
          <w:spacing w:val="8"/>
          <w:sz w:val="32"/>
          <w:szCs w:val="32"/>
          <w:lang w:eastAsia="zh-CN"/>
        </w:rPr>
        <w:t>。故预算编制科学性指标得分3分。</w:t>
      </w:r>
    </w:p>
    <w:p w14:paraId="11C41AD5">
      <w:pPr>
        <w:spacing w:line="560" w:lineRule="exact"/>
        <w:ind w:firstLine="643"/>
        <w:rPr>
          <w:rFonts w:hint="eastAsia" w:ascii="Times New Roman" w:hAnsi="Times New Roman" w:cs="Times New Roman"/>
          <w:spacing w:val="8"/>
          <w:sz w:val="32"/>
          <w:szCs w:val="32"/>
          <w:lang w:eastAsia="zh-CN"/>
        </w:rPr>
      </w:pPr>
      <w:r>
        <w:rPr>
          <w:rFonts w:ascii="Times New Roman" w:hAnsi="Times New Roman" w:cs="Times New Roman"/>
          <w:b/>
          <w:bCs/>
          <w:sz w:val="32"/>
          <w:szCs w:val="32"/>
        </w:rPr>
        <w:t>资金分配合理性</w:t>
      </w:r>
      <w:r>
        <w:rPr>
          <w:rFonts w:ascii="Times New Roman" w:hAnsi="Times New Roman" w:cs="Times New Roman"/>
          <w:sz w:val="32"/>
          <w:szCs w:val="32"/>
        </w:rPr>
        <w:t>：</w:t>
      </w:r>
      <w:r>
        <w:rPr>
          <w:rFonts w:hint="eastAsia" w:ascii="Times New Roman" w:hAnsi="Times New Roman" w:cs="Times New Roman"/>
          <w:spacing w:val="8"/>
          <w:sz w:val="32"/>
          <w:szCs w:val="32"/>
          <w:lang w:eastAsia="zh-CN"/>
        </w:rPr>
        <w:t>根据水财发</w:t>
      </w:r>
      <w:r>
        <w:rPr>
          <w:rFonts w:hint="eastAsia" w:ascii="Times New Roman" w:hAnsi="Times New Roman" w:cs="Times New Roman"/>
          <w:spacing w:val="8"/>
          <w:sz w:val="32"/>
          <w:szCs w:val="32"/>
          <w:lang w:val="en-US" w:eastAsia="zh-CN"/>
        </w:rPr>
        <w:t>[2024]20号文件精神，经费依据</w:t>
      </w:r>
      <w:r>
        <w:rPr>
          <w:rFonts w:hint="default" w:ascii="Times New Roman" w:hAnsi="Times New Roman" w:eastAsia="方正仿宋_GBK" w:cs="Times New Roman"/>
          <w:kern w:val="2"/>
          <w:sz w:val="32"/>
          <w:szCs w:val="32"/>
          <w:highlight w:val="none"/>
          <w:lang w:val="en-US" w:eastAsia="zh-CN" w:bidi="ar-SA"/>
        </w:rPr>
        <w:t>新财规</w:t>
      </w:r>
      <w:r>
        <w:rPr>
          <w:rFonts w:hint="eastAsia" w:ascii="仿宋_GB2312" w:hAnsi="仿宋_GB2312" w:cs="仿宋_GB2312"/>
          <w:kern w:val="2"/>
          <w:sz w:val="32"/>
          <w:szCs w:val="32"/>
          <w:highlight w:val="none"/>
          <w:lang w:val="en-US" w:eastAsia="zh-CN" w:bidi="ar-SA"/>
        </w:rPr>
        <w:t>[</w:t>
      </w:r>
      <w:r>
        <w:rPr>
          <w:rFonts w:hint="default" w:ascii="Times New Roman" w:hAnsi="Times New Roman" w:eastAsia="方正仿宋_GBK" w:cs="Times New Roman"/>
          <w:kern w:val="2"/>
          <w:sz w:val="32"/>
          <w:szCs w:val="32"/>
          <w:highlight w:val="none"/>
          <w:lang w:val="en-US" w:eastAsia="zh-CN" w:bidi="ar-SA"/>
        </w:rPr>
        <w:t>2021</w:t>
      </w:r>
      <w:r>
        <w:rPr>
          <w:rFonts w:hint="eastAsia" w:ascii="仿宋_GB2312" w:hAnsi="仿宋_GB2312" w:cs="仿宋_GB2312"/>
          <w:kern w:val="2"/>
          <w:sz w:val="32"/>
          <w:szCs w:val="32"/>
          <w:highlight w:val="none"/>
          <w:lang w:val="en-US" w:eastAsia="zh-CN" w:bidi="ar-SA"/>
        </w:rPr>
        <w:t>]</w:t>
      </w:r>
      <w:r>
        <w:rPr>
          <w:rFonts w:hint="default" w:ascii="Times New Roman" w:hAnsi="Times New Roman" w:eastAsia="方正仿宋_GBK" w:cs="Times New Roman"/>
          <w:kern w:val="2"/>
          <w:sz w:val="32"/>
          <w:szCs w:val="32"/>
          <w:highlight w:val="none"/>
          <w:lang w:val="en-US" w:eastAsia="zh-CN" w:bidi="ar-SA"/>
        </w:rPr>
        <w:t>1号文件《新疆维吾尔自治区综合行政执法制式服装和标志管理实施办法》</w:t>
      </w:r>
      <w:r>
        <w:rPr>
          <w:rFonts w:hint="eastAsia" w:ascii="Times New Roman" w:hAnsi="Times New Roman" w:eastAsia="方正仿宋_GBK" w:cs="Times New Roman"/>
          <w:kern w:val="2"/>
          <w:sz w:val="32"/>
          <w:szCs w:val="32"/>
          <w:highlight w:val="none"/>
          <w:lang w:val="en-US" w:eastAsia="zh-CN" w:bidi="ar-SA"/>
        </w:rPr>
        <w:t>为133名执法人员配备</w:t>
      </w:r>
      <w:r>
        <w:rPr>
          <w:rFonts w:hint="default" w:ascii="Times New Roman" w:hAnsi="Times New Roman" w:eastAsia="方正仿宋_GBK" w:cs="Times New Roman"/>
          <w:kern w:val="2"/>
          <w:sz w:val="32"/>
          <w:szCs w:val="32"/>
          <w:lang w:val="en-US" w:eastAsia="zh-CN" w:bidi="ar-SA"/>
        </w:rPr>
        <w:t>综合行政执法制式服装</w:t>
      </w:r>
      <w:r>
        <w:rPr>
          <w:rFonts w:hint="default" w:ascii="Times New Roman" w:hAnsi="Times New Roman" w:eastAsia="方正仿宋_GBK" w:cs="Times New Roman"/>
          <w:kern w:val="2"/>
          <w:sz w:val="32"/>
          <w:szCs w:val="32"/>
          <w:highlight w:val="none"/>
          <w:lang w:val="en-US" w:eastAsia="zh-CN" w:bidi="ar-SA"/>
        </w:rPr>
        <w:t>与标志</w:t>
      </w:r>
      <w:r>
        <w:rPr>
          <w:rFonts w:hint="eastAsia" w:ascii="Times New Roman" w:hAnsi="Times New Roman" w:eastAsia="方正仿宋_GBK" w:cs="Times New Roman"/>
          <w:kern w:val="2"/>
          <w:sz w:val="32"/>
          <w:szCs w:val="32"/>
          <w:highlight w:val="none"/>
          <w:lang w:val="en-US" w:eastAsia="zh-CN" w:bidi="ar-SA"/>
        </w:rPr>
        <w:t>所需</w:t>
      </w:r>
      <w:r>
        <w:rPr>
          <w:rFonts w:hint="eastAsia" w:ascii="Times New Roman" w:hAnsi="Times New Roman" w:cs="Times New Roman"/>
          <w:spacing w:val="8"/>
          <w:sz w:val="32"/>
          <w:szCs w:val="32"/>
          <w:lang w:val="en-US" w:eastAsia="zh-CN"/>
        </w:rPr>
        <w:t>金额测算</w:t>
      </w:r>
      <w:r>
        <w:rPr>
          <w:rFonts w:hint="eastAsia" w:ascii="Times New Roman" w:hAnsi="Times New Roman" w:cs="Times New Roman"/>
          <w:spacing w:val="8"/>
          <w:sz w:val="32"/>
          <w:szCs w:val="32"/>
          <w:lang w:eastAsia="zh-CN"/>
        </w:rPr>
        <w:t>。故资金分配合理性指标得分3分。</w:t>
      </w:r>
    </w:p>
    <w:p w14:paraId="607B31CB">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综上，该指标满分6分，得分</w:t>
      </w:r>
      <w:r>
        <w:rPr>
          <w:rFonts w:hint="eastAsia" w:ascii="Times New Roman" w:hAnsi="Times New Roman" w:cs="Times New Roman"/>
          <w:b/>
          <w:kern w:val="0"/>
          <w:sz w:val="32"/>
          <w:szCs w:val="32"/>
          <w:lang w:val="en-US" w:eastAsia="zh-CN"/>
        </w:rPr>
        <w:t>6</w:t>
      </w:r>
      <w:r>
        <w:rPr>
          <w:rFonts w:ascii="Times New Roman" w:hAnsi="Times New Roman" w:cs="Times New Roman"/>
          <w:b/>
          <w:kern w:val="0"/>
          <w:sz w:val="32"/>
          <w:szCs w:val="32"/>
        </w:rPr>
        <w:t>分。</w:t>
      </w:r>
    </w:p>
    <w:p w14:paraId="5F3E4587">
      <w:pPr>
        <w:pStyle w:val="3"/>
        <w:spacing w:before="0" w:after="0" w:line="560" w:lineRule="exact"/>
        <w:ind w:firstLine="643"/>
        <w:rPr>
          <w:rFonts w:ascii="Times New Roman" w:hAnsi="Times New Roman" w:eastAsia="楷体" w:cs="Times New Roman"/>
          <w:color w:val="000000"/>
          <w:kern w:val="0"/>
        </w:rPr>
      </w:pPr>
      <w:bookmarkStart w:id="40" w:name="_Toc13530"/>
      <w:bookmarkStart w:id="41" w:name="_Toc67911613"/>
      <w:r>
        <w:rPr>
          <w:rFonts w:ascii="Times New Roman" w:hAnsi="Times New Roman" w:eastAsia="楷体" w:cs="Times New Roman"/>
          <w:color w:val="000000"/>
          <w:kern w:val="0"/>
        </w:rPr>
        <w:t>（二）项目过程情况</w:t>
      </w:r>
      <w:bookmarkEnd w:id="40"/>
      <w:bookmarkEnd w:id="41"/>
    </w:p>
    <w:p w14:paraId="1C5B1D02">
      <w:pPr>
        <w:spacing w:line="560" w:lineRule="exact"/>
        <w:ind w:firstLine="643"/>
        <w:rPr>
          <w:rFonts w:hint="eastAsia" w:ascii="Times New Roman" w:hAnsi="Times New Roman" w:cs="Times New Roman"/>
          <w:spacing w:val="8"/>
          <w:sz w:val="32"/>
          <w:szCs w:val="32"/>
          <w:lang w:eastAsia="zh-CN"/>
        </w:rPr>
      </w:pPr>
      <w:r>
        <w:rPr>
          <w:rFonts w:hint="eastAsia" w:ascii="Times New Roman" w:hAnsi="Times New Roman" w:cs="Times New Roman"/>
          <w:spacing w:val="8"/>
          <w:sz w:val="32"/>
          <w:szCs w:val="32"/>
          <w:lang w:eastAsia="zh-CN"/>
        </w:rPr>
        <w:t>项目过程指标由2个二级指标和5个三级指标构成，权重为20分，实际得分</w:t>
      </w:r>
      <w:r>
        <w:rPr>
          <w:rFonts w:hint="eastAsia" w:ascii="Times New Roman" w:hAnsi="Times New Roman" w:cs="Times New Roman"/>
          <w:spacing w:val="8"/>
          <w:sz w:val="32"/>
          <w:szCs w:val="32"/>
          <w:lang w:val="en-US" w:eastAsia="zh-CN"/>
        </w:rPr>
        <w:t>20</w:t>
      </w:r>
      <w:r>
        <w:rPr>
          <w:rFonts w:hint="eastAsia" w:ascii="Times New Roman" w:hAnsi="Times New Roman" w:cs="Times New Roman"/>
          <w:spacing w:val="8"/>
          <w:sz w:val="32"/>
          <w:szCs w:val="32"/>
          <w:lang w:eastAsia="zh-CN"/>
        </w:rPr>
        <w:t>分。</w:t>
      </w:r>
    </w:p>
    <w:p w14:paraId="1E760B3A">
      <w:pPr>
        <w:pStyle w:val="4"/>
        <w:spacing w:before="0" w:after="0" w:line="560" w:lineRule="exact"/>
        <w:ind w:firstLine="643"/>
        <w:rPr>
          <w:rFonts w:ascii="Times New Roman" w:hAnsi="Times New Roman" w:cs="Times New Roman"/>
        </w:rPr>
      </w:pPr>
      <w:bookmarkStart w:id="42" w:name="_Toc18346"/>
      <w:r>
        <w:rPr>
          <w:rFonts w:ascii="Times New Roman" w:hAnsi="Times New Roman" w:cs="Times New Roman"/>
        </w:rPr>
        <w:t>1. 资金管理</w:t>
      </w:r>
      <w:bookmarkEnd w:id="42"/>
    </w:p>
    <w:p w14:paraId="1D7956BC">
      <w:pPr>
        <w:spacing w:line="560" w:lineRule="exact"/>
        <w:ind w:firstLine="643"/>
        <w:rPr>
          <w:rFonts w:hint="eastAsia" w:ascii="Times New Roman" w:hAnsi="Times New Roman" w:cs="Times New Roman"/>
          <w:spacing w:val="8"/>
          <w:sz w:val="32"/>
          <w:szCs w:val="32"/>
          <w:lang w:eastAsia="zh-CN"/>
        </w:rPr>
      </w:pPr>
      <w:r>
        <w:rPr>
          <w:rFonts w:ascii="Times New Roman" w:hAnsi="Times New Roman" w:cs="Times New Roman"/>
          <w:b/>
          <w:bCs/>
          <w:sz w:val="32"/>
          <w:szCs w:val="32"/>
        </w:rPr>
        <w:t>资金到位率：</w:t>
      </w:r>
      <w:r>
        <w:rPr>
          <w:rFonts w:hint="eastAsia" w:ascii="Times New Roman" w:hAnsi="Times New Roman" w:cs="Times New Roman"/>
          <w:spacing w:val="8"/>
          <w:sz w:val="32"/>
          <w:szCs w:val="32"/>
          <w:lang w:eastAsia="zh-CN"/>
        </w:rPr>
        <w:t>该项目资金经水财发</w:t>
      </w:r>
      <w:r>
        <w:rPr>
          <w:rFonts w:hint="eastAsia" w:ascii="Times New Roman" w:hAnsi="Times New Roman" w:cs="Times New Roman"/>
          <w:spacing w:val="8"/>
          <w:sz w:val="32"/>
          <w:szCs w:val="32"/>
          <w:lang w:val="en-US" w:eastAsia="zh-CN"/>
        </w:rPr>
        <w:t>[2024]20号文件批复，为年初预算，于2024年3月到位，资金到位率为100%</w:t>
      </w:r>
      <w:r>
        <w:rPr>
          <w:rFonts w:hint="eastAsia" w:ascii="Times New Roman" w:hAnsi="Times New Roman" w:cs="Times New Roman"/>
          <w:spacing w:val="8"/>
          <w:sz w:val="32"/>
          <w:szCs w:val="32"/>
          <w:lang w:eastAsia="zh-CN"/>
        </w:rPr>
        <w:t>。故资金到位率指标得分</w:t>
      </w:r>
      <w:r>
        <w:rPr>
          <w:rFonts w:hint="eastAsia" w:ascii="Times New Roman" w:hAnsi="Times New Roman" w:cs="Times New Roman"/>
          <w:spacing w:val="8"/>
          <w:sz w:val="32"/>
          <w:szCs w:val="32"/>
          <w:lang w:val="en-US" w:eastAsia="zh-CN"/>
        </w:rPr>
        <w:t>5</w:t>
      </w:r>
      <w:r>
        <w:rPr>
          <w:rFonts w:hint="eastAsia" w:ascii="Times New Roman" w:hAnsi="Times New Roman" w:cs="Times New Roman"/>
          <w:spacing w:val="8"/>
          <w:sz w:val="32"/>
          <w:szCs w:val="32"/>
          <w:lang w:eastAsia="zh-CN"/>
        </w:rPr>
        <w:t>分。</w:t>
      </w:r>
    </w:p>
    <w:p w14:paraId="005806A8">
      <w:pPr>
        <w:spacing w:line="560" w:lineRule="exact"/>
        <w:ind w:firstLine="643"/>
        <w:rPr>
          <w:rFonts w:hint="eastAsia" w:ascii="Times New Roman" w:hAnsi="Times New Roman" w:cs="Times New Roman"/>
          <w:spacing w:val="8"/>
          <w:sz w:val="32"/>
          <w:szCs w:val="32"/>
          <w:lang w:eastAsia="zh-CN"/>
        </w:rPr>
      </w:pPr>
      <w:r>
        <w:rPr>
          <w:rFonts w:ascii="Times New Roman" w:hAnsi="Times New Roman" w:cs="Times New Roman"/>
          <w:b/>
          <w:bCs/>
          <w:sz w:val="32"/>
          <w:szCs w:val="32"/>
          <w:highlight w:val="none"/>
        </w:rPr>
        <w:t>预算执行率：</w:t>
      </w:r>
      <w:r>
        <w:rPr>
          <w:rFonts w:hint="eastAsia" w:ascii="Times New Roman" w:hAnsi="Times New Roman" w:cs="Times New Roman"/>
          <w:spacing w:val="8"/>
          <w:sz w:val="32"/>
          <w:szCs w:val="32"/>
          <w:lang w:eastAsia="zh-CN"/>
        </w:rPr>
        <w:t>项目为年初预算，共</w:t>
      </w:r>
      <w:r>
        <w:rPr>
          <w:rFonts w:hint="eastAsia" w:ascii="Times New Roman" w:hAnsi="Times New Roman" w:cs="Times New Roman"/>
          <w:spacing w:val="8"/>
          <w:sz w:val="32"/>
          <w:szCs w:val="32"/>
          <w:lang w:val="en-US" w:eastAsia="zh-CN"/>
        </w:rPr>
        <w:t>安排预算27.45万元，资金执行金额27.45万元，预算执行率为100%</w:t>
      </w:r>
      <w:r>
        <w:rPr>
          <w:rFonts w:hint="eastAsia" w:ascii="Times New Roman" w:hAnsi="Times New Roman" w:cs="Times New Roman"/>
          <w:spacing w:val="8"/>
          <w:sz w:val="32"/>
          <w:szCs w:val="32"/>
          <w:lang w:eastAsia="zh-CN"/>
        </w:rPr>
        <w:t>。故预算执行率得分为</w:t>
      </w:r>
      <w:r>
        <w:rPr>
          <w:rFonts w:hint="eastAsia" w:ascii="Times New Roman" w:hAnsi="Times New Roman" w:cs="Times New Roman"/>
          <w:spacing w:val="8"/>
          <w:sz w:val="32"/>
          <w:szCs w:val="32"/>
          <w:lang w:val="en-US" w:eastAsia="zh-CN"/>
        </w:rPr>
        <w:t>5</w:t>
      </w:r>
      <w:r>
        <w:rPr>
          <w:rFonts w:hint="eastAsia" w:ascii="Times New Roman" w:hAnsi="Times New Roman" w:cs="Times New Roman"/>
          <w:spacing w:val="8"/>
          <w:sz w:val="32"/>
          <w:szCs w:val="32"/>
          <w:lang w:eastAsia="zh-CN"/>
        </w:rPr>
        <w:t>分。</w:t>
      </w:r>
    </w:p>
    <w:p w14:paraId="4630E90B">
      <w:pPr>
        <w:spacing w:line="560" w:lineRule="exact"/>
        <w:ind w:firstLine="643"/>
        <w:rPr>
          <w:rFonts w:hint="eastAsia" w:ascii="Times New Roman" w:hAnsi="Times New Roman" w:cs="Times New Roman"/>
          <w:spacing w:val="8"/>
          <w:sz w:val="32"/>
          <w:szCs w:val="32"/>
          <w:lang w:eastAsia="zh-CN"/>
        </w:rPr>
      </w:pPr>
      <w:r>
        <w:rPr>
          <w:rFonts w:ascii="Times New Roman" w:hAnsi="Times New Roman" w:cs="Times New Roman"/>
          <w:b/>
          <w:bCs/>
          <w:sz w:val="32"/>
          <w:szCs w:val="32"/>
        </w:rPr>
        <w:t>资金使用合规性：</w:t>
      </w:r>
      <w:r>
        <w:rPr>
          <w:rFonts w:hint="eastAsia" w:ascii="Times New Roman" w:hAnsi="Times New Roman" w:cs="Times New Roman"/>
          <w:spacing w:val="8"/>
          <w:sz w:val="32"/>
          <w:szCs w:val="32"/>
          <w:lang w:eastAsia="zh-CN"/>
        </w:rPr>
        <w:t>本项目资金的使用符合国家财经法规和我局财务管理制度以及项目资金管理办法的规定。同时，资金的拨付有完成审批程序，支付资金需要办公室提供中标通知书、服装采购合同、服装验收单，经局领导申请，通过财务部门支付款项，符合项目预算批复或合同规定的用途，不存在截留、挤占、挪用、虚列支出等情况。故资金使用合规性得分为3分。</w:t>
      </w:r>
    </w:p>
    <w:p w14:paraId="720A2680">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综上，该指标满分13分，得分</w:t>
      </w:r>
      <w:r>
        <w:rPr>
          <w:rFonts w:hint="eastAsia" w:ascii="Times New Roman" w:hAnsi="Times New Roman" w:cs="Times New Roman"/>
          <w:b/>
          <w:kern w:val="0"/>
          <w:sz w:val="32"/>
          <w:szCs w:val="32"/>
          <w:lang w:val="en-US" w:eastAsia="zh-CN"/>
        </w:rPr>
        <w:t>13</w:t>
      </w:r>
      <w:r>
        <w:rPr>
          <w:rFonts w:ascii="Times New Roman" w:hAnsi="Times New Roman" w:cs="Times New Roman"/>
          <w:b/>
          <w:kern w:val="0"/>
          <w:sz w:val="32"/>
          <w:szCs w:val="32"/>
        </w:rPr>
        <w:t>分。</w:t>
      </w:r>
    </w:p>
    <w:p w14:paraId="7567B7DA">
      <w:pPr>
        <w:pStyle w:val="4"/>
        <w:spacing w:before="0" w:after="0" w:line="560" w:lineRule="exact"/>
        <w:ind w:firstLine="643"/>
        <w:rPr>
          <w:rFonts w:ascii="Times New Roman" w:hAnsi="Times New Roman" w:cs="Times New Roman"/>
        </w:rPr>
      </w:pPr>
      <w:bookmarkStart w:id="43" w:name="_Toc3203"/>
      <w:r>
        <w:rPr>
          <w:rFonts w:ascii="Times New Roman" w:hAnsi="Times New Roman" w:cs="Times New Roman"/>
        </w:rPr>
        <w:t>2. 组织实施</w:t>
      </w:r>
      <w:bookmarkEnd w:id="43"/>
    </w:p>
    <w:p w14:paraId="4AE6C02B">
      <w:pPr>
        <w:spacing w:line="560" w:lineRule="exact"/>
        <w:ind w:firstLine="643"/>
        <w:rPr>
          <w:rFonts w:hint="eastAsia" w:ascii="Times New Roman" w:hAnsi="Times New Roman" w:cs="Times New Roman"/>
          <w:spacing w:val="8"/>
          <w:sz w:val="32"/>
          <w:szCs w:val="32"/>
          <w:lang w:eastAsia="zh-CN"/>
        </w:rPr>
      </w:pPr>
      <w:r>
        <w:rPr>
          <w:rFonts w:ascii="Times New Roman" w:hAnsi="Times New Roman" w:cs="Times New Roman"/>
          <w:b/>
          <w:bCs/>
          <w:sz w:val="32"/>
          <w:szCs w:val="32"/>
        </w:rPr>
        <w:t>管理制度健全性</w:t>
      </w:r>
      <w:r>
        <w:rPr>
          <w:rFonts w:ascii="Times New Roman" w:hAnsi="Times New Roman" w:cs="Times New Roman"/>
          <w:sz w:val="32"/>
          <w:szCs w:val="32"/>
        </w:rPr>
        <w:t>：</w:t>
      </w:r>
      <w:r>
        <w:rPr>
          <w:rFonts w:hint="eastAsia" w:ascii="Times New Roman" w:hAnsi="Times New Roman" w:cs="Times New Roman"/>
          <w:spacing w:val="8"/>
          <w:sz w:val="32"/>
          <w:szCs w:val="32"/>
          <w:lang w:eastAsia="zh-CN"/>
        </w:rPr>
        <w:t>乌鲁木齐市水磨沟区市场监督管理局已制定相应的财务预、决算管理制度、财务收支业务管理办法、乌鲁木齐市水磨沟区市场监督管理局采购管理办法、项目支出绩效评价管理办法，且制度合法、合规、完整，为项目顺利实施提供重要保障。故管理制度健全性得分为3分。</w:t>
      </w:r>
    </w:p>
    <w:p w14:paraId="728D36E6">
      <w:pPr>
        <w:spacing w:line="560" w:lineRule="exact"/>
        <w:ind w:firstLine="643"/>
        <w:rPr>
          <w:rFonts w:hint="eastAsia" w:ascii="Times New Roman" w:hAnsi="Times New Roman" w:cs="Times New Roman"/>
          <w:spacing w:val="8"/>
          <w:sz w:val="32"/>
          <w:szCs w:val="32"/>
          <w:lang w:eastAsia="zh-CN"/>
        </w:rPr>
      </w:pPr>
      <w:r>
        <w:rPr>
          <w:rFonts w:ascii="Times New Roman" w:hAnsi="Times New Roman" w:cs="Times New Roman"/>
          <w:b/>
          <w:bCs/>
          <w:sz w:val="32"/>
          <w:szCs w:val="32"/>
        </w:rPr>
        <w:t>制度执行有效性：</w:t>
      </w:r>
      <w:r>
        <w:rPr>
          <w:rFonts w:hint="eastAsia" w:ascii="Times New Roman" w:hAnsi="Times New Roman" w:cs="Times New Roman"/>
          <w:spacing w:val="8"/>
          <w:sz w:val="32"/>
          <w:szCs w:val="32"/>
          <w:lang w:eastAsia="zh-CN"/>
        </w:rPr>
        <w:t>根据评价小组核查情况，乌鲁木齐市水磨沟区市场监督管理局严格遵守相关法律法规和相关管理规定，项目调整及支出调整手续完备，整体管理合理有序，项目完成后，及时将会计凭证、中标通知书、采购合同、发票等相关资料分类归档，制度执行有效。故制度执行有效性指标得分4分。</w:t>
      </w:r>
    </w:p>
    <w:p w14:paraId="7312B859">
      <w:pPr>
        <w:autoSpaceDE w:val="0"/>
        <w:spacing w:line="560" w:lineRule="exact"/>
        <w:ind w:firstLine="643"/>
        <w:rPr>
          <w:rFonts w:ascii="Times New Roman" w:hAnsi="Times New Roman" w:cs="Times New Roman"/>
          <w:b/>
          <w:kern w:val="0"/>
          <w:sz w:val="32"/>
          <w:szCs w:val="32"/>
        </w:rPr>
      </w:pPr>
      <w:bookmarkStart w:id="44" w:name="_Hlk67670213"/>
      <w:r>
        <w:rPr>
          <w:rFonts w:ascii="Times New Roman" w:hAnsi="Times New Roman" w:cs="Times New Roman"/>
          <w:b/>
          <w:kern w:val="0"/>
          <w:sz w:val="32"/>
          <w:szCs w:val="32"/>
        </w:rPr>
        <w:t>综上，该指标满分7分，得分7分。</w:t>
      </w:r>
      <w:bookmarkEnd w:id="44"/>
    </w:p>
    <w:p w14:paraId="35996E06">
      <w:pPr>
        <w:pStyle w:val="3"/>
        <w:spacing w:before="0" w:after="0" w:line="560" w:lineRule="exact"/>
        <w:ind w:firstLine="643"/>
        <w:rPr>
          <w:rFonts w:ascii="Times New Roman" w:hAnsi="Times New Roman" w:eastAsia="楷体" w:cs="Times New Roman"/>
          <w:color w:val="000000"/>
          <w:kern w:val="0"/>
        </w:rPr>
      </w:pPr>
      <w:bookmarkStart w:id="45" w:name="_Toc67911614"/>
      <w:bookmarkStart w:id="46" w:name="_Toc21456"/>
      <w:r>
        <w:rPr>
          <w:rFonts w:ascii="Times New Roman" w:hAnsi="Times New Roman" w:eastAsia="楷体" w:cs="Times New Roman"/>
          <w:color w:val="000000"/>
          <w:kern w:val="0"/>
        </w:rPr>
        <w:t>（三）项目产出情况</w:t>
      </w:r>
      <w:bookmarkEnd w:id="45"/>
      <w:bookmarkEnd w:id="46"/>
    </w:p>
    <w:p w14:paraId="1B862E3E">
      <w:pPr>
        <w:spacing w:line="560" w:lineRule="exact"/>
        <w:ind w:firstLine="643"/>
        <w:rPr>
          <w:rFonts w:hint="eastAsia" w:ascii="Times New Roman" w:hAnsi="Times New Roman" w:cs="Times New Roman"/>
          <w:spacing w:val="8"/>
          <w:sz w:val="32"/>
          <w:szCs w:val="32"/>
          <w:lang w:eastAsia="zh-CN"/>
        </w:rPr>
      </w:pPr>
      <w:r>
        <w:rPr>
          <w:rFonts w:hint="eastAsia" w:ascii="Times New Roman" w:hAnsi="Times New Roman" w:cs="Times New Roman"/>
          <w:spacing w:val="8"/>
          <w:sz w:val="32"/>
          <w:szCs w:val="32"/>
          <w:lang w:eastAsia="zh-CN"/>
        </w:rPr>
        <w:t>项目产出指标由4个二级指标和</w:t>
      </w:r>
      <w:r>
        <w:rPr>
          <w:rFonts w:hint="eastAsia" w:ascii="Times New Roman" w:hAnsi="Times New Roman" w:cs="Times New Roman"/>
          <w:spacing w:val="8"/>
          <w:sz w:val="32"/>
          <w:szCs w:val="32"/>
          <w:lang w:val="en-US" w:eastAsia="zh-CN"/>
        </w:rPr>
        <w:t>5</w:t>
      </w:r>
      <w:r>
        <w:rPr>
          <w:rFonts w:hint="eastAsia" w:ascii="Times New Roman" w:hAnsi="Times New Roman" w:cs="Times New Roman"/>
          <w:spacing w:val="8"/>
          <w:sz w:val="32"/>
          <w:szCs w:val="32"/>
          <w:lang w:eastAsia="zh-CN"/>
        </w:rPr>
        <w:t>个三级指标构成，权重为40分，实际得分</w:t>
      </w:r>
      <w:r>
        <w:rPr>
          <w:rFonts w:hint="eastAsia" w:ascii="Times New Roman" w:hAnsi="Times New Roman" w:cs="Times New Roman"/>
          <w:spacing w:val="8"/>
          <w:sz w:val="32"/>
          <w:szCs w:val="32"/>
          <w:lang w:val="en-US" w:eastAsia="zh-CN"/>
        </w:rPr>
        <w:t>40</w:t>
      </w:r>
      <w:r>
        <w:rPr>
          <w:rFonts w:hint="eastAsia" w:ascii="Times New Roman" w:hAnsi="Times New Roman" w:cs="Times New Roman"/>
          <w:spacing w:val="8"/>
          <w:sz w:val="32"/>
          <w:szCs w:val="32"/>
          <w:lang w:eastAsia="zh-CN"/>
        </w:rPr>
        <w:t>分。</w:t>
      </w:r>
    </w:p>
    <w:p w14:paraId="326C1E8E">
      <w:pPr>
        <w:pStyle w:val="4"/>
        <w:spacing w:before="0" w:after="0" w:line="560" w:lineRule="exact"/>
        <w:ind w:firstLine="643"/>
        <w:rPr>
          <w:rFonts w:ascii="Times New Roman" w:hAnsi="Times New Roman" w:cs="Times New Roman"/>
        </w:rPr>
      </w:pPr>
      <w:bookmarkStart w:id="47" w:name="_Toc21326"/>
      <w:r>
        <w:rPr>
          <w:rFonts w:ascii="Times New Roman" w:hAnsi="Times New Roman" w:cs="Times New Roman"/>
        </w:rPr>
        <w:t>1.</w:t>
      </w:r>
      <w:r>
        <w:rPr>
          <w:rFonts w:hint="eastAsia" w:ascii="Times New Roman" w:hAnsi="Times New Roman" w:cs="Times New Roman"/>
        </w:rPr>
        <w:t xml:space="preserve"> </w:t>
      </w:r>
      <w:r>
        <w:rPr>
          <w:rFonts w:ascii="Times New Roman" w:hAnsi="Times New Roman" w:cs="Times New Roman"/>
        </w:rPr>
        <w:t>产出数量</w:t>
      </w:r>
      <w:bookmarkEnd w:id="47"/>
    </w:p>
    <w:p w14:paraId="582C357F">
      <w:pPr>
        <w:spacing w:line="560" w:lineRule="exact"/>
        <w:ind w:firstLine="643"/>
        <w:rPr>
          <w:rFonts w:hint="eastAsia" w:ascii="Times New Roman" w:hAnsi="Times New Roman" w:cs="Times New Roman"/>
          <w:spacing w:val="8"/>
          <w:sz w:val="32"/>
          <w:szCs w:val="32"/>
          <w:lang w:val="en-US" w:eastAsia="zh-CN"/>
        </w:rPr>
      </w:pPr>
      <w:r>
        <w:rPr>
          <w:rFonts w:hint="eastAsia" w:ascii="Times New Roman" w:hAnsi="Times New Roman" w:cs="Times New Roman"/>
          <w:spacing w:val="8"/>
          <w:sz w:val="32"/>
          <w:szCs w:val="32"/>
          <w:lang w:eastAsia="zh-CN"/>
        </w:rPr>
        <w:t>数量指标“</w:t>
      </w:r>
      <w:r>
        <w:rPr>
          <w:rFonts w:hint="default" w:ascii="Times New Roman" w:hAnsi="Times New Roman" w:eastAsia="方正仿宋_GBK" w:cs="Times New Roman"/>
          <w:b w:val="0"/>
          <w:bCs w:val="0"/>
          <w:kern w:val="28"/>
          <w:sz w:val="32"/>
          <w:szCs w:val="32"/>
          <w:lang w:val="en-US" w:eastAsia="zh-CN" w:bidi="ar-SA"/>
        </w:rPr>
        <w:t>完成市场监督检查工作</w:t>
      </w:r>
      <w:r>
        <w:rPr>
          <w:rFonts w:hint="eastAsia" w:ascii="Times New Roman" w:hAnsi="Times New Roman" w:cs="Times New Roman"/>
          <w:spacing w:val="8"/>
          <w:sz w:val="32"/>
          <w:szCs w:val="32"/>
          <w:lang w:eastAsia="zh-CN"/>
        </w:rPr>
        <w:t>”的目标值是</w:t>
      </w:r>
      <w:r>
        <w:rPr>
          <w:rFonts w:hint="eastAsia" w:ascii="Times New Roman" w:hAnsi="Times New Roman" w:eastAsia="方正仿宋_GBK" w:cs="Times New Roman"/>
          <w:b w:val="0"/>
          <w:bCs w:val="0"/>
          <w:kern w:val="28"/>
          <w:sz w:val="32"/>
          <w:szCs w:val="32"/>
          <w:lang w:val="en-US" w:eastAsia="zh-CN" w:bidi="ar-SA"/>
        </w:rPr>
        <w:t>大于等于</w:t>
      </w:r>
      <w:r>
        <w:rPr>
          <w:rFonts w:hint="default" w:ascii="Times New Roman" w:hAnsi="Times New Roman" w:eastAsia="方正仿宋_GBK" w:cs="Times New Roman"/>
          <w:b w:val="0"/>
          <w:bCs w:val="0"/>
          <w:kern w:val="28"/>
          <w:sz w:val="32"/>
          <w:szCs w:val="32"/>
          <w:lang w:val="en-US" w:eastAsia="zh-CN" w:bidi="ar-SA"/>
        </w:rPr>
        <w:t>1000户</w:t>
      </w:r>
      <w:r>
        <w:rPr>
          <w:rFonts w:hint="eastAsia" w:ascii="Times New Roman" w:hAnsi="Times New Roman" w:cs="Times New Roman"/>
          <w:spacing w:val="8"/>
          <w:sz w:val="32"/>
          <w:szCs w:val="32"/>
          <w:lang w:eastAsia="zh-CN"/>
        </w:rPr>
        <w:t>，我单位实际完成</w:t>
      </w:r>
      <w:r>
        <w:rPr>
          <w:rFonts w:hint="eastAsia" w:ascii="Times New Roman" w:hAnsi="Times New Roman" w:cs="Times New Roman"/>
          <w:spacing w:val="8"/>
          <w:sz w:val="32"/>
          <w:szCs w:val="32"/>
          <w:lang w:val="en-US" w:eastAsia="zh-CN"/>
        </w:rPr>
        <w:t>1593户检查工作</w:t>
      </w:r>
      <w:r>
        <w:rPr>
          <w:rFonts w:hint="eastAsia" w:ascii="Times New Roman" w:hAnsi="Times New Roman" w:cs="Times New Roman"/>
          <w:spacing w:val="8"/>
          <w:sz w:val="32"/>
          <w:szCs w:val="32"/>
          <w:lang w:eastAsia="zh-CN"/>
        </w:rPr>
        <w:t>，</w:t>
      </w:r>
      <w:r>
        <w:rPr>
          <w:rFonts w:hint="eastAsia" w:ascii="Times New Roman" w:hAnsi="Times New Roman" w:eastAsia="方正仿宋_GBK" w:cs="Times New Roman"/>
          <w:b w:val="0"/>
          <w:bCs w:val="0"/>
          <w:kern w:val="28"/>
          <w:sz w:val="32"/>
          <w:szCs w:val="32"/>
          <w:lang w:val="en-US" w:eastAsia="zh-CN" w:bidi="ar-SA"/>
        </w:rPr>
        <w:t>偏差原因：</w:t>
      </w:r>
      <w:r>
        <w:rPr>
          <w:rFonts w:hint="default" w:ascii="Times New Roman" w:hAnsi="Times New Roman" w:eastAsia="方正仿宋_GBK" w:cs="Times New Roman"/>
          <w:b w:val="0"/>
          <w:bCs w:val="0"/>
          <w:kern w:val="28"/>
          <w:sz w:val="32"/>
          <w:szCs w:val="32"/>
          <w:lang w:val="en-US" w:eastAsia="zh-CN" w:bidi="ar-SA"/>
        </w:rPr>
        <w:t>根据2024年工作安排，我局加大市场监督检查工作力度，</w:t>
      </w:r>
      <w:r>
        <w:rPr>
          <w:rFonts w:hint="eastAsia" w:ascii="Times New Roman" w:hAnsi="Times New Roman" w:eastAsia="方正仿宋_GBK" w:cs="Times New Roman"/>
          <w:b w:val="0"/>
          <w:bCs w:val="0"/>
          <w:kern w:val="28"/>
          <w:sz w:val="32"/>
          <w:szCs w:val="32"/>
          <w:lang w:val="en-US" w:eastAsia="zh-CN" w:bidi="ar-SA"/>
        </w:rPr>
        <w:t>完成市场检查1593户，</w:t>
      </w:r>
      <w:r>
        <w:rPr>
          <w:rFonts w:hint="default" w:ascii="Times New Roman" w:hAnsi="Times New Roman" w:eastAsia="方正仿宋_GBK" w:cs="Times New Roman"/>
          <w:b w:val="0"/>
          <w:bCs w:val="0"/>
          <w:kern w:val="28"/>
          <w:sz w:val="32"/>
          <w:szCs w:val="32"/>
          <w:lang w:val="en-US" w:eastAsia="zh-CN" w:bidi="ar-SA"/>
        </w:rPr>
        <w:t>超出年初制定的市场监督检查计划。</w:t>
      </w:r>
      <w:r>
        <w:rPr>
          <w:rFonts w:hint="eastAsia" w:ascii="Times New Roman" w:hAnsi="Times New Roman" w:eastAsia="方正仿宋_GBK" w:cs="Times New Roman"/>
          <w:b w:val="0"/>
          <w:bCs w:val="0"/>
          <w:kern w:val="28"/>
          <w:sz w:val="32"/>
          <w:szCs w:val="32"/>
          <w:lang w:val="en-US" w:eastAsia="zh-CN" w:bidi="ar-SA"/>
        </w:rPr>
        <w:t>改进措施：分析超额完成的关键因素，如检查计划调整、人员协作优化、信息化工具应用等，提炼可复制的经验（如“错峰检查”“跨部门联合执法”模式），形成标准化操作流程。结合市场主体增长趋势、行业动态及群众关切，科学制定年度检查计划，避免因目标过低或过高导致资源浪费或监管盲区。</w:t>
      </w:r>
      <w:r>
        <w:rPr>
          <w:rFonts w:hint="eastAsia" w:ascii="Times New Roman" w:hAnsi="Times New Roman" w:cs="Times New Roman"/>
          <w:spacing w:val="8"/>
          <w:sz w:val="32"/>
          <w:szCs w:val="32"/>
          <w:lang w:val="en-US" w:eastAsia="zh-CN"/>
        </w:rPr>
        <w:t>实际得分5分；</w:t>
      </w:r>
    </w:p>
    <w:p w14:paraId="4DB39EAD">
      <w:pPr>
        <w:spacing w:line="560" w:lineRule="exact"/>
        <w:ind w:firstLine="643"/>
        <w:rPr>
          <w:rFonts w:hint="eastAsia" w:ascii="Times New Roman" w:hAnsi="Times New Roman" w:cs="Times New Roman"/>
          <w:spacing w:val="8"/>
          <w:sz w:val="32"/>
          <w:szCs w:val="32"/>
          <w:lang w:eastAsia="zh-CN"/>
        </w:rPr>
      </w:pPr>
      <w:r>
        <w:rPr>
          <w:rFonts w:hint="eastAsia" w:ascii="Times New Roman" w:hAnsi="Times New Roman" w:cs="Times New Roman"/>
          <w:spacing w:val="8"/>
          <w:sz w:val="32"/>
          <w:szCs w:val="32"/>
          <w:lang w:eastAsia="zh-CN"/>
        </w:rPr>
        <w:t>数量指标“</w:t>
      </w:r>
      <w:r>
        <w:rPr>
          <w:rFonts w:hint="eastAsia" w:ascii="Times New Roman" w:hAnsi="Times New Roman" w:eastAsia="方正仿宋_GBK" w:cs="Times New Roman"/>
          <w:b w:val="0"/>
          <w:bCs w:val="0"/>
          <w:kern w:val="28"/>
          <w:sz w:val="32"/>
          <w:szCs w:val="32"/>
          <w:lang w:val="en-US" w:eastAsia="zh-CN" w:bidi="ar-SA"/>
        </w:rPr>
        <w:t>综合行政执法服装配备人数</w:t>
      </w:r>
      <w:r>
        <w:rPr>
          <w:rFonts w:hint="eastAsia" w:ascii="Times New Roman" w:hAnsi="Times New Roman" w:cs="Times New Roman"/>
          <w:spacing w:val="8"/>
          <w:sz w:val="32"/>
          <w:szCs w:val="32"/>
          <w:lang w:eastAsia="zh-CN"/>
        </w:rPr>
        <w:t>”的目标值是</w:t>
      </w:r>
      <w:r>
        <w:rPr>
          <w:rFonts w:hint="eastAsia" w:ascii="Times New Roman" w:hAnsi="Times New Roman" w:eastAsia="方正仿宋_GBK" w:cs="Times New Roman"/>
          <w:b w:val="0"/>
          <w:bCs w:val="0"/>
          <w:kern w:val="28"/>
          <w:sz w:val="32"/>
          <w:szCs w:val="32"/>
          <w:lang w:val="en-US" w:eastAsia="zh-CN" w:bidi="ar-SA"/>
        </w:rPr>
        <w:t>等于</w:t>
      </w:r>
      <w:r>
        <w:rPr>
          <w:rFonts w:hint="default" w:ascii="Times New Roman" w:hAnsi="Times New Roman" w:eastAsia="方正仿宋_GBK" w:cs="Times New Roman"/>
          <w:b w:val="0"/>
          <w:bCs w:val="0"/>
          <w:kern w:val="28"/>
          <w:sz w:val="32"/>
          <w:szCs w:val="32"/>
          <w:lang w:val="en-US" w:eastAsia="zh-CN" w:bidi="ar-SA"/>
        </w:rPr>
        <w:t>133人</w:t>
      </w:r>
      <w:r>
        <w:rPr>
          <w:rFonts w:hint="eastAsia" w:ascii="Times New Roman" w:hAnsi="Times New Roman" w:cs="Times New Roman"/>
          <w:spacing w:val="8"/>
          <w:sz w:val="32"/>
          <w:szCs w:val="32"/>
          <w:lang w:eastAsia="zh-CN"/>
        </w:rPr>
        <w:t>，我单位实际为</w:t>
      </w:r>
      <w:r>
        <w:rPr>
          <w:rFonts w:hint="eastAsia" w:ascii="Times New Roman" w:hAnsi="Times New Roman" w:cs="Times New Roman"/>
          <w:spacing w:val="8"/>
          <w:sz w:val="32"/>
          <w:szCs w:val="32"/>
          <w:lang w:val="en-US" w:eastAsia="zh-CN"/>
        </w:rPr>
        <w:t>133名行政执法人员配备</w:t>
      </w:r>
      <w:r>
        <w:rPr>
          <w:rFonts w:hint="eastAsia" w:ascii="Times New Roman" w:hAnsi="Times New Roman" w:eastAsia="方正仿宋_GBK" w:cs="Times New Roman"/>
          <w:b w:val="0"/>
          <w:bCs w:val="0"/>
          <w:kern w:val="28"/>
          <w:sz w:val="32"/>
          <w:szCs w:val="32"/>
          <w:lang w:val="en-US" w:eastAsia="zh-CN" w:bidi="ar-SA"/>
        </w:rPr>
        <w:t>综合行政执法服装</w:t>
      </w:r>
      <w:r>
        <w:rPr>
          <w:rFonts w:hint="eastAsia" w:ascii="Times New Roman" w:hAnsi="Times New Roman" w:cs="Times New Roman"/>
          <w:spacing w:val="8"/>
          <w:sz w:val="32"/>
          <w:szCs w:val="32"/>
          <w:lang w:eastAsia="zh-CN"/>
        </w:rPr>
        <w:t>，实际得分5分；</w:t>
      </w:r>
    </w:p>
    <w:p w14:paraId="06C37AB7">
      <w:pPr>
        <w:spacing w:line="560" w:lineRule="exact"/>
        <w:ind w:firstLine="643"/>
        <w:rPr>
          <w:rFonts w:hint="eastAsia" w:ascii="Times New Roman" w:hAnsi="Times New Roman" w:cs="Times New Roman"/>
          <w:b/>
          <w:bCs/>
          <w:sz w:val="32"/>
          <w:szCs w:val="32"/>
          <w:highlight w:val="none"/>
          <w:lang w:val="en-US" w:eastAsia="zh-CN"/>
        </w:rPr>
      </w:pPr>
      <w:r>
        <w:rPr>
          <w:rFonts w:hint="eastAsia" w:ascii="Times New Roman" w:hAnsi="Times New Roman" w:cs="Times New Roman"/>
          <w:b/>
          <w:bCs/>
          <w:sz w:val="32"/>
          <w:szCs w:val="32"/>
          <w:highlight w:val="none"/>
          <w:lang w:val="en-US" w:eastAsia="zh-CN"/>
        </w:rPr>
        <w:t>该指标赋分10分，得分10分，得分率100%</w:t>
      </w:r>
      <w:bookmarkStart w:id="48" w:name="_Toc20437"/>
      <w:r>
        <w:rPr>
          <w:rFonts w:hint="eastAsia" w:ascii="Times New Roman" w:hAnsi="Times New Roman" w:cs="Times New Roman"/>
          <w:b/>
          <w:bCs/>
          <w:sz w:val="32"/>
          <w:szCs w:val="32"/>
          <w:highlight w:val="none"/>
          <w:lang w:val="en-US" w:eastAsia="zh-CN"/>
        </w:rPr>
        <w:t>。</w:t>
      </w:r>
    </w:p>
    <w:p w14:paraId="1B2191B6">
      <w:pPr>
        <w:pStyle w:val="4"/>
        <w:spacing w:before="0" w:after="0" w:line="560" w:lineRule="exact"/>
        <w:ind w:firstLine="643"/>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 xml:space="preserve"> </w:t>
      </w:r>
      <w:r>
        <w:rPr>
          <w:rFonts w:ascii="Times New Roman" w:hAnsi="Times New Roman" w:cs="Times New Roman"/>
        </w:rPr>
        <w:t>产出质量</w:t>
      </w:r>
      <w:bookmarkEnd w:id="48"/>
    </w:p>
    <w:p w14:paraId="2A68AD58">
      <w:pPr>
        <w:spacing w:line="560" w:lineRule="exact"/>
        <w:ind w:firstLine="643"/>
        <w:rPr>
          <w:rFonts w:hint="eastAsia" w:ascii="Times New Roman" w:hAnsi="Times New Roman" w:cs="Times New Roman"/>
          <w:spacing w:val="8"/>
          <w:sz w:val="32"/>
          <w:szCs w:val="32"/>
          <w:lang w:eastAsia="zh-CN"/>
        </w:rPr>
      </w:pPr>
      <w:r>
        <w:rPr>
          <w:rFonts w:hint="eastAsia" w:ascii="Times New Roman" w:hAnsi="Times New Roman" w:cs="Times New Roman"/>
          <w:spacing w:val="8"/>
          <w:sz w:val="32"/>
          <w:szCs w:val="32"/>
          <w:lang w:eastAsia="zh-CN"/>
        </w:rPr>
        <w:t>质量指标“</w:t>
      </w:r>
      <w:r>
        <w:rPr>
          <w:rFonts w:hint="eastAsia" w:ascii="Times New Roman" w:hAnsi="Times New Roman" w:eastAsia="方正仿宋_GBK" w:cs="Times New Roman"/>
          <w:b w:val="0"/>
          <w:bCs w:val="0"/>
          <w:kern w:val="28"/>
          <w:sz w:val="32"/>
          <w:szCs w:val="32"/>
          <w:lang w:val="en-US" w:eastAsia="zh-CN" w:bidi="ar-SA"/>
        </w:rPr>
        <w:t>服装采购验收合格率</w:t>
      </w:r>
      <w:r>
        <w:rPr>
          <w:rFonts w:hint="eastAsia" w:ascii="Times New Roman" w:hAnsi="Times New Roman" w:cs="Times New Roman"/>
          <w:spacing w:val="8"/>
          <w:sz w:val="32"/>
          <w:szCs w:val="32"/>
          <w:lang w:eastAsia="zh-CN"/>
        </w:rPr>
        <w:t>”的目标值是</w:t>
      </w:r>
      <w:r>
        <w:rPr>
          <w:rFonts w:hint="eastAsia" w:ascii="Times New Roman" w:hAnsi="Times New Roman" w:eastAsia="方正仿宋_GBK" w:cs="Times New Roman"/>
          <w:b w:val="0"/>
          <w:bCs w:val="0"/>
          <w:kern w:val="28"/>
          <w:sz w:val="32"/>
          <w:szCs w:val="32"/>
          <w:lang w:val="en-US" w:eastAsia="zh-CN" w:bidi="ar-SA"/>
        </w:rPr>
        <w:t>等于</w:t>
      </w:r>
      <w:r>
        <w:rPr>
          <w:rFonts w:hint="eastAsia" w:ascii="Times New Roman" w:hAnsi="Times New Roman" w:cs="Times New Roman"/>
          <w:spacing w:val="8"/>
          <w:sz w:val="32"/>
          <w:szCs w:val="32"/>
          <w:lang w:val="en-US" w:eastAsia="zh-CN"/>
        </w:rPr>
        <w:t>100%</w:t>
      </w:r>
      <w:r>
        <w:rPr>
          <w:rFonts w:hint="eastAsia" w:ascii="Times New Roman" w:hAnsi="Times New Roman" w:cs="Times New Roman"/>
          <w:spacing w:val="8"/>
          <w:sz w:val="32"/>
          <w:szCs w:val="32"/>
          <w:lang w:eastAsia="zh-CN"/>
        </w:rPr>
        <w:t>，实际完成值100%，</w:t>
      </w:r>
      <w:r>
        <w:rPr>
          <w:rFonts w:hint="eastAsia" w:ascii="Times New Roman" w:hAnsi="Times New Roman" w:eastAsia="方正仿宋_GBK" w:cs="Times New Roman"/>
          <w:b w:val="0"/>
          <w:bCs w:val="0"/>
          <w:kern w:val="28"/>
          <w:sz w:val="32"/>
          <w:szCs w:val="32"/>
          <w:lang w:val="en-US" w:eastAsia="zh-CN" w:bidi="ar-SA"/>
        </w:rPr>
        <w:t>服装采购验收合格率</w:t>
      </w:r>
      <w:r>
        <w:rPr>
          <w:rFonts w:hint="eastAsia" w:ascii="Times New Roman" w:hAnsi="Times New Roman" w:cs="Times New Roman"/>
          <w:spacing w:val="8"/>
          <w:sz w:val="32"/>
          <w:szCs w:val="32"/>
          <w:lang w:eastAsia="zh-CN"/>
        </w:rPr>
        <w:t>100%。</w:t>
      </w:r>
    </w:p>
    <w:p w14:paraId="19A68EAF">
      <w:pPr>
        <w:spacing w:line="560" w:lineRule="exact"/>
        <w:ind w:firstLine="643"/>
        <w:rPr>
          <w:rFonts w:hint="eastAsia" w:ascii="Times New Roman" w:hAnsi="Times New Roman" w:cs="Times New Roman"/>
          <w:spacing w:val="8"/>
          <w:sz w:val="32"/>
          <w:szCs w:val="32"/>
          <w:lang w:eastAsia="zh-CN"/>
        </w:rPr>
      </w:pPr>
      <w:r>
        <w:rPr>
          <w:rFonts w:hint="eastAsia" w:ascii="Times New Roman" w:hAnsi="Times New Roman" w:cs="Times New Roman"/>
          <w:spacing w:val="8"/>
          <w:sz w:val="32"/>
          <w:szCs w:val="32"/>
          <w:lang w:eastAsia="zh-CN"/>
        </w:rPr>
        <w:t>质量指标“</w:t>
      </w:r>
      <w:r>
        <w:rPr>
          <w:rFonts w:hint="eastAsia" w:ascii="Times New Roman" w:hAnsi="Times New Roman" w:eastAsia="方正仿宋_GBK" w:cs="Times New Roman"/>
          <w:b w:val="0"/>
          <w:bCs w:val="0"/>
          <w:kern w:val="28"/>
          <w:sz w:val="32"/>
          <w:szCs w:val="32"/>
          <w:lang w:val="en-US" w:eastAsia="zh-CN" w:bidi="ar-SA"/>
        </w:rPr>
        <w:t>综合行政执法服装配备率</w:t>
      </w:r>
      <w:r>
        <w:rPr>
          <w:rFonts w:hint="eastAsia" w:ascii="Times New Roman" w:hAnsi="Times New Roman" w:cs="Times New Roman"/>
          <w:spacing w:val="8"/>
          <w:sz w:val="32"/>
          <w:szCs w:val="32"/>
          <w:lang w:eastAsia="zh-CN"/>
        </w:rPr>
        <w:t>”的目标值是</w:t>
      </w:r>
      <w:r>
        <w:rPr>
          <w:rFonts w:hint="eastAsia" w:ascii="Times New Roman" w:hAnsi="Times New Roman" w:eastAsia="方正仿宋_GBK" w:cs="Times New Roman"/>
          <w:b w:val="0"/>
          <w:bCs w:val="0"/>
          <w:kern w:val="28"/>
          <w:sz w:val="32"/>
          <w:szCs w:val="32"/>
          <w:lang w:val="en-US" w:eastAsia="zh-CN" w:bidi="ar-SA"/>
        </w:rPr>
        <w:t>等于</w:t>
      </w:r>
      <w:r>
        <w:rPr>
          <w:rFonts w:hint="eastAsia" w:ascii="Times New Roman" w:hAnsi="Times New Roman" w:cs="Times New Roman"/>
          <w:spacing w:val="8"/>
          <w:sz w:val="32"/>
          <w:szCs w:val="32"/>
          <w:lang w:val="en-US" w:eastAsia="zh-CN"/>
        </w:rPr>
        <w:t>100%</w:t>
      </w:r>
      <w:r>
        <w:rPr>
          <w:rFonts w:hint="eastAsia" w:ascii="Times New Roman" w:hAnsi="Times New Roman" w:cs="Times New Roman"/>
          <w:spacing w:val="8"/>
          <w:sz w:val="32"/>
          <w:szCs w:val="32"/>
          <w:lang w:eastAsia="zh-CN"/>
        </w:rPr>
        <w:t>，实际完成值100%，为我局</w:t>
      </w:r>
      <w:r>
        <w:rPr>
          <w:rFonts w:hint="eastAsia" w:ascii="Times New Roman" w:hAnsi="Times New Roman" w:cs="Times New Roman"/>
          <w:spacing w:val="8"/>
          <w:sz w:val="32"/>
          <w:szCs w:val="32"/>
          <w:lang w:val="en-US" w:eastAsia="zh-CN"/>
        </w:rPr>
        <w:t>133名行政执法人员配备</w:t>
      </w:r>
      <w:r>
        <w:rPr>
          <w:rFonts w:hint="eastAsia" w:ascii="Times New Roman" w:hAnsi="Times New Roman" w:eastAsia="方正仿宋_GBK" w:cs="Times New Roman"/>
          <w:b w:val="0"/>
          <w:bCs w:val="0"/>
          <w:kern w:val="28"/>
          <w:sz w:val="32"/>
          <w:szCs w:val="32"/>
          <w:lang w:val="en-US" w:eastAsia="zh-CN" w:bidi="ar-SA"/>
        </w:rPr>
        <w:t>综合行政执法服装，综合行政执法服装配备率</w:t>
      </w:r>
      <w:r>
        <w:rPr>
          <w:rFonts w:hint="eastAsia" w:ascii="Times New Roman" w:hAnsi="Times New Roman" w:cs="Times New Roman"/>
          <w:spacing w:val="8"/>
          <w:sz w:val="32"/>
          <w:szCs w:val="32"/>
          <w:lang w:eastAsia="zh-CN"/>
        </w:rPr>
        <w:t>100%。</w:t>
      </w:r>
    </w:p>
    <w:p w14:paraId="12BE0CC6">
      <w:pPr>
        <w:spacing w:line="560" w:lineRule="exact"/>
        <w:ind w:firstLine="643"/>
        <w:rPr>
          <w:rFonts w:hint="eastAsia" w:ascii="Times New Roman" w:hAnsi="Times New Roman" w:cs="Times New Roman"/>
          <w:b/>
          <w:bCs/>
          <w:sz w:val="32"/>
          <w:szCs w:val="32"/>
          <w:highlight w:val="none"/>
          <w:lang w:val="en-US" w:eastAsia="zh-CN"/>
        </w:rPr>
      </w:pPr>
      <w:r>
        <w:rPr>
          <w:rFonts w:hint="eastAsia" w:ascii="Times New Roman" w:hAnsi="Times New Roman" w:cs="Times New Roman"/>
          <w:b/>
          <w:bCs/>
          <w:sz w:val="32"/>
          <w:szCs w:val="32"/>
          <w:highlight w:val="none"/>
          <w:lang w:val="en-US" w:eastAsia="zh-CN"/>
        </w:rPr>
        <w:t>该指标赋分20分，得分20分，得分率100%。</w:t>
      </w:r>
    </w:p>
    <w:p w14:paraId="6C2C9003">
      <w:pPr>
        <w:pStyle w:val="4"/>
        <w:spacing w:before="0" w:after="0" w:line="560" w:lineRule="exact"/>
        <w:ind w:firstLine="643"/>
        <w:rPr>
          <w:rFonts w:ascii="Times New Roman" w:hAnsi="Times New Roman" w:cs="Times New Roman"/>
        </w:rPr>
      </w:pPr>
      <w:bookmarkStart w:id="49" w:name="_Toc14252"/>
      <w:r>
        <w:rPr>
          <w:rFonts w:ascii="Times New Roman" w:hAnsi="Times New Roman" w:cs="Times New Roman"/>
        </w:rPr>
        <w:t>3.</w:t>
      </w:r>
      <w:r>
        <w:rPr>
          <w:rFonts w:hint="eastAsia" w:ascii="Times New Roman" w:hAnsi="Times New Roman" w:cs="Times New Roman"/>
        </w:rPr>
        <w:t xml:space="preserve"> </w:t>
      </w:r>
      <w:r>
        <w:rPr>
          <w:rFonts w:ascii="Times New Roman" w:hAnsi="Times New Roman" w:cs="Times New Roman"/>
        </w:rPr>
        <w:t>产出时效</w:t>
      </w:r>
      <w:bookmarkEnd w:id="49"/>
    </w:p>
    <w:p w14:paraId="154EA788">
      <w:pPr>
        <w:spacing w:line="560" w:lineRule="exact"/>
        <w:ind w:firstLine="643"/>
        <w:rPr>
          <w:rFonts w:hint="eastAsia" w:ascii="Times New Roman" w:hAnsi="Times New Roman" w:cs="Times New Roman"/>
          <w:spacing w:val="8"/>
          <w:sz w:val="32"/>
          <w:szCs w:val="32"/>
          <w:lang w:eastAsia="zh-CN"/>
        </w:rPr>
      </w:pPr>
      <w:r>
        <w:rPr>
          <w:rFonts w:hint="eastAsia" w:ascii="Times New Roman" w:hAnsi="Times New Roman" w:cs="Times New Roman"/>
          <w:spacing w:val="8"/>
          <w:sz w:val="32"/>
          <w:szCs w:val="32"/>
          <w:lang w:eastAsia="zh-CN"/>
        </w:rPr>
        <w:t>无</w:t>
      </w:r>
    </w:p>
    <w:p w14:paraId="10E003C7">
      <w:pPr>
        <w:pStyle w:val="4"/>
        <w:spacing w:before="0" w:after="0" w:line="560" w:lineRule="exact"/>
        <w:ind w:firstLine="643"/>
        <w:rPr>
          <w:rFonts w:ascii="Times New Roman" w:hAnsi="Times New Roman" w:cs="Times New Roman"/>
        </w:rPr>
      </w:pPr>
      <w:bookmarkStart w:id="50" w:name="_Toc15505"/>
      <w:r>
        <w:rPr>
          <w:rFonts w:ascii="Times New Roman" w:hAnsi="Times New Roman" w:cs="Times New Roman"/>
        </w:rPr>
        <w:t>4.</w:t>
      </w:r>
      <w:r>
        <w:rPr>
          <w:rFonts w:hint="eastAsia" w:ascii="Times New Roman" w:hAnsi="Times New Roman" w:cs="Times New Roman"/>
        </w:rPr>
        <w:t xml:space="preserve"> </w:t>
      </w:r>
      <w:r>
        <w:rPr>
          <w:rFonts w:ascii="Times New Roman" w:hAnsi="Times New Roman" w:cs="Times New Roman"/>
        </w:rPr>
        <w:t>产出成本</w:t>
      </w:r>
      <w:bookmarkEnd w:id="50"/>
    </w:p>
    <w:p w14:paraId="65ACE965">
      <w:pPr>
        <w:spacing w:line="560" w:lineRule="exact"/>
        <w:ind w:firstLine="643"/>
        <w:rPr>
          <w:rFonts w:hint="eastAsia" w:ascii="Times New Roman" w:hAnsi="Times New Roman" w:cs="Times New Roman"/>
          <w:spacing w:val="8"/>
          <w:sz w:val="32"/>
          <w:szCs w:val="32"/>
          <w:lang w:eastAsia="zh-CN"/>
        </w:rPr>
      </w:pPr>
      <w:r>
        <w:rPr>
          <w:rFonts w:hint="eastAsia" w:ascii="Times New Roman" w:hAnsi="Times New Roman" w:cs="Times New Roman"/>
          <w:spacing w:val="8"/>
          <w:sz w:val="32"/>
          <w:szCs w:val="32"/>
          <w:lang w:eastAsia="zh-CN"/>
        </w:rPr>
        <w:t>成本指标“</w:t>
      </w:r>
      <w:r>
        <w:rPr>
          <w:rFonts w:hint="eastAsia" w:ascii="Times New Roman" w:hAnsi="Times New Roman" w:eastAsia="方正仿宋_GBK" w:cs="Times New Roman"/>
          <w:b w:val="0"/>
          <w:bCs w:val="0"/>
          <w:kern w:val="28"/>
          <w:sz w:val="32"/>
          <w:szCs w:val="32"/>
          <w:lang w:val="en-US" w:eastAsia="zh-CN" w:bidi="ar-SA"/>
        </w:rPr>
        <w:t>每人综合行政执法服装成本</w:t>
      </w:r>
      <w:r>
        <w:rPr>
          <w:rFonts w:hint="eastAsia" w:ascii="Times New Roman" w:hAnsi="Times New Roman" w:cs="Times New Roman"/>
          <w:spacing w:val="8"/>
          <w:sz w:val="32"/>
          <w:szCs w:val="32"/>
          <w:lang w:eastAsia="zh-CN"/>
        </w:rPr>
        <w:t>”目标值</w:t>
      </w:r>
      <w:r>
        <w:rPr>
          <w:rFonts w:hint="eastAsia" w:ascii="Times New Roman" w:hAnsi="Times New Roman" w:eastAsia="方正仿宋_GBK" w:cs="Times New Roman"/>
          <w:b w:val="0"/>
          <w:bCs w:val="0"/>
          <w:kern w:val="28"/>
          <w:sz w:val="32"/>
          <w:szCs w:val="32"/>
          <w:lang w:val="en-US" w:eastAsia="zh-CN" w:bidi="ar-SA"/>
        </w:rPr>
        <w:t>小于等于2060元</w:t>
      </w:r>
      <w:r>
        <w:rPr>
          <w:rFonts w:hint="eastAsia" w:ascii="Times New Roman" w:hAnsi="Times New Roman" w:cs="Times New Roman"/>
          <w:spacing w:val="8"/>
          <w:sz w:val="32"/>
          <w:szCs w:val="32"/>
          <w:lang w:eastAsia="zh-CN"/>
        </w:rPr>
        <w:t>，本项目</w:t>
      </w:r>
      <w:r>
        <w:rPr>
          <w:rFonts w:hint="eastAsia" w:ascii="Times New Roman" w:hAnsi="Times New Roman" w:eastAsia="方正仿宋_GBK" w:cs="Times New Roman"/>
          <w:b w:val="0"/>
          <w:bCs w:val="0"/>
          <w:kern w:val="28"/>
          <w:sz w:val="32"/>
          <w:szCs w:val="32"/>
          <w:lang w:val="en-US" w:eastAsia="zh-CN" w:bidi="ar-SA"/>
        </w:rPr>
        <w:t>每人综合行政执法服装成本等于2060元</w:t>
      </w:r>
      <w:r>
        <w:rPr>
          <w:rFonts w:hint="eastAsia" w:ascii="Times New Roman" w:hAnsi="Times New Roman" w:cs="Times New Roman"/>
          <w:spacing w:val="8"/>
          <w:sz w:val="32"/>
          <w:szCs w:val="32"/>
          <w:lang w:val="en-US" w:eastAsia="zh-CN"/>
        </w:rPr>
        <w:t>，共计</w:t>
      </w:r>
      <w:r>
        <w:rPr>
          <w:rFonts w:hint="eastAsia" w:ascii="Times New Roman" w:hAnsi="Times New Roman" w:cs="Times New Roman"/>
          <w:spacing w:val="8"/>
          <w:sz w:val="32"/>
          <w:szCs w:val="32"/>
          <w:lang w:eastAsia="zh-CN"/>
        </w:rPr>
        <w:t>支出</w:t>
      </w:r>
      <w:r>
        <w:rPr>
          <w:rFonts w:hint="eastAsia" w:ascii="Times New Roman" w:hAnsi="Times New Roman" w:cs="Times New Roman"/>
          <w:spacing w:val="8"/>
          <w:sz w:val="32"/>
          <w:szCs w:val="32"/>
          <w:lang w:val="en-US" w:eastAsia="zh-CN"/>
        </w:rPr>
        <w:t>27.45</w:t>
      </w:r>
      <w:r>
        <w:rPr>
          <w:rFonts w:hint="eastAsia" w:ascii="Times New Roman" w:hAnsi="Times New Roman" w:cs="Times New Roman"/>
          <w:spacing w:val="8"/>
          <w:sz w:val="32"/>
          <w:szCs w:val="32"/>
          <w:lang w:eastAsia="zh-CN"/>
        </w:rPr>
        <w:t>万元，无超支情况。</w:t>
      </w:r>
    </w:p>
    <w:p w14:paraId="5C02206D">
      <w:pPr>
        <w:spacing w:line="560" w:lineRule="exact"/>
        <w:ind w:firstLine="643"/>
        <w:rPr>
          <w:rFonts w:ascii="Times New Roman" w:hAnsi="Times New Roman" w:cs="Times New Roman"/>
          <w:b/>
          <w:bCs/>
          <w:sz w:val="32"/>
          <w:szCs w:val="32"/>
        </w:rPr>
      </w:pPr>
      <w:r>
        <w:rPr>
          <w:rFonts w:hint="eastAsia" w:ascii="Times New Roman" w:hAnsi="Times New Roman" w:cs="Times New Roman"/>
          <w:b/>
          <w:bCs/>
          <w:sz w:val="32"/>
          <w:szCs w:val="32"/>
          <w:highlight w:val="none"/>
          <w:lang w:val="en-US" w:eastAsia="zh-CN"/>
        </w:rPr>
        <w:t>该指标赋分10分，得分10分，得分率100%</w:t>
      </w:r>
    </w:p>
    <w:p w14:paraId="11FFF449">
      <w:pPr>
        <w:autoSpaceDE w:val="0"/>
        <w:spacing w:line="560" w:lineRule="exact"/>
        <w:ind w:firstLine="643"/>
        <w:rPr>
          <w:rFonts w:ascii="Times New Roman" w:hAnsi="Times New Roman" w:cs="Times New Roman"/>
          <w:b/>
          <w:kern w:val="0"/>
          <w:szCs w:val="28"/>
        </w:rPr>
      </w:pPr>
      <w:r>
        <w:rPr>
          <w:rFonts w:ascii="Times New Roman" w:hAnsi="Times New Roman" w:cs="Times New Roman"/>
          <w:b/>
          <w:kern w:val="0"/>
          <w:sz w:val="32"/>
          <w:szCs w:val="32"/>
        </w:rPr>
        <w:t>综上，该部分指标满分40分，得分</w:t>
      </w:r>
      <w:r>
        <w:rPr>
          <w:rFonts w:hint="eastAsia" w:ascii="Times New Roman" w:hAnsi="Times New Roman" w:cs="Times New Roman"/>
          <w:sz w:val="32"/>
          <w:szCs w:val="32"/>
          <w:lang w:val="en-US" w:eastAsia="zh-CN"/>
        </w:rPr>
        <w:t>40</w:t>
      </w:r>
      <w:r>
        <w:rPr>
          <w:rFonts w:ascii="Times New Roman" w:hAnsi="Times New Roman" w:cs="Times New Roman"/>
          <w:b/>
          <w:kern w:val="0"/>
          <w:sz w:val="32"/>
          <w:szCs w:val="32"/>
        </w:rPr>
        <w:t>分。</w:t>
      </w:r>
    </w:p>
    <w:p w14:paraId="48D283EC">
      <w:pPr>
        <w:pStyle w:val="3"/>
        <w:spacing w:before="0" w:after="0" w:line="560" w:lineRule="exact"/>
        <w:ind w:firstLine="643"/>
        <w:rPr>
          <w:rFonts w:ascii="Times New Roman" w:hAnsi="Times New Roman" w:eastAsia="楷体" w:cs="Times New Roman"/>
          <w:color w:val="000000"/>
          <w:kern w:val="0"/>
        </w:rPr>
      </w:pPr>
      <w:bookmarkStart w:id="51" w:name="_Toc15002"/>
      <w:bookmarkStart w:id="52" w:name="_Toc67911615"/>
      <w:r>
        <w:rPr>
          <w:rFonts w:ascii="Times New Roman" w:hAnsi="Times New Roman" w:eastAsia="楷体" w:cs="Times New Roman"/>
          <w:color w:val="000000"/>
          <w:kern w:val="0"/>
        </w:rPr>
        <w:t>（四）项目效益情况</w:t>
      </w:r>
      <w:bookmarkEnd w:id="51"/>
      <w:bookmarkEnd w:id="52"/>
    </w:p>
    <w:p w14:paraId="30BAFCC8">
      <w:pPr>
        <w:spacing w:line="560" w:lineRule="exact"/>
        <w:ind w:firstLine="643"/>
        <w:rPr>
          <w:rFonts w:hint="eastAsia" w:ascii="Times New Roman" w:hAnsi="Times New Roman" w:cs="Times New Roman"/>
          <w:spacing w:val="8"/>
          <w:sz w:val="32"/>
          <w:szCs w:val="32"/>
          <w:lang w:eastAsia="zh-CN"/>
        </w:rPr>
      </w:pPr>
      <w:r>
        <w:rPr>
          <w:rFonts w:hint="eastAsia" w:ascii="Times New Roman" w:hAnsi="Times New Roman" w:cs="Times New Roman"/>
          <w:spacing w:val="8"/>
          <w:sz w:val="32"/>
          <w:szCs w:val="32"/>
          <w:lang w:eastAsia="zh-CN"/>
        </w:rPr>
        <w:t>项目效益指标由1个二级指标和2个三级指标构成，权重为20分，实际得分</w:t>
      </w:r>
      <w:r>
        <w:rPr>
          <w:rFonts w:hint="eastAsia" w:ascii="Times New Roman" w:hAnsi="Times New Roman" w:cs="Times New Roman"/>
          <w:spacing w:val="8"/>
          <w:sz w:val="32"/>
          <w:szCs w:val="32"/>
          <w:lang w:val="en-US" w:eastAsia="zh-CN"/>
        </w:rPr>
        <w:t>20</w:t>
      </w:r>
      <w:r>
        <w:rPr>
          <w:rFonts w:hint="eastAsia" w:ascii="Times New Roman" w:hAnsi="Times New Roman" w:cs="Times New Roman"/>
          <w:spacing w:val="8"/>
          <w:sz w:val="32"/>
          <w:szCs w:val="32"/>
          <w:lang w:eastAsia="zh-CN"/>
        </w:rPr>
        <w:t>分。</w:t>
      </w:r>
    </w:p>
    <w:p w14:paraId="66B8977E">
      <w:pPr>
        <w:pStyle w:val="4"/>
        <w:spacing w:before="0" w:after="0" w:line="560" w:lineRule="exact"/>
        <w:ind w:firstLine="643"/>
        <w:rPr>
          <w:rFonts w:ascii="Times New Roman" w:hAnsi="Times New Roman" w:cs="Times New Roman"/>
        </w:rPr>
      </w:pPr>
      <w:bookmarkStart w:id="53" w:name="_Toc5253"/>
      <w:r>
        <w:rPr>
          <w:rFonts w:ascii="Times New Roman" w:hAnsi="Times New Roman" w:cs="Times New Roman"/>
        </w:rPr>
        <w:t>1.</w:t>
      </w:r>
      <w:r>
        <w:rPr>
          <w:rFonts w:hint="eastAsia" w:ascii="Times New Roman" w:hAnsi="Times New Roman" w:cs="Times New Roman"/>
        </w:rPr>
        <w:t xml:space="preserve"> </w:t>
      </w:r>
      <w:r>
        <w:rPr>
          <w:rFonts w:ascii="Times New Roman" w:hAnsi="Times New Roman" w:cs="Times New Roman"/>
        </w:rPr>
        <w:t>项目效益</w:t>
      </w:r>
      <w:bookmarkEnd w:id="53"/>
    </w:p>
    <w:p w14:paraId="3875444F">
      <w:pPr>
        <w:spacing w:line="560" w:lineRule="exact"/>
        <w:ind w:firstLine="643"/>
        <w:rPr>
          <w:rFonts w:ascii="Times New Roman" w:hAnsi="Times New Roman" w:cs="Times New Roman"/>
          <w:b/>
          <w:bCs/>
          <w:sz w:val="32"/>
          <w:szCs w:val="32"/>
        </w:rPr>
      </w:pPr>
      <w:r>
        <w:rPr>
          <w:rFonts w:ascii="Times New Roman" w:hAnsi="Times New Roman" w:cs="Times New Roman"/>
          <w:b/>
          <w:bCs/>
          <w:sz w:val="32"/>
          <w:szCs w:val="32"/>
        </w:rPr>
        <w:t>（1）实施效益</w:t>
      </w:r>
    </w:p>
    <w:p w14:paraId="16160BAD">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经济效益指标：</w:t>
      </w:r>
      <w:r>
        <w:rPr>
          <w:rFonts w:hint="eastAsia" w:ascii="Times New Roman" w:hAnsi="Times New Roman" w:cs="Times New Roman"/>
          <w:spacing w:val="8"/>
          <w:sz w:val="32"/>
          <w:szCs w:val="32"/>
          <w:lang w:eastAsia="zh-CN"/>
        </w:rPr>
        <w:t>不适用。</w:t>
      </w:r>
    </w:p>
    <w:p w14:paraId="44B4C842">
      <w:pPr>
        <w:spacing w:line="560" w:lineRule="exact"/>
        <w:ind w:firstLine="672"/>
        <w:rPr>
          <w:rFonts w:hint="eastAsia" w:ascii="Times New Roman" w:hAnsi="Times New Roman" w:eastAsia="方正仿宋_GBK" w:cs="Times New Roman"/>
          <w:sz w:val="32"/>
          <w:szCs w:val="32"/>
        </w:rPr>
      </w:pPr>
      <w:r>
        <w:rPr>
          <w:rFonts w:ascii="Times New Roman" w:hAnsi="Times New Roman" w:cs="Times New Roman"/>
          <w:b/>
          <w:bCs/>
          <w:sz w:val="32"/>
          <w:szCs w:val="32"/>
        </w:rPr>
        <w:t>社会效益指标</w:t>
      </w:r>
      <w:r>
        <w:rPr>
          <w:rFonts w:ascii="Times New Roman" w:hAnsi="Times New Roman" w:cs="Times New Roman"/>
          <w:sz w:val="32"/>
          <w:szCs w:val="32"/>
        </w:rPr>
        <w:t>：</w:t>
      </w:r>
      <w:r>
        <w:rPr>
          <w:rFonts w:hint="eastAsia" w:ascii="Times New Roman" w:hAnsi="Times New Roman" w:cs="Times New Roman"/>
          <w:spacing w:val="8"/>
          <w:sz w:val="32"/>
          <w:szCs w:val="32"/>
          <w:lang w:eastAsia="zh-CN"/>
        </w:rPr>
        <w:t>评价指标“</w:t>
      </w:r>
      <w:r>
        <w:rPr>
          <w:rFonts w:hint="default" w:ascii="Times New Roman" w:hAnsi="Times New Roman" w:eastAsia="方正仿宋_GBK" w:cs="Times New Roman"/>
          <w:b w:val="0"/>
          <w:bCs w:val="0"/>
          <w:kern w:val="28"/>
          <w:sz w:val="32"/>
          <w:szCs w:val="32"/>
          <w:lang w:val="en-US" w:eastAsia="zh-CN" w:bidi="ar-SA"/>
        </w:rPr>
        <w:t>严肃仪容仪表及执法风纪</w:t>
      </w:r>
      <w:r>
        <w:rPr>
          <w:rFonts w:hint="eastAsia" w:ascii="Times New Roman" w:hAnsi="Times New Roman" w:cs="Times New Roman"/>
          <w:spacing w:val="8"/>
          <w:sz w:val="32"/>
          <w:szCs w:val="32"/>
          <w:lang w:eastAsia="zh-CN"/>
        </w:rPr>
        <w:t>”，指标值：</w:t>
      </w:r>
      <w:r>
        <w:rPr>
          <w:rFonts w:hint="default" w:ascii="Times New Roman" w:hAnsi="Times New Roman" w:eastAsia="方正仿宋_GBK" w:cs="Times New Roman"/>
          <w:b w:val="0"/>
          <w:bCs w:val="0"/>
          <w:kern w:val="28"/>
          <w:sz w:val="32"/>
          <w:szCs w:val="32"/>
          <w:lang w:val="en-US" w:eastAsia="zh-CN" w:bidi="ar-SA"/>
        </w:rPr>
        <w:t>逐步提高</w:t>
      </w:r>
      <w:r>
        <w:rPr>
          <w:rFonts w:hint="eastAsia" w:ascii="Times New Roman" w:hAnsi="Times New Roman" w:cs="Times New Roman"/>
          <w:spacing w:val="8"/>
          <w:sz w:val="32"/>
          <w:szCs w:val="32"/>
          <w:lang w:eastAsia="zh-CN"/>
        </w:rPr>
        <w:t>，实际完成值：完全达到预期。</w:t>
      </w:r>
      <w:r>
        <w:rPr>
          <w:rFonts w:hint="eastAsia" w:ascii="Times New Roman" w:hAnsi="Times New Roman" w:eastAsia="方正仿宋_GBK" w:cs="Times New Roman"/>
          <w:sz w:val="32"/>
          <w:szCs w:val="32"/>
        </w:rPr>
        <w:t>督促综合行政执法人员规范穿着制式服装、佩戴标志，持续加强市场监管队伍建设，严肃仪容仪表及执法风纪</w:t>
      </w:r>
      <w:r>
        <w:rPr>
          <w:rFonts w:hint="eastAsia" w:ascii="Times New Roman" w:hAnsi="Times New Roman" w:eastAsia="方正仿宋_GBK" w:cs="Times New Roman"/>
          <w:sz w:val="32"/>
          <w:szCs w:val="32"/>
          <w:lang w:eastAsia="zh-CN"/>
        </w:rPr>
        <w:t>，提升队伍凝聚力和执行力。</w:t>
      </w:r>
    </w:p>
    <w:p w14:paraId="0A990264">
      <w:pPr>
        <w:spacing w:line="560" w:lineRule="exact"/>
        <w:ind w:firstLine="672"/>
        <w:rPr>
          <w:rFonts w:hint="eastAsia" w:ascii="Times New Roman" w:hAnsi="Times New Roman" w:eastAsia="方正仿宋_GBK" w:cs="Times New Roman"/>
          <w:sz w:val="32"/>
          <w:szCs w:val="32"/>
        </w:rPr>
      </w:pPr>
      <w:r>
        <w:rPr>
          <w:rFonts w:hint="eastAsia" w:ascii="Times New Roman" w:hAnsi="Times New Roman" w:cs="Times New Roman"/>
          <w:spacing w:val="8"/>
          <w:sz w:val="32"/>
          <w:szCs w:val="32"/>
          <w:lang w:eastAsia="zh-CN"/>
        </w:rPr>
        <w:t>评价指标“维护执法人员良好形象”，指标值：有效维护，实际完成值：完全达到预期。</w:t>
      </w:r>
      <w:r>
        <w:rPr>
          <w:rFonts w:hint="eastAsia" w:ascii="Times New Roman" w:hAnsi="Times New Roman" w:eastAsia="方正仿宋_GBK" w:cs="Times New Roman"/>
          <w:sz w:val="32"/>
          <w:szCs w:val="32"/>
          <w:lang w:eastAsia="zh-CN"/>
        </w:rPr>
        <w:t>通过规范行政执法人员统一着装、规范着装，</w:t>
      </w:r>
      <w:r>
        <w:rPr>
          <w:rFonts w:hint="eastAsia" w:ascii="Times New Roman" w:hAnsi="Times New Roman" w:eastAsia="方正仿宋_GBK" w:cs="Times New Roman"/>
          <w:sz w:val="32"/>
          <w:szCs w:val="32"/>
        </w:rPr>
        <w:t>推进规范文明执法，</w:t>
      </w:r>
      <w:r>
        <w:rPr>
          <w:rFonts w:hint="eastAsia" w:ascii="Times New Roman" w:hAnsi="Times New Roman" w:eastAsia="方正仿宋_GBK" w:cs="Times New Roman"/>
          <w:sz w:val="32"/>
          <w:szCs w:val="32"/>
          <w:lang w:eastAsia="zh-CN"/>
        </w:rPr>
        <w:t>强化执法权威性和公信力，提升公众认知与社会信任，塑造良好政府形象</w:t>
      </w:r>
      <w:r>
        <w:rPr>
          <w:rFonts w:hint="eastAsia" w:ascii="Times New Roman" w:hAnsi="Times New Roman" w:eastAsia="方正仿宋_GBK" w:cs="Times New Roman"/>
          <w:sz w:val="32"/>
          <w:szCs w:val="32"/>
        </w:rPr>
        <w:t>。</w:t>
      </w:r>
    </w:p>
    <w:p w14:paraId="4EB1CDBB">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生态效益指标</w:t>
      </w:r>
      <w:r>
        <w:rPr>
          <w:rFonts w:ascii="Times New Roman" w:hAnsi="Times New Roman" w:cs="Times New Roman"/>
          <w:sz w:val="32"/>
          <w:szCs w:val="32"/>
        </w:rPr>
        <w:t>：</w:t>
      </w:r>
      <w:r>
        <w:rPr>
          <w:rFonts w:hint="eastAsia" w:ascii="Times New Roman" w:hAnsi="Times New Roman" w:cs="Times New Roman"/>
          <w:spacing w:val="8"/>
          <w:sz w:val="32"/>
          <w:szCs w:val="32"/>
          <w:lang w:eastAsia="zh-CN"/>
        </w:rPr>
        <w:t>不适用。</w:t>
      </w:r>
    </w:p>
    <w:p w14:paraId="459410BE">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w:t>
      </w:r>
      <w:r>
        <w:rPr>
          <w:rFonts w:hint="eastAsia" w:ascii="Times New Roman" w:hAnsi="Times New Roman" w:cs="Times New Roman"/>
          <w:b/>
          <w:kern w:val="0"/>
          <w:sz w:val="32"/>
          <w:szCs w:val="32"/>
          <w:lang w:val="en-US" w:eastAsia="zh-CN"/>
        </w:rPr>
        <w:t>2</w:t>
      </w:r>
      <w:r>
        <w:rPr>
          <w:rFonts w:ascii="Times New Roman" w:hAnsi="Times New Roman" w:cs="Times New Roman"/>
          <w:b/>
          <w:kern w:val="0"/>
          <w:sz w:val="32"/>
          <w:szCs w:val="32"/>
        </w:rPr>
        <w:t>0分，得分</w:t>
      </w:r>
      <w:r>
        <w:rPr>
          <w:rFonts w:hint="eastAsia" w:ascii="Times New Roman" w:hAnsi="Times New Roman" w:cs="Times New Roman"/>
          <w:b/>
          <w:kern w:val="0"/>
          <w:sz w:val="32"/>
          <w:szCs w:val="32"/>
          <w:lang w:val="en-US" w:eastAsia="zh-CN"/>
        </w:rPr>
        <w:t>20</w:t>
      </w:r>
      <w:r>
        <w:rPr>
          <w:rFonts w:ascii="Times New Roman" w:hAnsi="Times New Roman" w:cs="Times New Roman"/>
          <w:b/>
          <w:kern w:val="0"/>
          <w:sz w:val="32"/>
          <w:szCs w:val="32"/>
        </w:rPr>
        <w:t>分。</w:t>
      </w:r>
    </w:p>
    <w:p w14:paraId="22E50423">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54" w:name="_Toc67911617"/>
      <w:bookmarkStart w:id="55" w:name="_Toc20703"/>
      <w:r>
        <w:rPr>
          <w:rFonts w:ascii="Times New Roman" w:hAnsi="Times New Roman" w:eastAsia="黑体" w:cs="Times New Roman"/>
          <w:b w:val="0"/>
          <w:bCs w:val="0"/>
          <w:color w:val="000000"/>
          <w:spacing w:val="8"/>
          <w:kern w:val="0"/>
          <w:sz w:val="32"/>
          <w:szCs w:val="32"/>
        </w:rPr>
        <w:t>五、主要经验及做法、存在的问题及原因分析</w:t>
      </w:r>
      <w:bookmarkEnd w:id="54"/>
      <w:bookmarkEnd w:id="55"/>
    </w:p>
    <w:p w14:paraId="6C6E06A3">
      <w:pPr>
        <w:pStyle w:val="3"/>
        <w:spacing w:before="0" w:after="0" w:line="560" w:lineRule="exact"/>
        <w:ind w:firstLine="643"/>
        <w:rPr>
          <w:rFonts w:ascii="Times New Roman" w:hAnsi="Times New Roman" w:eastAsia="楷体" w:cs="Times New Roman"/>
          <w:color w:val="000000"/>
          <w:kern w:val="0"/>
        </w:rPr>
      </w:pPr>
      <w:bookmarkStart w:id="56" w:name="_Toc67911618"/>
      <w:bookmarkStart w:id="57" w:name="_Toc27872"/>
      <w:r>
        <w:rPr>
          <w:rFonts w:ascii="Times New Roman" w:hAnsi="Times New Roman" w:eastAsia="楷体" w:cs="Times New Roman"/>
          <w:color w:val="000000"/>
          <w:kern w:val="0"/>
        </w:rPr>
        <w:t>（一）主要经验及做法</w:t>
      </w:r>
      <w:bookmarkEnd w:id="56"/>
      <w:bookmarkEnd w:id="57"/>
    </w:p>
    <w:p w14:paraId="0A81E0C2">
      <w:pPr>
        <w:spacing w:line="600" w:lineRule="exact"/>
        <w:ind w:firstLine="640" w:firstLineChars="200"/>
        <w:outlineLvl w:val="0"/>
        <w:rPr>
          <w:rFonts w:hint="eastAsia" w:ascii="Times New Roman" w:hAnsi="Times New Roman" w:eastAsia="方正仿宋_GBK" w:cs="Times New Roman"/>
          <w:b w:val="0"/>
          <w:bCs w:val="0"/>
          <w:kern w:val="28"/>
          <w:sz w:val="32"/>
          <w:szCs w:val="32"/>
          <w:lang w:val="en-US" w:eastAsia="zh-CN" w:bidi="ar-SA"/>
        </w:rPr>
      </w:pPr>
      <w:bookmarkStart w:id="58" w:name="_Toc21348"/>
      <w:r>
        <w:rPr>
          <w:rFonts w:hint="eastAsia" w:ascii="Times New Roman" w:hAnsi="Times New Roman" w:eastAsia="方正仿宋_GBK" w:cs="Times New Roman"/>
          <w:b w:val="0"/>
          <w:bCs w:val="0"/>
          <w:kern w:val="28"/>
          <w:sz w:val="32"/>
          <w:szCs w:val="32"/>
          <w:lang w:val="en-US" w:eastAsia="zh-CN" w:bidi="ar-SA"/>
        </w:rPr>
        <w:t>1.提高认识，强化领导，全面推进绩效管理。积极组织单位人员学习绩效管理，充分认识到绩效管理工作的重要意义，树立清晰的绩效管理理念，强化领导责任，把绩效管理工作放在重要地位，为绩效管理工作顺利实施打下坚实基础。</w:t>
      </w:r>
    </w:p>
    <w:p w14:paraId="74CC420E">
      <w:pPr>
        <w:spacing w:line="600" w:lineRule="exact"/>
        <w:ind w:firstLine="640" w:firstLineChars="200"/>
        <w:outlineLvl w:val="0"/>
        <w:rPr>
          <w:rFonts w:hint="eastAsia" w:ascii="Times New Roman" w:hAnsi="Times New Roman" w:eastAsia="方正仿宋_GBK" w:cs="Times New Roman"/>
          <w:b w:val="0"/>
          <w:bCs w:val="0"/>
          <w:kern w:val="28"/>
          <w:sz w:val="32"/>
          <w:szCs w:val="32"/>
          <w:lang w:val="en-US" w:eastAsia="zh-CN" w:bidi="ar-SA"/>
        </w:rPr>
      </w:pPr>
      <w:r>
        <w:rPr>
          <w:rFonts w:hint="eastAsia" w:ascii="Times New Roman" w:hAnsi="Times New Roman" w:eastAsia="方正仿宋_GBK" w:cs="Times New Roman"/>
          <w:b w:val="0"/>
          <w:bCs w:val="0"/>
          <w:kern w:val="28"/>
          <w:sz w:val="32"/>
          <w:szCs w:val="32"/>
          <w:lang w:val="en-US" w:eastAsia="zh-CN" w:bidi="ar-SA"/>
        </w:rPr>
        <w:t>2.科学设置指标，注重细节，为全面推进绩效管理奠定基础。设置项目绩效指标首先根据上级下达的目标，合理设置本单位年度目标。各业务科室根据单位全年目标，结合本科室工作内容，在预算资金内，合理细化绩效目标，确保绩效目标的一致性、精准性。</w:t>
      </w:r>
    </w:p>
    <w:p w14:paraId="6D834A92">
      <w:pPr>
        <w:spacing w:line="600" w:lineRule="exact"/>
        <w:ind w:firstLine="640" w:firstLineChars="200"/>
        <w:outlineLvl w:val="0"/>
        <w:rPr>
          <w:rFonts w:hint="eastAsia"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3</w:t>
      </w:r>
      <w:r>
        <w:rPr>
          <w:rFonts w:hint="eastAsia" w:ascii="Times New Roman" w:hAnsi="Times New Roman" w:eastAsia="方正仿宋_GBK" w:cs="Times New Roman"/>
          <w:b w:val="0"/>
          <w:bCs w:val="0"/>
          <w:kern w:val="28"/>
          <w:sz w:val="32"/>
          <w:szCs w:val="32"/>
          <w:lang w:val="en-US" w:eastAsia="zh-CN" w:bidi="ar-SA"/>
        </w:rPr>
        <w:t>.严格坚持先做事、后验收、再拨付的原则，基本杜绝了资金被挤占和挪用现象的发生，跟踪检查到位。在监督环节上，实行关口前移，从事后监督管理转向事前审核，事中监督和事后检查相结合的监督制度上来，形成多环节全过程的监督管理格局，尽量早发现问题，早解决问题。</w:t>
      </w:r>
    </w:p>
    <w:p w14:paraId="721D1C8C">
      <w:pPr>
        <w:pStyle w:val="3"/>
        <w:spacing w:before="0" w:after="0" w:line="560" w:lineRule="exact"/>
        <w:ind w:firstLine="643"/>
        <w:rPr>
          <w:rFonts w:ascii="Times New Roman" w:hAnsi="Times New Roman" w:eastAsia="楷体" w:cs="Times New Roman"/>
          <w:color w:val="000000"/>
          <w:kern w:val="0"/>
        </w:rPr>
      </w:pPr>
      <w:r>
        <w:rPr>
          <w:rFonts w:ascii="Times New Roman" w:hAnsi="Times New Roman" w:eastAsia="楷体" w:cs="Times New Roman"/>
          <w:color w:val="000000"/>
          <w:kern w:val="0"/>
        </w:rPr>
        <w:t>（二）存在的问题及原因分析</w:t>
      </w:r>
      <w:bookmarkEnd w:id="58"/>
    </w:p>
    <w:p w14:paraId="5CC1EF62">
      <w:pPr>
        <w:spacing w:line="600" w:lineRule="exact"/>
        <w:ind w:firstLine="640" w:firstLineChars="200"/>
        <w:outlineLvl w:val="0"/>
        <w:rPr>
          <w:rFonts w:hint="eastAsia" w:ascii="Times New Roman" w:hAnsi="Times New Roman" w:eastAsia="方正仿宋_GBK" w:cs="Times New Roman"/>
          <w:b w:val="0"/>
          <w:bCs w:val="0"/>
          <w:kern w:val="28"/>
          <w:sz w:val="32"/>
          <w:szCs w:val="32"/>
          <w:lang w:val="en-US" w:eastAsia="zh-CN" w:bidi="ar-SA"/>
        </w:rPr>
      </w:pPr>
      <w:bookmarkStart w:id="59" w:name="_Toc13493"/>
      <w:bookmarkStart w:id="60" w:name="_Toc67911620"/>
      <w:bookmarkStart w:id="61" w:name="_Toc67911619"/>
      <w:r>
        <w:rPr>
          <w:rFonts w:hint="default" w:ascii="Times New Roman" w:hAnsi="Times New Roman" w:eastAsia="方正仿宋_GBK" w:cs="Times New Roman"/>
          <w:b w:val="0"/>
          <w:bCs w:val="0"/>
          <w:kern w:val="28"/>
          <w:sz w:val="32"/>
          <w:szCs w:val="32"/>
          <w:lang w:val="en-US" w:eastAsia="zh-CN" w:bidi="ar-SA"/>
        </w:rPr>
        <w:t>1</w:t>
      </w:r>
      <w:r>
        <w:rPr>
          <w:rFonts w:hint="eastAsia" w:ascii="Times New Roman" w:hAnsi="Times New Roman" w:eastAsia="方正仿宋_GBK" w:cs="Times New Roman"/>
          <w:b w:val="0"/>
          <w:bCs w:val="0"/>
          <w:kern w:val="28"/>
          <w:sz w:val="32"/>
          <w:szCs w:val="32"/>
          <w:lang w:val="en-US" w:eastAsia="zh-CN" w:bidi="ar-SA"/>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3A2C065D">
      <w:pPr>
        <w:spacing w:line="600" w:lineRule="exact"/>
        <w:ind w:firstLine="640" w:firstLineChars="200"/>
        <w:outlineLvl w:val="0"/>
        <w:rPr>
          <w:rFonts w:hint="eastAsia"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2</w:t>
      </w:r>
      <w:r>
        <w:rPr>
          <w:rFonts w:hint="eastAsia" w:ascii="Times New Roman" w:hAnsi="Times New Roman" w:eastAsia="方正仿宋_GBK" w:cs="Times New Roman"/>
          <w:b w:val="0"/>
          <w:bCs w:val="0"/>
          <w:kern w:val="28"/>
          <w:sz w:val="32"/>
          <w:szCs w:val="32"/>
          <w:lang w:val="en-US" w:eastAsia="zh-CN" w:bidi="ar-SA"/>
        </w:rPr>
        <w:t>.财务管理和业务管理制度融合度较低。造成此问题的主要原因是各业务科室在彼此的领域沟通了解较少，导致单位业务与财务融合度较低，加强单位各科室人员的相互学习能力，促使财务管理制度与业务管理制度更好的融合在一起，相辅相成。</w:t>
      </w:r>
    </w:p>
    <w:p w14:paraId="2E99E380">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rPr>
      </w:pPr>
      <w:r>
        <w:rPr>
          <w:rFonts w:ascii="Times New Roman" w:hAnsi="Times New Roman" w:eastAsia="黑体" w:cs="Times New Roman"/>
          <w:b w:val="0"/>
          <w:bCs w:val="0"/>
          <w:color w:val="000000"/>
          <w:spacing w:val="8"/>
          <w:kern w:val="0"/>
          <w:sz w:val="32"/>
          <w:szCs w:val="32"/>
        </w:rPr>
        <w:t>六、有关建议</w:t>
      </w:r>
      <w:bookmarkEnd w:id="59"/>
      <w:bookmarkEnd w:id="60"/>
    </w:p>
    <w:p w14:paraId="43E25944">
      <w:pPr>
        <w:spacing w:line="600" w:lineRule="exact"/>
        <w:ind w:firstLine="640" w:firstLineChars="200"/>
        <w:outlineLvl w:val="0"/>
        <w:rPr>
          <w:rFonts w:hint="eastAsia" w:ascii="Times New Roman" w:hAnsi="Times New Roman" w:eastAsia="方正仿宋_GBK" w:cs="Times New Roman"/>
          <w:b w:val="0"/>
          <w:bCs w:val="0"/>
          <w:kern w:val="28"/>
          <w:sz w:val="32"/>
          <w:szCs w:val="32"/>
          <w:lang w:val="en-US" w:eastAsia="zh-CN" w:bidi="ar-SA"/>
        </w:rPr>
      </w:pPr>
      <w:bookmarkStart w:id="62" w:name="_Toc17626"/>
      <w:r>
        <w:rPr>
          <w:rFonts w:hint="eastAsia" w:ascii="Times New Roman" w:hAnsi="Times New Roman" w:eastAsia="方正仿宋_GBK" w:cs="Times New Roman"/>
          <w:b w:val="0"/>
          <w:bCs w:val="0"/>
          <w:kern w:val="28"/>
          <w:sz w:val="32"/>
          <w:szCs w:val="32"/>
          <w:lang w:val="en-US" w:eastAsia="zh-CN" w:bidi="ar-SA"/>
        </w:rPr>
        <w:t>1.多进行有关绩效管理工作方面的培训。积极组织第三方开展绩效管理工作培训，进一步夯实业务基础，提高我单位绩效人员水平。</w:t>
      </w:r>
    </w:p>
    <w:p w14:paraId="0B171992">
      <w:pPr>
        <w:spacing w:line="600" w:lineRule="exact"/>
        <w:ind w:firstLine="640" w:firstLineChars="200"/>
        <w:outlineLvl w:val="0"/>
        <w:rPr>
          <w:rFonts w:hint="eastAsia" w:ascii="Times New Roman" w:hAnsi="Times New Roman" w:eastAsia="方正仿宋_GBK" w:cs="Times New Roman"/>
          <w:b w:val="0"/>
          <w:bCs w:val="0"/>
          <w:kern w:val="28"/>
          <w:sz w:val="32"/>
          <w:szCs w:val="32"/>
          <w:lang w:val="en-US" w:eastAsia="zh-CN" w:bidi="ar-SA"/>
        </w:rPr>
      </w:pPr>
      <w:r>
        <w:rPr>
          <w:rFonts w:hint="eastAsia" w:ascii="Times New Roman" w:hAnsi="Times New Roman" w:eastAsia="方正仿宋_GBK" w:cs="Times New Roman"/>
          <w:b w:val="0"/>
          <w:bCs w:val="0"/>
          <w:kern w:val="28"/>
          <w:sz w:val="32"/>
          <w:szCs w:val="32"/>
          <w:lang w:val="en-US" w:eastAsia="zh-CN" w:bidi="ar-SA"/>
        </w:rPr>
        <w:t>2.专门设定对绩效工作人员定职、定岗、定责等相关制度措施，进一步提升我单位绩效管理工作业务水平，扎实做好绩效管理工作。</w:t>
      </w:r>
    </w:p>
    <w:p w14:paraId="1DDCC010">
      <w:pPr>
        <w:spacing w:line="600" w:lineRule="exact"/>
        <w:ind w:firstLine="640" w:firstLineChars="200"/>
        <w:outlineLvl w:val="0"/>
        <w:rPr>
          <w:rFonts w:hint="eastAsia" w:ascii="Times New Roman" w:hAnsi="Times New Roman" w:eastAsia="方正仿宋_GBK" w:cs="Times New Roman"/>
          <w:b w:val="0"/>
          <w:bCs w:val="0"/>
          <w:kern w:val="28"/>
          <w:sz w:val="32"/>
          <w:szCs w:val="32"/>
          <w:lang w:val="en-US" w:eastAsia="zh-CN" w:bidi="ar-SA"/>
        </w:rPr>
      </w:pPr>
      <w:r>
        <w:rPr>
          <w:rFonts w:hint="eastAsia" w:ascii="Times New Roman" w:hAnsi="Times New Roman" w:eastAsia="方正仿宋_GBK" w:cs="Times New Roman"/>
          <w:b w:val="0"/>
          <w:bCs w:val="0"/>
          <w:kern w:val="28"/>
          <w:sz w:val="32"/>
          <w:szCs w:val="32"/>
          <w:lang w:val="en-US" w:eastAsia="zh-CN" w:bidi="ar-SA"/>
        </w:rPr>
        <w:t>3.加强与财政沟通协调，确保资金及时到位。在经济下行，财政紧张的大形势下，需加强与财政沟通协调，及时申请拨付资金，确保项目经费及时支付，保障各项工作正常运转。</w:t>
      </w:r>
    </w:p>
    <w:p w14:paraId="121816A3">
      <w:pPr>
        <w:spacing w:line="600" w:lineRule="exact"/>
        <w:ind w:firstLine="640" w:firstLineChars="200"/>
        <w:outlineLvl w:val="0"/>
        <w:rPr>
          <w:rFonts w:hint="eastAsia" w:ascii="Times New Roman" w:hAnsi="Times New Roman" w:eastAsia="方正仿宋_GBK" w:cs="Times New Roman"/>
          <w:b w:val="0"/>
          <w:bCs w:val="0"/>
          <w:kern w:val="28"/>
          <w:sz w:val="32"/>
          <w:szCs w:val="32"/>
          <w:lang w:val="en-US" w:eastAsia="zh-CN" w:bidi="ar-SA"/>
        </w:rPr>
      </w:pPr>
      <w:r>
        <w:rPr>
          <w:rFonts w:hint="eastAsia" w:ascii="Times New Roman" w:hAnsi="Times New Roman" w:eastAsia="方正仿宋_GBK" w:cs="Times New Roman"/>
          <w:b w:val="0"/>
          <w:bCs w:val="0"/>
          <w:kern w:val="28"/>
          <w:sz w:val="32"/>
          <w:szCs w:val="32"/>
          <w:lang w:val="en-US" w:eastAsia="zh-CN" w:bidi="ar-SA"/>
        </w:rPr>
        <w:t>4.加强项目的绩效管理。不断完善、细化并落实管理制度和项目支出评价指标体系；严格落实运行机制，对项目资金进行认真详细事前绩效目标编审、事中绩效监控、事后的评价，及时发现纠正项目实施过程中存在的问题，不断提升绩效管理质效。</w:t>
      </w:r>
    </w:p>
    <w:p w14:paraId="0C3F4AD7">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rPr>
      </w:pPr>
      <w:r>
        <w:rPr>
          <w:rFonts w:ascii="Times New Roman" w:hAnsi="Times New Roman" w:eastAsia="黑体" w:cs="Times New Roman"/>
          <w:b w:val="0"/>
          <w:bCs w:val="0"/>
          <w:color w:val="000000"/>
          <w:spacing w:val="8"/>
          <w:kern w:val="0"/>
          <w:sz w:val="32"/>
          <w:szCs w:val="32"/>
        </w:rPr>
        <w:t>七、其他需要说明的问题</w:t>
      </w:r>
      <w:bookmarkEnd w:id="61"/>
      <w:bookmarkEnd w:id="62"/>
    </w:p>
    <w:p w14:paraId="0F717426">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（一）项目支出政策和路径设计科学，符合实际需要；</w:t>
      </w:r>
    </w:p>
    <w:p w14:paraId="5136E629">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（二）项目安排准确，未发现背离项目立项初衷的情况；</w:t>
      </w:r>
    </w:p>
    <w:p w14:paraId="2DB6203B">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（三）项目的申报、审核机制完善；</w:t>
      </w:r>
    </w:p>
    <w:p w14:paraId="12450FD9">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（四）未发现虚假行为和骗取财政资金的问题。</w:t>
      </w: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C3115F3-58D4-4C46-84D0-A95731BE14C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7CEEAAA7-3973-46E7-88D5-C0A1F0E18EE8}"/>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3" w:fontKey="{0B834413-A319-4E05-8D15-BF464BED3CBA}"/>
  </w:font>
  <w:font w:name="方正仿宋_GBK">
    <w:panose1 w:val="02000000000000000000"/>
    <w:charset w:val="86"/>
    <w:family w:val="auto"/>
    <w:pitch w:val="default"/>
    <w:sig w:usb0="A00002BF" w:usb1="38CF7CFA" w:usb2="00082016" w:usb3="00000000" w:csb0="00040001" w:csb1="00000000"/>
    <w:embedRegular r:id="rId4" w:fontKey="{3DA87CEB-8A06-4E78-9DC9-ECAC86AB584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677B51">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65074D">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66E8C">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14:paraId="2C5A0A2A">
        <w:pPr>
          <w:pStyle w:val="10"/>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10</w:t>
        </w:r>
        <w:r>
          <w:rPr>
            <w:rFonts w:hint="eastAsia" w:ascii="仿宋_GB2312" w:eastAsia="仿宋_GB2312"/>
            <w:sz w:val="21"/>
            <w:szCs w:val="21"/>
          </w:rPr>
          <w:fldChar w:fldCharType="end"/>
        </w:r>
      </w:p>
    </w:sdtContent>
  </w:sdt>
  <w:p w14:paraId="26B2C05A">
    <w:pPr>
      <w:pStyle w:val="10"/>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ascii="仿宋_GB2312" w:eastAsia="仿宋_GB2312"/>
        <w:sz w:val="21"/>
        <w:szCs w:val="21"/>
      </w:rPr>
    </w:sdtEndPr>
    <w:sdtContent>
      <w:p w14:paraId="01C0B51B">
        <w:pPr>
          <w:pStyle w:val="10"/>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18</w:t>
        </w:r>
        <w:r>
          <w:rPr>
            <w:rFonts w:hint="eastAsia" w:ascii="仿宋_GB2312" w:eastAsia="仿宋_GB2312"/>
            <w:sz w:val="21"/>
            <w:szCs w:val="21"/>
          </w:rPr>
          <w:fldChar w:fldCharType="end"/>
        </w:r>
      </w:p>
    </w:sdtContent>
  </w:sdt>
  <w:p w14:paraId="616DB93D">
    <w:pPr>
      <w:pStyle w:val="10"/>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560"/>
      </w:pPr>
      <w:r>
        <w:separator/>
      </w:r>
    </w:p>
  </w:footnote>
  <w:footnote w:type="continuationSeparator" w:id="3">
    <w:p>
      <w:pPr>
        <w:ind w:firstLine="560"/>
      </w:pPr>
      <w:r>
        <w:continuationSeparator/>
      </w:r>
    </w:p>
  </w:footnote>
  <w:footnote w:id="0">
    <w:p w14:paraId="65C5DBCF">
      <w:pPr>
        <w:pStyle w:val="13"/>
        <w:ind w:firstLine="0" w:firstLineChars="0"/>
      </w:pPr>
      <w:r>
        <w:rPr>
          <w:rStyle w:val="21"/>
        </w:rPr>
        <w:footnoteRef/>
      </w: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AC2869">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D6236">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10DED7">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5BE05E">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23361">
    <w:pPr>
      <w:pStyle w:val="11"/>
      <w:ind w:firstLine="560"/>
      <w:jc w:val="right"/>
      <w:rPr>
        <w:rFonts w:ascii="仿宋_GB2312" w:eastAsia="仿宋_GB2312"/>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5153B"/>
    <w:multiLevelType w:val="singleLevel"/>
    <w:tmpl w:val="0585153B"/>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NotTrackMoves/>
  <w:documentProtection w:enforcement="0"/>
  <w:defaultTabStop w:val="420"/>
  <w:drawingGridHorizontalSpacing w:val="140"/>
  <w:drawingGridVerticalSpacing w:val="381"/>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0YTcxZmQ0OGZkYTZhZmE0YTc5YTlhN2MyYzkzNDgifQ=="/>
  </w:docVars>
  <w:rsids>
    <w:rsidRoot w:val="00000000"/>
    <w:rsid w:val="06D5203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7"/>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Body Text Indent"/>
    <w:basedOn w:val="1"/>
    <w:next w:val="6"/>
    <w:unhideWhenUsed/>
    <w:qFormat/>
    <w:uiPriority w:val="0"/>
    <w:pPr>
      <w:adjustRightInd w:val="0"/>
      <w:snapToGrid w:val="0"/>
      <w:spacing w:beforeLines="0" w:after="120" w:afterLines="0"/>
      <w:ind w:left="420" w:leftChars="200"/>
      <w:jc w:val="left"/>
    </w:pPr>
    <w:rPr>
      <w:rFonts w:hint="default" w:ascii="Tahoma" w:hAnsi="Tahoma" w:eastAsia="微软雅黑"/>
      <w:kern w:val="0"/>
      <w:sz w:val="22"/>
    </w:rPr>
  </w:style>
  <w:style w:type="paragraph" w:customStyle="1" w:styleId="6">
    <w:name w:val="Char Char Char"/>
    <w:basedOn w:val="1"/>
    <w:qFormat/>
    <w:uiPriority w:val="0"/>
  </w:style>
  <w:style w:type="paragraph" w:styleId="7">
    <w:name w:val="toc 3"/>
    <w:basedOn w:val="1"/>
    <w:next w:val="1"/>
    <w:unhideWhenUsed/>
    <w:qFormat/>
    <w:uiPriority w:val="39"/>
    <w:pPr>
      <w:ind w:left="840" w:leftChars="400"/>
    </w:pPr>
  </w:style>
  <w:style w:type="paragraph" w:styleId="8">
    <w:name w:val="Date"/>
    <w:basedOn w:val="1"/>
    <w:next w:val="1"/>
    <w:link w:val="27"/>
    <w:semiHidden/>
    <w:unhideWhenUsed/>
    <w:qFormat/>
    <w:uiPriority w:val="99"/>
    <w:pPr>
      <w:ind w:left="100" w:leftChars="2500"/>
    </w:pPr>
  </w:style>
  <w:style w:type="paragraph" w:styleId="9">
    <w:name w:val="Balloon Text"/>
    <w:basedOn w:val="1"/>
    <w:link w:val="36"/>
    <w:semiHidden/>
    <w:unhideWhenUsed/>
    <w:qFormat/>
    <w:uiPriority w:val="99"/>
    <w:rPr>
      <w:sz w:val="18"/>
      <w:szCs w:val="18"/>
    </w:rPr>
  </w:style>
  <w:style w:type="paragraph" w:styleId="10">
    <w:name w:val="footer"/>
    <w:basedOn w:val="1"/>
    <w:link w:val="26"/>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2">
    <w:name w:val="toc 1"/>
    <w:basedOn w:val="1"/>
    <w:next w:val="1"/>
    <w:unhideWhenUsed/>
    <w:qFormat/>
    <w:uiPriority w:val="39"/>
  </w:style>
  <w:style w:type="paragraph" w:styleId="13">
    <w:name w:val="footnote text"/>
    <w:basedOn w:val="1"/>
    <w:link w:val="29"/>
    <w:semiHidden/>
    <w:unhideWhenUsed/>
    <w:qFormat/>
    <w:uiPriority w:val="99"/>
    <w:pPr>
      <w:snapToGrid w:val="0"/>
      <w:jc w:val="left"/>
    </w:pPr>
    <w:rPr>
      <w:sz w:val="18"/>
      <w:szCs w:val="18"/>
    </w:rPr>
  </w:style>
  <w:style w:type="paragraph" w:styleId="14">
    <w:name w:val="toc 2"/>
    <w:basedOn w:val="1"/>
    <w:next w:val="1"/>
    <w:unhideWhenUsed/>
    <w:qFormat/>
    <w:uiPriority w:val="39"/>
    <w:pPr>
      <w:ind w:left="420" w:leftChars="200"/>
    </w:pPr>
  </w:style>
  <w:style w:type="paragraph" w:styleId="15">
    <w:name w:val="Body Text First Indent 2"/>
    <w:basedOn w:val="5"/>
    <w:next w:val="1"/>
    <w:unhideWhenUsed/>
    <w:qFormat/>
    <w:uiPriority w:val="0"/>
    <w:pPr>
      <w:spacing w:before="100" w:beforeLines="0" w:beforeAutospacing="1" w:afterLines="0"/>
      <w:ind w:left="0" w:firstLine="420" w:firstLineChars="200"/>
    </w:pPr>
    <w:rPr>
      <w:rFonts w:hint="default" w:ascii="Times New Roman" w:hAnsi="Times New Roman"/>
      <w:sz w:val="22"/>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basedOn w:val="18"/>
    <w:qFormat/>
    <w:uiPriority w:val="0"/>
    <w:rPr>
      <w:b/>
      <w:bCs/>
    </w:rPr>
  </w:style>
  <w:style w:type="character" w:styleId="20">
    <w:name w:val="Hyperlink"/>
    <w:basedOn w:val="18"/>
    <w:unhideWhenUsed/>
    <w:qFormat/>
    <w:uiPriority w:val="99"/>
    <w:rPr>
      <w:color w:val="0563C1" w:themeColor="hyperlink"/>
      <w:u w:val="single"/>
      <w14:textFill>
        <w14:solidFill>
          <w14:schemeClr w14:val="hlink"/>
        </w14:solidFill>
      </w14:textFill>
    </w:rPr>
  </w:style>
  <w:style w:type="character" w:styleId="21">
    <w:name w:val="footnote reference"/>
    <w:basedOn w:val="18"/>
    <w:semiHidden/>
    <w:unhideWhenUsed/>
    <w:qFormat/>
    <w:uiPriority w:val="99"/>
    <w:rPr>
      <w:vertAlign w:val="superscript"/>
    </w:rPr>
  </w:style>
  <w:style w:type="paragraph" w:customStyle="1" w:styleId="22">
    <w:name w:val="Comment Text"/>
    <w:basedOn w:val="1"/>
    <w:link w:val="34"/>
    <w:unhideWhenUsed/>
    <w:qFormat/>
    <w:uiPriority w:val="99"/>
    <w:pPr>
      <w:jc w:val="left"/>
    </w:pPr>
  </w:style>
  <w:style w:type="paragraph" w:customStyle="1" w:styleId="23">
    <w:name w:val="Comment Subject"/>
    <w:basedOn w:val="22"/>
    <w:next w:val="22"/>
    <w:link w:val="35"/>
    <w:semiHidden/>
    <w:unhideWhenUsed/>
    <w:qFormat/>
    <w:uiPriority w:val="99"/>
    <w:rPr>
      <w:b/>
      <w:bCs/>
    </w:rPr>
  </w:style>
  <w:style w:type="character" w:customStyle="1" w:styleId="24">
    <w:name w:val="Comment Reference"/>
    <w:basedOn w:val="18"/>
    <w:semiHidden/>
    <w:unhideWhenUsed/>
    <w:qFormat/>
    <w:uiPriority w:val="99"/>
    <w:rPr>
      <w:sz w:val="21"/>
      <w:szCs w:val="21"/>
    </w:rPr>
  </w:style>
  <w:style w:type="character" w:customStyle="1" w:styleId="25">
    <w:name w:val="页眉 Char"/>
    <w:basedOn w:val="18"/>
    <w:link w:val="11"/>
    <w:qFormat/>
    <w:uiPriority w:val="99"/>
    <w:rPr>
      <w:sz w:val="18"/>
      <w:szCs w:val="18"/>
    </w:rPr>
  </w:style>
  <w:style w:type="character" w:customStyle="1" w:styleId="26">
    <w:name w:val="页脚 Char"/>
    <w:basedOn w:val="18"/>
    <w:link w:val="10"/>
    <w:qFormat/>
    <w:uiPriority w:val="99"/>
    <w:rPr>
      <w:sz w:val="18"/>
      <w:szCs w:val="18"/>
    </w:rPr>
  </w:style>
  <w:style w:type="character" w:customStyle="1" w:styleId="27">
    <w:name w:val="日期 Char"/>
    <w:basedOn w:val="18"/>
    <w:link w:val="8"/>
    <w:semiHidden/>
    <w:qFormat/>
    <w:uiPriority w:val="99"/>
    <w:rPr>
      <w:rFonts w:ascii="Calibri" w:hAnsi="Calibri" w:eastAsia="仿宋_GB2312" w:cs="黑体"/>
      <w:sz w:val="28"/>
    </w:rPr>
  </w:style>
  <w:style w:type="character" w:customStyle="1" w:styleId="28">
    <w:name w:val="标题 2 Char"/>
    <w:basedOn w:val="18"/>
    <w:link w:val="3"/>
    <w:qFormat/>
    <w:uiPriority w:val="9"/>
    <w:rPr>
      <w:rFonts w:asciiTheme="majorHAnsi" w:hAnsiTheme="majorHAnsi" w:eastAsiaTheme="majorEastAsia" w:cstheme="majorBidi"/>
      <w:b/>
      <w:bCs/>
      <w:sz w:val="32"/>
      <w:szCs w:val="32"/>
    </w:rPr>
  </w:style>
  <w:style w:type="character" w:customStyle="1" w:styleId="29">
    <w:name w:val="脚注文本 Char"/>
    <w:basedOn w:val="18"/>
    <w:link w:val="13"/>
    <w:semiHidden/>
    <w:qFormat/>
    <w:uiPriority w:val="99"/>
    <w:rPr>
      <w:rFonts w:ascii="Calibri" w:hAnsi="Calibri" w:eastAsia="仿宋_GB2312" w:cs="黑体"/>
      <w:sz w:val="18"/>
      <w:szCs w:val="18"/>
    </w:rPr>
  </w:style>
  <w:style w:type="paragraph" w:styleId="30">
    <w:name w:val="List Paragraph"/>
    <w:basedOn w:val="1"/>
    <w:qFormat/>
    <w:uiPriority w:val="34"/>
    <w:pPr>
      <w:ind w:firstLine="420"/>
    </w:pPr>
  </w:style>
  <w:style w:type="table" w:customStyle="1" w:styleId="31">
    <w:name w:val="网格型1"/>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
    <w:name w:val="标题 1 Char"/>
    <w:basedOn w:val="18"/>
    <w:link w:val="2"/>
    <w:qFormat/>
    <w:uiPriority w:val="9"/>
    <w:rPr>
      <w:rFonts w:ascii="Calibri" w:hAnsi="Calibri" w:eastAsia="仿宋_GB2312" w:cs="黑体"/>
      <w:b/>
      <w:bCs/>
      <w:kern w:val="44"/>
      <w:sz w:val="44"/>
      <w:szCs w:val="44"/>
    </w:rPr>
  </w:style>
  <w:style w:type="paragraph" w:customStyle="1" w:styleId="33">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4">
    <w:name w:val="批注文字 Char"/>
    <w:basedOn w:val="18"/>
    <w:link w:val="22"/>
    <w:qFormat/>
    <w:uiPriority w:val="99"/>
    <w:rPr>
      <w:rFonts w:ascii="Calibri" w:hAnsi="Calibri" w:eastAsia="仿宋_GB2312" w:cs="黑体"/>
      <w:sz w:val="28"/>
    </w:rPr>
  </w:style>
  <w:style w:type="character" w:customStyle="1" w:styleId="35">
    <w:name w:val="批注主题 Char"/>
    <w:basedOn w:val="34"/>
    <w:link w:val="23"/>
    <w:semiHidden/>
    <w:qFormat/>
    <w:uiPriority w:val="99"/>
    <w:rPr>
      <w:rFonts w:ascii="Calibri" w:hAnsi="Calibri" w:eastAsia="仿宋_GB2312" w:cs="黑体"/>
      <w:b/>
      <w:bCs/>
      <w:sz w:val="28"/>
    </w:rPr>
  </w:style>
  <w:style w:type="character" w:customStyle="1" w:styleId="36">
    <w:name w:val="批注框文本 Char"/>
    <w:basedOn w:val="18"/>
    <w:link w:val="9"/>
    <w:semiHidden/>
    <w:qFormat/>
    <w:uiPriority w:val="99"/>
    <w:rPr>
      <w:rFonts w:ascii="Calibri" w:hAnsi="Calibri" w:eastAsia="仿宋_GB2312" w:cs="黑体"/>
      <w:sz w:val="18"/>
      <w:szCs w:val="18"/>
    </w:rPr>
  </w:style>
  <w:style w:type="character" w:customStyle="1" w:styleId="37">
    <w:name w:val="标题 3 Char"/>
    <w:basedOn w:val="18"/>
    <w:link w:val="4"/>
    <w:qFormat/>
    <w:uiPriority w:val="9"/>
    <w:rPr>
      <w:rFonts w:ascii="Calibri" w:hAnsi="Calibri" w:eastAsia="仿宋_GB2312" w:cs="黑体"/>
      <w:b/>
      <w:bCs/>
      <w:sz w:val="32"/>
      <w:szCs w:val="32"/>
    </w:rPr>
  </w:style>
  <w:style w:type="paragraph" w:customStyle="1" w:styleId="38">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DE0AAFD278A34A28AD20C01E98CEC023_12</vt:lpwstr>
  </property>
  <property fmtid="{D5CDD505-2E9C-101B-9397-08002B2CF9AE}" pid="4" name="KSOTemplateDocerSaveRecord">
    <vt:lpwstr>eyJoZGlkIjoiYTA0YTcxZmQ0OGZkYTZhZmE0YTc5YTlhN2MyYzkzNDgifQ==</vt:lpwstr>
  </property>
</Properties>
</file>

<file path=customXml/itemProps1.xml><?xml version="1.0" encoding="utf-8"?>
<ds:datastoreItem xmlns:ds="http://schemas.openxmlformats.org/officeDocument/2006/customXml" ds:itemID="{AC916186-BD0D-4AA6-9A71-544A29A0BA70}">
  <ds:schemaRefs/>
</ds:datastoreItem>
</file>

<file path=customXml/itemProps2.xml><?xml version="1.0" encoding="utf-8"?>
<ds:datastoreItem xmlns:ds="http://schemas.openxmlformats.org/officeDocument/2006/customXml" ds:itemID="{a758858d-e352-4e54-93cf-1018126f87e2}">
  <ds:schemaRefs/>
</ds:datastoreItem>
</file>

<file path=docProps/app.xml><?xml version="1.0" encoding="utf-8"?>
<Properties xmlns="http://schemas.openxmlformats.org/officeDocument/2006/extended-properties" xmlns:vt="http://schemas.openxmlformats.org/officeDocument/2006/docPropsVTypes">
  <Template>Normal</Template>
  <Pages>30</Pages>
  <Words>8606</Words>
  <Characters>9017</Characters>
  <Lines>77</Lines>
  <Paragraphs>21</Paragraphs>
  <TotalTime>14</TotalTime>
  <ScaleCrop>false</ScaleCrop>
  <LinksUpToDate>false</LinksUpToDate>
  <CharactersWithSpaces>9170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2024-05-07T04:46:00Z</dcterms:created>
  <dc:creator>张 宇</dc:creator>
  <cp:lastModifiedBy>白羊</cp:lastModifiedBy>
  <cp:lastPrinted>2023-04-11T02:57:00Z</cp:lastPrinted>
  <dcterms:modified xsi:type="dcterms:W3CDTF">2025-11-05T03:58:50Z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DE0AAFD278A34A28AD20C01E98CEC023_12</vt:lpwstr>
  </property>
  <property fmtid="{D5CDD505-2E9C-101B-9397-08002B2CF9AE}" pid="4" name="KSOTemplateDocerSaveRecord">
    <vt:lpwstr>eyJoZGlkIjoiYjM4NWYyMWE2NWU1OGNiMmIxMmZkYzA5MWEwNzJlZmIiLCJ1c2VySWQiOiI0MzE2NzY3NzkifQ==</vt:lpwstr>
  </property>
</Properties>
</file>