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乌鲁木齐市水磨沟区水塔山街道办事处2024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EE4809E">
      <w:r>
        <w:br w:type="page"/>
      </w:r>
    </w:p>
    <w:p w14:paraId="46F3393A">
      <w:pPr>
        <w:spacing w:line="640" w:lineRule="exact"/>
        <w:jc w:val="center"/>
        <w:outlineLvl w:val="1"/>
      </w:pPr>
      <w:r>
        <w:rPr>
          <w:rFonts w:ascii="黑体" w:hAnsi="黑体" w:eastAsia="黑体"/>
          <w:sz w:val="32"/>
        </w:rPr>
        <w:t>第一部分 单位概况</w:t>
      </w:r>
    </w:p>
    <w:p w14:paraId="6CEA033D">
      <w:pPr>
        <w:spacing w:line="640" w:lineRule="exact"/>
        <w:ind w:firstLine="640"/>
        <w:jc w:val="both"/>
        <w:outlineLvl w:val="2"/>
      </w:pPr>
      <w:r>
        <w:rPr>
          <w:rFonts w:ascii="黑体" w:hAnsi="黑体" w:eastAsia="黑体"/>
          <w:sz w:val="32"/>
        </w:rPr>
        <w:t>一、主要职能</w:t>
      </w:r>
    </w:p>
    <w:p w14:paraId="281B696A">
      <w:pPr>
        <w:spacing w:line="580" w:lineRule="exact"/>
        <w:ind w:firstLine="640"/>
        <w:jc w:val="both"/>
      </w:pPr>
      <w:r>
        <w:rPr>
          <w:rFonts w:ascii="仿宋_GB2312" w:hAnsi="仿宋_GB2312" w:eastAsia="仿宋_GB2312"/>
          <w:sz w:val="32"/>
        </w:rPr>
        <w:t>（一）加强党的建设。坚持党的全面领导，推进基层党的建设工作，强化基层党组织系统建设和整体建设，打造坚强战斗堡垒，构建城市基层党建工作新格局；落实全面从严治党政治责任和意识形态工作责任，负责辖区宣传思想、统一战线和精神文明建设等工作；统筹推进党建引领基层治理和基层政权建设，推动基层民主政治建设，健全基层群众自治机制，提升基层治理体系和治理能力现代化水平。</w:t>
      </w:r>
    </w:p>
    <w:p w14:paraId="1E2B3C4D">
      <w:pPr>
        <w:spacing w:line="580" w:lineRule="exact"/>
        <w:ind w:firstLine="640"/>
        <w:jc w:val="both"/>
      </w:pPr>
      <w:r>
        <w:rPr>
          <w:rFonts w:ascii="仿宋_GB2312" w:hAnsi="仿宋_GB2312" w:eastAsia="仿宋_GB2312"/>
          <w:sz w:val="32"/>
        </w:rPr>
        <w:t>（二）统筹辖区发展。落实法治政府建设相关要求和辖区经济社会发展重大决策，参与辖区公共服务设施建设规划，推动辖区健康、有序、可持续发展；讨论决定本街道城市管理、经济发展、民生服务和社会管理中的重大问题；协调有关部门，动员各方力量，整合各类资源，服务社区群众，共同推进社区建设。</w:t>
      </w:r>
    </w:p>
    <w:p w14:paraId="2D1D2008">
      <w:pPr>
        <w:spacing w:line="580" w:lineRule="exact"/>
        <w:ind w:firstLine="640"/>
        <w:jc w:val="both"/>
      </w:pPr>
      <w:r>
        <w:rPr>
          <w:rFonts w:ascii="仿宋_GB2312" w:hAnsi="仿宋_GB2312" w:eastAsia="仿宋_GB2312"/>
          <w:sz w:val="32"/>
        </w:rPr>
        <w:t>（三）服务保障民生。组织实施辖区内与居民生活密切相关的各项公共服务；落实文体旅游、卫生健康、就业创业、住房保障、社会救助、养老助残、退役军人事务服务等领域的相关法律法规和政策；完善政务服务流程，构建高效便民审批服务体系；优化公共服务供给模式，推动民生实事落地落实。</w:t>
      </w:r>
    </w:p>
    <w:p w14:paraId="72A06830">
      <w:pPr>
        <w:spacing w:line="580" w:lineRule="exact"/>
        <w:ind w:firstLine="640"/>
        <w:jc w:val="both"/>
      </w:pPr>
      <w:r>
        <w:rPr>
          <w:rFonts w:ascii="仿宋_GB2312" w:hAnsi="仿宋_GB2312" w:eastAsia="仿宋_GB2312"/>
          <w:sz w:val="32"/>
        </w:rPr>
        <w:t>（四）推动经济发展。贯彻执行辖区经济发展规划，整合辖区资源，持续优化营商环境，引导和扶持各类经济组织发展；服务保障重点产业、重大项目等，配合做好招商引资、项目落地、重点项目跟踪等工作，推动区域高质量发展；负责协税护税工作；负责辖区相关统计工作。</w:t>
      </w:r>
    </w:p>
    <w:p w14:paraId="41E1AEC0">
      <w:pPr>
        <w:spacing w:line="580" w:lineRule="exact"/>
        <w:ind w:firstLine="640"/>
        <w:jc w:val="both"/>
      </w:pPr>
      <w:r>
        <w:rPr>
          <w:rFonts w:ascii="仿宋_GB2312" w:hAnsi="仿宋_GB2312" w:eastAsia="仿宋_GB2312"/>
          <w:sz w:val="32"/>
        </w:rPr>
        <w:t>（五）加强城市管理。依法行使各项行政管理职能，组织领导和综合协调辖区内地区性、综合性社会管理工作；协调配合开展辖区内生态环保、街巷治理、园林绿化、物业监管、环境卫生、市场监管、老旧小区改造等工作。</w:t>
      </w:r>
    </w:p>
    <w:p w14:paraId="0BD7871E">
      <w:pPr>
        <w:spacing w:line="580" w:lineRule="exact"/>
        <w:ind w:firstLine="640"/>
        <w:jc w:val="both"/>
      </w:pPr>
      <w:r>
        <w:rPr>
          <w:rFonts w:ascii="仿宋_GB2312" w:hAnsi="仿宋_GB2312" w:eastAsia="仿宋_GB2312"/>
          <w:sz w:val="32"/>
        </w:rPr>
        <w:t>（六）推进平安建设。组织实施辖区内平安法治建设工作，完善基层社会治安防控体系；承担辖区内社会治安综合治理、流动人口服务管理、出租房屋管理、应急管理、安全生产等相关工作；处理群众来信来访，调解矛盾纠纷；动员辖区群众和社会力量参与群防群治工作，有效维护治安稳定与社会和谐；协助做好刑满释放人员的安置帮教工作。</w:t>
      </w:r>
    </w:p>
    <w:p w14:paraId="348934F8">
      <w:pPr>
        <w:spacing w:line="580" w:lineRule="exact"/>
        <w:ind w:firstLine="640"/>
        <w:jc w:val="both"/>
      </w:pPr>
      <w:r>
        <w:rPr>
          <w:rFonts w:ascii="仿宋_GB2312" w:hAnsi="仿宋_GB2312" w:eastAsia="仿宋_GB2312"/>
          <w:sz w:val="32"/>
        </w:rPr>
        <w:t>（七）指导社区建设。组织辖区居民和单位参与社区建设和管理，健全完善自治、法治、德治相结合的城乡基层治理体系；指导居民委员会工作，支持居民依法自治；指导、协调辖区业主委员会建设，监督业主委员会依法履行职责；引导、动员辖区内各类单位、社会组织和社区居民等社会力量参与社区治理，为区域发展服务。</w:t>
      </w:r>
    </w:p>
    <w:p w14:paraId="3A88E8BB">
      <w:pPr>
        <w:spacing w:line="580" w:lineRule="exact"/>
        <w:ind w:firstLine="640"/>
        <w:jc w:val="both"/>
      </w:pPr>
      <w:r>
        <w:rPr>
          <w:rFonts w:ascii="仿宋_GB2312" w:hAnsi="仿宋_GB2312" w:eastAsia="仿宋_GB2312"/>
          <w:sz w:val="32"/>
        </w:rPr>
        <w:t>（八）开展综合执法。承担辖区内综合行政执法相关工作，依法相对集中行使行政处罚权；受委托承担相关领域行政执法事项；统筹区级部门派驻机构和其他执法力量，推动工作职责、人员队伍、配套机制深度融合，构建上下协同、高效联动、权责统一的基层综合行政执法工作体系。</w:t>
      </w:r>
    </w:p>
    <w:p w14:paraId="3EDC8754">
      <w:pPr>
        <w:spacing w:line="580" w:lineRule="exact"/>
        <w:ind w:firstLine="640"/>
        <w:jc w:val="both"/>
      </w:pPr>
      <w:r>
        <w:rPr>
          <w:rFonts w:ascii="仿宋_GB2312" w:hAnsi="仿宋_GB2312" w:eastAsia="仿宋_GB2312"/>
          <w:sz w:val="32"/>
        </w:rPr>
        <w:t>（九）完成区委、区人民政府交办的其他事项。</w:t>
      </w:r>
    </w:p>
    <w:p w14:paraId="030BEFB2">
      <w:pPr>
        <w:spacing w:line="640" w:lineRule="exact"/>
        <w:ind w:firstLine="640"/>
        <w:jc w:val="both"/>
        <w:outlineLvl w:val="2"/>
      </w:pPr>
      <w:r>
        <w:rPr>
          <w:rFonts w:ascii="黑体" w:hAnsi="黑体" w:eastAsia="黑体"/>
          <w:sz w:val="32"/>
        </w:rPr>
        <w:t>二、机构设置及人员情况</w:t>
      </w:r>
    </w:p>
    <w:p w14:paraId="0389F167">
      <w:pPr>
        <w:spacing w:line="580" w:lineRule="exact"/>
        <w:ind w:firstLine="640"/>
        <w:jc w:val="both"/>
      </w:pPr>
      <w:r>
        <w:rPr>
          <w:rFonts w:ascii="仿宋_GB2312" w:hAnsi="仿宋_GB2312" w:eastAsia="仿宋_GB2312"/>
          <w:sz w:val="32"/>
        </w:rPr>
        <w:t>乌鲁木齐市水磨沟区水塔山街道办事处2024年度，实有人数151人，其中：在职人员136人，减少1人；离休人员0人，增加0人；退休人员15人,增加3人。</w:t>
      </w:r>
    </w:p>
    <w:p w14:paraId="2902C182">
      <w:pPr>
        <w:spacing w:line="580" w:lineRule="exact"/>
        <w:ind w:firstLine="640"/>
        <w:jc w:val="both"/>
      </w:pPr>
      <w:r>
        <w:rPr>
          <w:rFonts w:ascii="仿宋_GB2312" w:hAnsi="仿宋_GB2312" w:eastAsia="仿宋_GB2312"/>
          <w:sz w:val="32"/>
        </w:rPr>
        <w:t>乌鲁木齐市水磨沟区水塔山街道办事处无下属预算单位，下设7个科室，分别是：综合协调办公室、党建工作办公室、综合执法办公室、党群服务中心、社会事务服务中心（退役军人服务站）、综治和网格化服务中心、经济发展中心。</w:t>
      </w:r>
    </w:p>
    <w:p w14:paraId="42247715">
      <w:r>
        <w:br w:type="page"/>
      </w:r>
    </w:p>
    <w:p w14:paraId="57592556">
      <w:pPr>
        <w:spacing w:line="240" w:lineRule="auto"/>
        <w:jc w:val="center"/>
        <w:outlineLvl w:val="1"/>
      </w:pPr>
      <w:r>
        <w:rPr>
          <w:rFonts w:ascii="黑体" w:hAnsi="黑体" w:eastAsia="黑体"/>
          <w:sz w:val="32"/>
        </w:rPr>
        <w:t>第二部分 部门决算情况说明</w:t>
      </w:r>
    </w:p>
    <w:p w14:paraId="29B919CB">
      <w:pPr>
        <w:spacing w:line="640" w:lineRule="exact"/>
        <w:ind w:firstLine="640"/>
        <w:jc w:val="both"/>
        <w:outlineLvl w:val="2"/>
      </w:pPr>
      <w:r>
        <w:rPr>
          <w:rFonts w:ascii="黑体" w:hAnsi="黑体" w:eastAsia="黑体"/>
          <w:sz w:val="32"/>
        </w:rPr>
        <w:t>一、收入支出决算总体情况说明</w:t>
      </w:r>
    </w:p>
    <w:p w14:paraId="1E58CA76">
      <w:pPr>
        <w:spacing w:line="580" w:lineRule="exact"/>
        <w:ind w:firstLine="640"/>
        <w:jc w:val="both"/>
      </w:pPr>
      <w:r>
        <w:rPr>
          <w:rFonts w:ascii="仿宋_GB2312" w:hAnsi="仿宋_GB2312" w:eastAsia="仿宋_GB2312"/>
          <w:b/>
          <w:sz w:val="32"/>
        </w:rPr>
        <w:t>2024年度收入总计2,949.04万元，</w:t>
      </w:r>
      <w:r>
        <w:rPr>
          <w:rFonts w:ascii="仿宋_GB2312" w:hAnsi="仿宋_GB2312" w:eastAsia="仿宋_GB2312"/>
          <w:b w:val="0"/>
          <w:sz w:val="32"/>
        </w:rPr>
        <w:t>其中：本年收入合计2,837.11万元，使用非财政拨款结余（含专用结余）0.00万元，年初结转和结余111.93万元。</w:t>
      </w:r>
    </w:p>
    <w:p w14:paraId="32AE88A5">
      <w:pPr>
        <w:spacing w:line="580" w:lineRule="exact"/>
        <w:ind w:firstLine="640"/>
        <w:jc w:val="both"/>
      </w:pPr>
      <w:r>
        <w:rPr>
          <w:rFonts w:ascii="仿宋_GB2312" w:hAnsi="仿宋_GB2312" w:eastAsia="仿宋_GB2312"/>
          <w:b/>
          <w:sz w:val="32"/>
        </w:rPr>
        <w:t>2024年度支出总计2,949.04万元，</w:t>
      </w:r>
      <w:r>
        <w:rPr>
          <w:rFonts w:ascii="仿宋_GB2312" w:hAnsi="仿宋_GB2312" w:eastAsia="仿宋_GB2312"/>
          <w:b w:val="0"/>
          <w:sz w:val="32"/>
        </w:rPr>
        <w:t>其中：本年支出合计2,837.01万元，结余分配0.00万元，年末结转和结余112.03万元。</w:t>
      </w:r>
    </w:p>
    <w:p w14:paraId="5271CAAA">
      <w:pPr>
        <w:spacing w:line="580" w:lineRule="exact"/>
        <w:ind w:firstLine="640"/>
        <w:jc w:val="both"/>
      </w:pPr>
      <w:r>
        <w:rPr>
          <w:rFonts w:ascii="仿宋_GB2312" w:hAnsi="仿宋_GB2312" w:eastAsia="仿宋_GB2312"/>
          <w:b w:val="0"/>
          <w:sz w:val="32"/>
        </w:rPr>
        <w:t>收入支出总体与上年相比，减少3,686.93万元，下降55.56%，主要原因是：一是本年在职人员减少，相关人员经费较上年减少。二是减少社区食堂补助经费、便民服务站运行经费、社区经费、村级工作经费、便民服务站人员伙食费、工作经费。三是减少2022年城市维护费项目。</w:t>
      </w:r>
    </w:p>
    <w:p w14:paraId="34398543">
      <w:pPr>
        <w:spacing w:line="640" w:lineRule="exact"/>
        <w:ind w:firstLine="640"/>
        <w:jc w:val="both"/>
        <w:outlineLvl w:val="2"/>
      </w:pPr>
      <w:r>
        <w:rPr>
          <w:rFonts w:ascii="黑体" w:hAnsi="黑体" w:eastAsia="黑体"/>
          <w:sz w:val="32"/>
        </w:rPr>
        <w:t>二、收入决算情况说明</w:t>
      </w:r>
    </w:p>
    <w:p w14:paraId="380B47F9">
      <w:pPr>
        <w:spacing w:line="580" w:lineRule="exact"/>
        <w:ind w:firstLine="640"/>
        <w:jc w:val="both"/>
      </w:pPr>
      <w:r>
        <w:rPr>
          <w:rFonts w:ascii="仿宋_GB2312" w:hAnsi="仿宋_GB2312" w:eastAsia="仿宋_GB2312"/>
          <w:b/>
          <w:sz w:val="32"/>
        </w:rPr>
        <w:t>本年收入2,837.11万元，</w:t>
      </w:r>
      <w:r>
        <w:rPr>
          <w:rFonts w:ascii="仿宋_GB2312" w:hAnsi="仿宋_GB2312" w:eastAsia="仿宋_GB2312"/>
          <w:b w:val="0"/>
          <w:sz w:val="32"/>
        </w:rPr>
        <w:t>其中：财政拨款收入2,837.01万元，占100.00%；上级补助收入0.00万元，占0.00%；事业收入0.00万元，占0.00%；经营收入0.00万元，占0.00%；附属单位上缴收入0.00万元，占0.00%；其他收入0.10万元，占0.004%。</w:t>
      </w:r>
    </w:p>
    <w:p w14:paraId="0260202F">
      <w:pPr>
        <w:spacing w:line="640" w:lineRule="exact"/>
        <w:ind w:firstLine="640"/>
        <w:jc w:val="both"/>
        <w:outlineLvl w:val="2"/>
      </w:pPr>
      <w:r>
        <w:rPr>
          <w:rFonts w:ascii="黑体" w:hAnsi="黑体" w:eastAsia="黑体"/>
          <w:sz w:val="32"/>
        </w:rPr>
        <w:t>三、支出决算情况说明</w:t>
      </w:r>
    </w:p>
    <w:p w14:paraId="7D0377C5">
      <w:pPr>
        <w:spacing w:line="580" w:lineRule="exact"/>
        <w:ind w:firstLine="640"/>
        <w:jc w:val="both"/>
      </w:pPr>
      <w:r>
        <w:rPr>
          <w:rFonts w:ascii="仿宋_GB2312" w:hAnsi="仿宋_GB2312" w:eastAsia="仿宋_GB2312"/>
          <w:b/>
          <w:sz w:val="32"/>
        </w:rPr>
        <w:t>本年支出2,837.01万元，</w:t>
      </w:r>
      <w:r>
        <w:rPr>
          <w:rFonts w:ascii="仿宋_GB2312" w:hAnsi="仿宋_GB2312" w:eastAsia="仿宋_GB2312"/>
          <w:b w:val="0"/>
          <w:sz w:val="32"/>
        </w:rPr>
        <w:t>其中：基本支出2,163.36万元，占76.25%；项目支出673.65万元，占23.75%；上缴上级支出0.00万元，占0.00%；经营支出0.00万元，占0.00%；对附属单位补助支出0.00万元，占0.00%。</w:t>
      </w:r>
    </w:p>
    <w:p w14:paraId="56491106">
      <w:pPr>
        <w:spacing w:line="640" w:lineRule="exact"/>
        <w:ind w:firstLine="640"/>
        <w:jc w:val="both"/>
        <w:outlineLvl w:val="2"/>
      </w:pPr>
      <w:r>
        <w:rPr>
          <w:rFonts w:ascii="黑体" w:hAnsi="黑体" w:eastAsia="黑体"/>
          <w:sz w:val="32"/>
        </w:rPr>
        <w:t>四、财政拨款收入支出决算总体情况说明</w:t>
      </w:r>
    </w:p>
    <w:p w14:paraId="4287FD3D">
      <w:pPr>
        <w:spacing w:line="580" w:lineRule="exact"/>
        <w:ind w:firstLine="640"/>
        <w:jc w:val="both"/>
      </w:pPr>
      <w:r>
        <w:rPr>
          <w:rFonts w:ascii="仿宋_GB2312" w:hAnsi="仿宋_GB2312" w:eastAsia="仿宋_GB2312"/>
          <w:b/>
          <w:sz w:val="32"/>
        </w:rPr>
        <w:t>2024年度财政拨款收入总计2,926.09万元，</w:t>
      </w:r>
      <w:r>
        <w:rPr>
          <w:rFonts w:ascii="仿宋_GB2312" w:hAnsi="仿宋_GB2312" w:eastAsia="仿宋_GB2312"/>
          <w:b w:val="0"/>
          <w:sz w:val="32"/>
        </w:rPr>
        <w:t>其中：年初财政拨款结转和结余89.08万元，本年财政拨款收入2,837.01万元。</w:t>
      </w:r>
      <w:r>
        <w:rPr>
          <w:rFonts w:ascii="仿宋_GB2312" w:hAnsi="仿宋_GB2312" w:eastAsia="仿宋_GB2312"/>
          <w:b/>
          <w:sz w:val="32"/>
        </w:rPr>
        <w:t>财政拨款支出总计2,926.09万元，</w:t>
      </w:r>
      <w:r>
        <w:rPr>
          <w:rFonts w:ascii="仿宋_GB2312" w:hAnsi="仿宋_GB2312" w:eastAsia="仿宋_GB2312"/>
          <w:b w:val="0"/>
          <w:sz w:val="32"/>
        </w:rPr>
        <w:t>其中：年末财政拨款结转和结余89.08万元，本年财政拨款支出2,837.01万元。</w:t>
      </w:r>
    </w:p>
    <w:p w14:paraId="701F21E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3,687.02万元，下降55.75%，主要原因是：一是本年在职人员减少，相关人员经费较上年减少。二是减少社区食堂补助经费、便民服务站运行经费、社区经费、村级工作经费、便民服务站人员伙食费、工作经费。三是减少2022年城市维护费项目。</w:t>
      </w:r>
      <w:r>
        <w:rPr>
          <w:rFonts w:ascii="仿宋_GB2312" w:hAnsi="仿宋_GB2312" w:eastAsia="仿宋_GB2312"/>
          <w:b/>
          <w:sz w:val="32"/>
        </w:rPr>
        <w:t>与年初预算相比，</w:t>
      </w:r>
      <w:r>
        <w:rPr>
          <w:rFonts w:ascii="仿宋_GB2312" w:hAnsi="仿宋_GB2312" w:eastAsia="仿宋_GB2312"/>
          <w:b w:val="0"/>
          <w:sz w:val="32"/>
        </w:rPr>
        <w:t>年初预算数3,076.57万元，决算数2,926.09万元，预决算差异率-4.89%，主要原因是：年中调减中央纪检监察转移支付资金、美术馆、公共图书馆、文化馆【站】免费开放补助、中央YQ防控财力补助，导致预决算存在差异。</w:t>
      </w:r>
    </w:p>
    <w:p w14:paraId="5E695F81">
      <w:pPr>
        <w:spacing w:line="640" w:lineRule="exact"/>
        <w:ind w:firstLine="640"/>
        <w:jc w:val="both"/>
        <w:outlineLvl w:val="2"/>
      </w:pPr>
      <w:r>
        <w:rPr>
          <w:rFonts w:ascii="黑体" w:hAnsi="黑体" w:eastAsia="黑体"/>
          <w:sz w:val="32"/>
        </w:rPr>
        <w:t>五、一般公共预算财政拨款支出决算情况说明</w:t>
      </w:r>
    </w:p>
    <w:p w14:paraId="33F41DE1">
      <w:pPr>
        <w:spacing w:line="640" w:lineRule="exact"/>
        <w:ind w:firstLine="640"/>
        <w:jc w:val="both"/>
        <w:outlineLvl w:val="3"/>
      </w:pPr>
      <w:r>
        <w:rPr>
          <w:rFonts w:ascii="楷体_GB2312" w:hAnsi="楷体_GB2312" w:eastAsia="楷体_GB2312"/>
          <w:b/>
          <w:sz w:val="32"/>
        </w:rPr>
        <w:t>（一）一般公共预算财政拨款支出决算总体情况</w:t>
      </w:r>
    </w:p>
    <w:p w14:paraId="50289C2B">
      <w:pPr>
        <w:spacing w:line="580" w:lineRule="exact"/>
        <w:ind w:firstLine="640"/>
        <w:jc w:val="both"/>
      </w:pPr>
      <w:r>
        <w:rPr>
          <w:rFonts w:ascii="仿宋_GB2312" w:hAnsi="仿宋_GB2312" w:eastAsia="仿宋_GB2312"/>
          <w:b/>
          <w:sz w:val="32"/>
        </w:rPr>
        <w:t>2024年度一般公共预算财政拨款支出2,802.33万元，</w:t>
      </w:r>
      <w:r>
        <w:rPr>
          <w:rFonts w:ascii="仿宋_GB2312" w:hAnsi="仿宋_GB2312" w:eastAsia="仿宋_GB2312"/>
          <w:b w:val="0"/>
          <w:sz w:val="32"/>
        </w:rPr>
        <w:t>占本年支出合计的98.78%。</w:t>
      </w:r>
      <w:r>
        <w:rPr>
          <w:rFonts w:ascii="仿宋_GB2312" w:hAnsi="仿宋_GB2312" w:eastAsia="仿宋_GB2312"/>
          <w:b/>
          <w:sz w:val="32"/>
        </w:rPr>
        <w:t>与上年相比，</w:t>
      </w:r>
      <w:r>
        <w:rPr>
          <w:rFonts w:ascii="仿宋_GB2312" w:hAnsi="仿宋_GB2312" w:eastAsia="仿宋_GB2312"/>
          <w:b w:val="0"/>
          <w:sz w:val="32"/>
        </w:rPr>
        <w:t>减少3,721.70万元，下降57.05%，主要原因是：一是本年在职人员减少，相关人员经费较上年减少。二是减少社区食堂补助经费、便民服务站运行经费、社区经费、村级工作经费、便民服务站人员伙食费、工作经费。三是减少2022年城市维护费项目。</w:t>
      </w:r>
      <w:r>
        <w:rPr>
          <w:rFonts w:ascii="仿宋_GB2312" w:hAnsi="仿宋_GB2312" w:eastAsia="仿宋_GB2312"/>
          <w:b/>
          <w:sz w:val="32"/>
        </w:rPr>
        <w:t>与年初预算相比,</w:t>
      </w:r>
      <w:r>
        <w:rPr>
          <w:rFonts w:ascii="仿宋_GB2312" w:hAnsi="仿宋_GB2312" w:eastAsia="仿宋_GB2312"/>
          <w:b w:val="0"/>
          <w:sz w:val="32"/>
        </w:rPr>
        <w:t>年初预算数3,052.86万元，决算数2,802.33万元，预决算差异率-8.21%，主要原因是：年中调减中央纪检监察转移支付资金、美术馆、公共图书馆、文化馆【站】免费开放补助、中央YQ防控财力补助，导致预决算存在差异。</w:t>
      </w:r>
    </w:p>
    <w:p w14:paraId="55FFAFEF">
      <w:pPr>
        <w:spacing w:line="640" w:lineRule="exact"/>
        <w:ind w:firstLine="640"/>
        <w:jc w:val="both"/>
        <w:outlineLvl w:val="3"/>
      </w:pPr>
      <w:r>
        <w:rPr>
          <w:rFonts w:ascii="楷体_GB2312" w:hAnsi="楷体_GB2312" w:eastAsia="楷体_GB2312"/>
          <w:b/>
          <w:sz w:val="32"/>
        </w:rPr>
        <w:t>（二）一般公共预算财政拨款支出决算结构情况</w:t>
      </w:r>
    </w:p>
    <w:p w14:paraId="4499C518">
      <w:pPr>
        <w:spacing w:line="580" w:lineRule="exact"/>
        <w:ind w:firstLine="640"/>
        <w:jc w:val="both"/>
      </w:pPr>
      <w:r>
        <w:rPr>
          <w:rFonts w:ascii="仿宋_GB2312" w:hAnsi="仿宋_GB2312" w:eastAsia="仿宋_GB2312"/>
          <w:b w:val="0"/>
          <w:sz w:val="32"/>
        </w:rPr>
        <w:t>1.一般公共服务支出(类)429.81万元,占15.34%。</w:t>
      </w:r>
    </w:p>
    <w:p w14:paraId="52806294">
      <w:pPr>
        <w:spacing w:line="580" w:lineRule="exact"/>
        <w:ind w:firstLine="640"/>
        <w:jc w:val="both"/>
      </w:pPr>
      <w:r>
        <w:rPr>
          <w:rFonts w:ascii="仿宋_GB2312" w:hAnsi="仿宋_GB2312" w:eastAsia="仿宋_GB2312"/>
          <w:b w:val="0"/>
          <w:sz w:val="32"/>
        </w:rPr>
        <w:t>2.社会保障和就业支出(类)2,209.71万元,占78.85%。</w:t>
      </w:r>
    </w:p>
    <w:p w14:paraId="07BE246D">
      <w:pPr>
        <w:spacing w:line="580" w:lineRule="exact"/>
        <w:ind w:firstLine="640"/>
        <w:jc w:val="both"/>
      </w:pPr>
      <w:r>
        <w:rPr>
          <w:rFonts w:ascii="仿宋_GB2312" w:hAnsi="仿宋_GB2312" w:eastAsia="仿宋_GB2312"/>
          <w:b w:val="0"/>
          <w:sz w:val="32"/>
        </w:rPr>
        <w:t>3.卫生健康支出(类)84.81万元,占3.03%。</w:t>
      </w:r>
    </w:p>
    <w:p w14:paraId="4AF2C2AB">
      <w:pPr>
        <w:spacing w:line="580" w:lineRule="exact"/>
        <w:ind w:firstLine="640"/>
        <w:jc w:val="both"/>
      </w:pPr>
      <w:r>
        <w:rPr>
          <w:rFonts w:ascii="仿宋_GB2312" w:hAnsi="仿宋_GB2312" w:eastAsia="仿宋_GB2312"/>
          <w:b w:val="0"/>
          <w:sz w:val="32"/>
        </w:rPr>
        <w:t>4.城乡社区支出(类)78.00万元,占2.78%。</w:t>
      </w:r>
    </w:p>
    <w:p w14:paraId="4D14BA5D">
      <w:pPr>
        <w:spacing w:line="640" w:lineRule="exact"/>
        <w:ind w:firstLine="640"/>
        <w:jc w:val="both"/>
        <w:outlineLvl w:val="3"/>
      </w:pPr>
      <w:r>
        <w:rPr>
          <w:rFonts w:ascii="楷体_GB2312" w:hAnsi="楷体_GB2312" w:eastAsia="楷体_GB2312"/>
          <w:b/>
          <w:sz w:val="32"/>
        </w:rPr>
        <w:t>（三）一般公共预算财政拨款支出决算具体情况</w:t>
      </w:r>
    </w:p>
    <w:p w14:paraId="1BADCCB9">
      <w:pPr>
        <w:spacing w:line="580" w:lineRule="exact"/>
        <w:ind w:firstLine="640"/>
        <w:jc w:val="both"/>
      </w:pPr>
      <w:r>
        <w:rPr>
          <w:rFonts w:ascii="仿宋_GB2312" w:hAnsi="仿宋_GB2312" w:eastAsia="仿宋_GB2312"/>
          <w:b w:val="0"/>
          <w:sz w:val="32"/>
        </w:rPr>
        <w:t>1.一般公共服务支出(类)人大事务(款)代表工作(项):支出决算数为0.05万元，比上年决算增加0.05万元，增长100.00%,主要原因是：本年新增2024年度代表工作经费。</w:t>
      </w:r>
    </w:p>
    <w:p w14:paraId="558096AA">
      <w:pPr>
        <w:spacing w:line="580" w:lineRule="exact"/>
        <w:ind w:firstLine="640"/>
        <w:jc w:val="both"/>
      </w:pPr>
      <w:r>
        <w:rPr>
          <w:rFonts w:ascii="仿宋_GB2312" w:hAnsi="仿宋_GB2312" w:eastAsia="仿宋_GB2312"/>
          <w:b w:val="0"/>
          <w:sz w:val="32"/>
        </w:rPr>
        <w:t>2.一般公共服务支出(类)人大事务(款)其他人大事务支出(项):支出决算数为0.39万元，比上年决算增加0.39万元，增长100.00%,主要原因是：本年新增2024年度自治区基层人大补助经费。</w:t>
      </w:r>
    </w:p>
    <w:p w14:paraId="598CA071">
      <w:pPr>
        <w:spacing w:line="580" w:lineRule="exact"/>
        <w:ind w:firstLine="640"/>
        <w:jc w:val="both"/>
      </w:pPr>
      <w:r>
        <w:rPr>
          <w:rFonts w:ascii="仿宋_GB2312" w:hAnsi="仿宋_GB2312" w:eastAsia="仿宋_GB2312"/>
          <w:b w:val="0"/>
          <w:sz w:val="32"/>
        </w:rPr>
        <w:t>3.一般公共服务支出(类)政府办公厅（室）及相关机构事务(款)行政运行(项):支出决算数为212.45万元，比上年决算减少34.25万元，下降13.88%,主要原因是：1.本年在职人员减少，相应人员经费较上年减少；2.本年在职人员调入调出，人员职级不同，工资基数不同，导致人员经费较上年减少。</w:t>
      </w:r>
    </w:p>
    <w:p w14:paraId="2BE8005C">
      <w:pPr>
        <w:spacing w:line="580" w:lineRule="exact"/>
        <w:ind w:firstLine="640"/>
        <w:jc w:val="both"/>
      </w:pPr>
      <w:r>
        <w:rPr>
          <w:rFonts w:ascii="仿宋_GB2312" w:hAnsi="仿宋_GB2312" w:eastAsia="仿宋_GB2312"/>
          <w:b w:val="0"/>
          <w:sz w:val="32"/>
        </w:rPr>
        <w:t>4.一般公共服务支出(类)政府办公厅（室）及相关机构事务(款)事业运行(项):支出决算数为194.93万元，比上年决算减少38.72万元，下降16.57%,主要原因是：1.本年在职人员减少，相应人员经费较上年减少；2.本年在职人员调入调出，人员职级不同，工资基数不同，导致人员经费较上年减少。</w:t>
      </w:r>
    </w:p>
    <w:p w14:paraId="7397CE20">
      <w:pPr>
        <w:spacing w:line="580" w:lineRule="exact"/>
        <w:ind w:firstLine="640"/>
        <w:jc w:val="both"/>
      </w:pPr>
      <w:r>
        <w:rPr>
          <w:rFonts w:ascii="仿宋_GB2312" w:hAnsi="仿宋_GB2312" w:eastAsia="仿宋_GB2312"/>
          <w:b w:val="0"/>
          <w:sz w:val="32"/>
        </w:rPr>
        <w:t>5.一般公共服务支出(类)纪检监察事务(款)其他纪检监察事务支出(项):支出决算数为2.00万元，比上年决算减少4.86万元，下降70.85%,主要原因是：本年基层监督向基层延伸建设补助经费较上年减少。</w:t>
      </w:r>
    </w:p>
    <w:p w14:paraId="21AD7A58">
      <w:pPr>
        <w:spacing w:line="580" w:lineRule="exact"/>
        <w:ind w:firstLine="640"/>
        <w:jc w:val="both"/>
      </w:pPr>
      <w:r>
        <w:rPr>
          <w:rFonts w:ascii="仿宋_GB2312" w:hAnsi="仿宋_GB2312" w:eastAsia="仿宋_GB2312"/>
          <w:b w:val="0"/>
          <w:sz w:val="32"/>
        </w:rPr>
        <w:t>6.一般公共服务支出(类)组织事务(款)其他组织事务支出(项):支出决算数为20.00万元，比上年决算增加20.00万元，增长100.00%,主要原因是：本年新增2024年自治区基层组织建设资金。</w:t>
      </w:r>
    </w:p>
    <w:p w14:paraId="6040A954">
      <w:pPr>
        <w:spacing w:line="580" w:lineRule="exact"/>
        <w:ind w:firstLine="640"/>
        <w:jc w:val="both"/>
      </w:pPr>
      <w:r>
        <w:rPr>
          <w:rFonts w:ascii="仿宋_GB2312" w:hAnsi="仿宋_GB2312" w:eastAsia="仿宋_GB2312"/>
          <w:b w:val="0"/>
          <w:sz w:val="32"/>
        </w:rPr>
        <w:t>7.社会保障和就业支出(类)民政管理事务(款)基层政权建设和社区治理(项):支出决算数为1,962.19万元，比上年决算减少3,811.68万元，下降66.02%,主要原因是：本年减少社区食堂补助经费、便民服务站运行经费、社区经费、村级工作经费、便民服务站人员伙食费、工作经费。</w:t>
      </w:r>
    </w:p>
    <w:p w14:paraId="58F5DC67">
      <w:pPr>
        <w:spacing w:line="580" w:lineRule="exact"/>
        <w:ind w:firstLine="640"/>
        <w:jc w:val="both"/>
      </w:pPr>
      <w:r>
        <w:rPr>
          <w:rFonts w:ascii="仿宋_GB2312" w:hAnsi="仿宋_GB2312" w:eastAsia="仿宋_GB2312"/>
          <w:b w:val="0"/>
          <w:sz w:val="32"/>
        </w:rPr>
        <w:t>8.社会保障和就业支出(类)行政事业单位养老支出(款)行政单位离退休(项):支出决算数为1.66万元，比上年决算增加1.66万元，增长100.00%,主要原因是：本年功能科目调整，行政单位离退休上年度在主科目列支，本年单独列支，导致经费较上年增加。</w:t>
      </w:r>
    </w:p>
    <w:p w14:paraId="71EE324F">
      <w:pPr>
        <w:spacing w:line="580" w:lineRule="exact"/>
        <w:ind w:firstLine="640"/>
        <w:jc w:val="both"/>
      </w:pPr>
      <w:r>
        <w:rPr>
          <w:rFonts w:ascii="仿宋_GB2312" w:hAnsi="仿宋_GB2312" w:eastAsia="仿宋_GB2312"/>
          <w:b w:val="0"/>
          <w:sz w:val="32"/>
        </w:rPr>
        <w:t>9.社会保障和就业支出(类)行政事业单位养老支出(款)事业单位离退休(项):支出决算数为5.73万元，比上年决算增加5.73万元，增长100.00%,主要原因是：本年功能科目调整，事业单位离退休上年度在主科目列支，本年单独列支，导致经费较上年增加。</w:t>
      </w:r>
    </w:p>
    <w:p w14:paraId="0937F95A">
      <w:pPr>
        <w:spacing w:line="580" w:lineRule="exact"/>
        <w:ind w:firstLine="640"/>
        <w:jc w:val="both"/>
      </w:pPr>
      <w:r>
        <w:rPr>
          <w:rFonts w:ascii="仿宋_GB2312" w:hAnsi="仿宋_GB2312" w:eastAsia="仿宋_GB2312"/>
          <w:b w:val="0"/>
          <w:sz w:val="32"/>
        </w:rPr>
        <w:t>10.社会保障和就业支出(类)行政事业单位养老支出(款)机关事业单位基本养老保险缴费支出(项):支出决算数为225.52万元，比上年决算增加17.60万元，增长8.46%,主要原因是：本年在职人员工资基数调增，养老缴费基数上涨，相应支出增加。</w:t>
      </w:r>
    </w:p>
    <w:p w14:paraId="439F5A65">
      <w:pPr>
        <w:spacing w:line="580" w:lineRule="exact"/>
        <w:ind w:firstLine="640"/>
        <w:jc w:val="both"/>
      </w:pPr>
      <w:r>
        <w:rPr>
          <w:rFonts w:ascii="仿宋_GB2312" w:hAnsi="仿宋_GB2312" w:eastAsia="仿宋_GB2312"/>
          <w:b w:val="0"/>
          <w:sz w:val="32"/>
        </w:rPr>
        <w:t>11.社会保障和就业支出(类)行政事业单位养老支出(款)机关事业单位职业年金缴费支出(项):支出决算数为14.61万元，比上年决算增加14.61万元，增长100.00%,主要原因是：本年新增退休人员、调出人员较上年增加，职业年金缴费较上年增加。</w:t>
      </w:r>
    </w:p>
    <w:p w14:paraId="738A9B23">
      <w:pPr>
        <w:spacing w:line="580" w:lineRule="exact"/>
        <w:ind w:firstLine="640"/>
        <w:jc w:val="both"/>
      </w:pPr>
      <w:r>
        <w:rPr>
          <w:rFonts w:ascii="仿宋_GB2312" w:hAnsi="仿宋_GB2312" w:eastAsia="仿宋_GB2312"/>
          <w:b w:val="0"/>
          <w:sz w:val="32"/>
        </w:rPr>
        <w:t>12.卫生健康支出(类)公共卫生(款)突发公共卫生事件应急处置(项):支出决算数为84.81万元，比上年决算增加29.78万元，增长54.12%,主要原因是：本年防控财力补助经费较上年增加。</w:t>
      </w:r>
    </w:p>
    <w:p w14:paraId="486AD523">
      <w:pPr>
        <w:spacing w:line="580" w:lineRule="exact"/>
        <w:ind w:firstLine="640"/>
        <w:jc w:val="both"/>
      </w:pPr>
      <w:r>
        <w:rPr>
          <w:rFonts w:ascii="仿宋_GB2312" w:hAnsi="仿宋_GB2312" w:eastAsia="仿宋_GB2312"/>
          <w:b w:val="0"/>
          <w:sz w:val="32"/>
        </w:rPr>
        <w:t>13.城乡社区支出(类)城乡社区公共设施(款)其他城乡社区公共设施支出(项):支出决算数为40.00万元，比上年决算增加40.00万元，增长100.00%,主要原因是：本年新增消化中小企业账款。</w:t>
      </w:r>
    </w:p>
    <w:p w14:paraId="01FC8DDD">
      <w:pPr>
        <w:spacing w:line="580" w:lineRule="exact"/>
        <w:ind w:firstLine="640"/>
        <w:jc w:val="both"/>
      </w:pPr>
      <w:r>
        <w:rPr>
          <w:rFonts w:ascii="仿宋_GB2312" w:hAnsi="仿宋_GB2312" w:eastAsia="仿宋_GB2312"/>
          <w:b w:val="0"/>
          <w:sz w:val="32"/>
        </w:rPr>
        <w:t>14.城乡社区支出(类)其他城乡社区支出(款)其他城乡社区支出(项):支出决算数为38.00万元，比上年决算增加38.00万元，增长100.00%,主要原因是：本年增加单位运转办公等经费。</w:t>
      </w:r>
    </w:p>
    <w:p w14:paraId="1FCCE712">
      <w:pPr>
        <w:spacing w:line="640" w:lineRule="exact"/>
        <w:ind w:firstLine="640"/>
        <w:jc w:val="both"/>
        <w:outlineLvl w:val="2"/>
      </w:pPr>
      <w:r>
        <w:rPr>
          <w:rFonts w:ascii="黑体" w:hAnsi="黑体" w:eastAsia="黑体"/>
          <w:sz w:val="32"/>
        </w:rPr>
        <w:t>六、一般公共预算财政拨款基本支出决算情况说明</w:t>
      </w:r>
    </w:p>
    <w:p w14:paraId="3F775B06">
      <w:pPr>
        <w:spacing w:line="580" w:lineRule="exact"/>
        <w:ind w:firstLine="640"/>
        <w:jc w:val="both"/>
      </w:pPr>
      <w:r>
        <w:rPr>
          <w:rFonts w:ascii="仿宋_GB2312" w:hAnsi="仿宋_GB2312" w:eastAsia="仿宋_GB2312"/>
          <w:b w:val="0"/>
          <w:sz w:val="32"/>
        </w:rPr>
        <w:t>2024年度一般公共预算财政拨款基本支出2,163.36万元，其中：</w:t>
      </w:r>
      <w:r>
        <w:rPr>
          <w:rFonts w:ascii="仿宋_GB2312" w:hAnsi="仿宋_GB2312" w:eastAsia="仿宋_GB2312"/>
          <w:b/>
          <w:sz w:val="32"/>
        </w:rPr>
        <w:t>人员经费2,158.10万元，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w:t>
      </w:r>
    </w:p>
    <w:p w14:paraId="43A4ECDB">
      <w:pPr>
        <w:spacing w:line="580" w:lineRule="exact"/>
        <w:ind w:firstLine="640"/>
        <w:jc w:val="both"/>
      </w:pPr>
      <w:r>
        <w:rPr>
          <w:rFonts w:ascii="仿宋_GB2312" w:hAnsi="仿宋_GB2312" w:eastAsia="仿宋_GB2312"/>
          <w:b/>
          <w:sz w:val="32"/>
        </w:rPr>
        <w:t>公用经费5.26万元，</w:t>
      </w:r>
      <w:r>
        <w:rPr>
          <w:rFonts w:ascii="仿宋_GB2312" w:hAnsi="仿宋_GB2312" w:eastAsia="仿宋_GB2312"/>
          <w:b w:val="0"/>
          <w:sz w:val="32"/>
        </w:rPr>
        <w:t>包括：水费、电费、邮电费。</w:t>
      </w:r>
    </w:p>
    <w:p w14:paraId="18547E61">
      <w:pPr>
        <w:spacing w:line="640" w:lineRule="exact"/>
        <w:ind w:firstLine="640"/>
        <w:jc w:val="both"/>
        <w:outlineLvl w:val="2"/>
      </w:pPr>
      <w:r>
        <w:rPr>
          <w:rFonts w:ascii="黑体" w:hAnsi="黑体" w:eastAsia="黑体"/>
          <w:sz w:val="32"/>
        </w:rPr>
        <w:t>七、政府性基金预算财政拨款收入支出决算情况说明</w:t>
      </w:r>
    </w:p>
    <w:p w14:paraId="310FCB89">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52FAE4B">
      <w:pPr>
        <w:spacing w:line="640" w:lineRule="exact"/>
        <w:ind w:firstLine="640"/>
        <w:jc w:val="both"/>
        <w:outlineLvl w:val="2"/>
      </w:pPr>
      <w:r>
        <w:rPr>
          <w:rFonts w:ascii="黑体" w:hAnsi="黑体" w:eastAsia="黑体"/>
          <w:sz w:val="32"/>
        </w:rPr>
        <w:t>八、国有资本经营预算财政拨款收入支出决算情况说明</w:t>
      </w:r>
    </w:p>
    <w:p w14:paraId="6D6EA5A8">
      <w:pPr>
        <w:spacing w:line="580" w:lineRule="exact"/>
        <w:ind w:firstLine="640"/>
        <w:jc w:val="both"/>
      </w:pPr>
      <w:r>
        <w:rPr>
          <w:rFonts w:ascii="仿宋_GB2312" w:hAnsi="仿宋_GB2312" w:eastAsia="仿宋_GB2312"/>
          <w:b/>
          <w:sz w:val="32"/>
        </w:rPr>
        <w:t>2024年度国有资本经营预算财政拨款收入总计34.68万元，</w:t>
      </w:r>
      <w:r>
        <w:rPr>
          <w:rFonts w:ascii="仿宋_GB2312" w:hAnsi="仿宋_GB2312" w:eastAsia="仿宋_GB2312"/>
          <w:b w:val="0"/>
          <w:sz w:val="32"/>
        </w:rPr>
        <w:t>其中：年初结转和结余0.00万元，本年收入34.68万元。</w:t>
      </w:r>
      <w:r>
        <w:rPr>
          <w:rFonts w:ascii="仿宋_GB2312" w:hAnsi="仿宋_GB2312" w:eastAsia="仿宋_GB2312"/>
          <w:b/>
          <w:sz w:val="32"/>
        </w:rPr>
        <w:t>国有资本经营预算财政拨款支出总计34.68万元，</w:t>
      </w:r>
      <w:r>
        <w:rPr>
          <w:rFonts w:ascii="仿宋_GB2312" w:hAnsi="仿宋_GB2312" w:eastAsia="仿宋_GB2312"/>
          <w:b w:val="0"/>
          <w:sz w:val="32"/>
        </w:rPr>
        <w:t>其中：年末结转和结余0.00万元，本年支出34.68万元。</w:t>
      </w:r>
    </w:p>
    <w:p w14:paraId="6D69405E">
      <w:pPr>
        <w:spacing w:line="580" w:lineRule="exact"/>
        <w:ind w:firstLine="640"/>
        <w:jc w:val="both"/>
      </w:pPr>
      <w:r>
        <w:rPr>
          <w:rFonts w:ascii="仿宋_GB2312" w:hAnsi="仿宋_GB2312" w:eastAsia="仿宋_GB2312"/>
          <w:b/>
          <w:sz w:val="32"/>
        </w:rPr>
        <w:t>国有资本经营预算财政拨款收入支出与上年相比，</w:t>
      </w:r>
      <w:r>
        <w:rPr>
          <w:rFonts w:ascii="仿宋_GB2312" w:hAnsi="仿宋_GB2312" w:eastAsia="仿宋_GB2312"/>
          <w:b w:val="0"/>
          <w:sz w:val="32"/>
        </w:rPr>
        <w:t>增加34.68万元，增长100.00%，主要原因是：本年新增2021年临时聘用人员经费、2023年临时聘用人员经费。</w:t>
      </w:r>
      <w:r>
        <w:rPr>
          <w:rFonts w:ascii="仿宋_GB2312" w:hAnsi="仿宋_GB2312" w:eastAsia="仿宋_GB2312"/>
          <w:b/>
          <w:sz w:val="32"/>
        </w:rPr>
        <w:t>与年初预算相比，</w:t>
      </w:r>
      <w:r>
        <w:rPr>
          <w:rFonts w:ascii="仿宋_GB2312" w:hAnsi="仿宋_GB2312" w:eastAsia="仿宋_GB2312"/>
          <w:b w:val="0"/>
          <w:sz w:val="32"/>
        </w:rPr>
        <w:t>年初预算数0.00万元，决算数34.68万元，预决算差异率100.00%，主要原因是：年中追加2021年临时聘用人员经费、2023年临时聘用人员经费，导致预决算存在差异。</w:t>
      </w:r>
    </w:p>
    <w:p w14:paraId="226062F2">
      <w:pPr>
        <w:spacing w:line="580" w:lineRule="exact"/>
        <w:ind w:firstLine="640"/>
        <w:jc w:val="both"/>
      </w:pPr>
      <w:r>
        <w:rPr>
          <w:rFonts w:ascii="仿宋_GB2312" w:hAnsi="仿宋_GB2312" w:eastAsia="仿宋_GB2312"/>
          <w:sz w:val="32"/>
        </w:rPr>
        <w:t>国有资本经营预算财政拨款支出34.68万元。</w:t>
      </w:r>
    </w:p>
    <w:p w14:paraId="54D3F676">
      <w:pPr>
        <w:spacing w:line="580" w:lineRule="exact"/>
        <w:ind w:firstLine="640"/>
        <w:jc w:val="both"/>
      </w:pPr>
      <w:r>
        <w:rPr>
          <w:rFonts w:ascii="仿宋_GB2312" w:hAnsi="仿宋_GB2312" w:eastAsia="仿宋_GB2312"/>
          <w:b w:val="0"/>
          <w:sz w:val="32"/>
        </w:rPr>
        <w:t>1.国有资本经营预算支出(类)解决历史遗留问题及改革成本支出(款)国有企业退休人员社会化管理补助支出(项):支出决算数为34.68万元，比上年决算增加34.68万元，增长100.00%,主要原因是：本年新增2021年临时聘用人员经费、2023年临时聘用人员经费。</w:t>
      </w:r>
    </w:p>
    <w:p w14:paraId="30046FA5">
      <w:pPr>
        <w:spacing w:line="640" w:lineRule="exact"/>
        <w:ind w:firstLine="640"/>
        <w:jc w:val="both"/>
        <w:outlineLvl w:val="2"/>
      </w:pPr>
      <w:r>
        <w:rPr>
          <w:rFonts w:ascii="黑体" w:hAnsi="黑体" w:eastAsia="黑体"/>
          <w:sz w:val="32"/>
        </w:rPr>
        <w:t>九、财政拨款“三公”经费支出决算情况说明</w:t>
      </w:r>
    </w:p>
    <w:p w14:paraId="7326C997">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77F2308D">
      <w:pPr>
        <w:spacing w:line="580" w:lineRule="exact"/>
        <w:ind w:firstLine="640"/>
        <w:jc w:val="both"/>
      </w:pPr>
      <w:r>
        <w:rPr>
          <w:rFonts w:ascii="仿宋_GB2312" w:hAnsi="仿宋_GB2312" w:eastAsia="仿宋_GB2312"/>
          <w:b/>
          <w:sz w:val="32"/>
        </w:rPr>
        <w:t>具体情况如下：</w:t>
      </w:r>
    </w:p>
    <w:p w14:paraId="0DFFD3C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EF73EFC">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13辆，与公务用车保有量差异原因是：差异车辆为一般业务用车，预算未安排公务用车运行维护费。</w:t>
      </w:r>
    </w:p>
    <w:p w14:paraId="08D09B67">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4A33319">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54D04360">
      <w:pPr>
        <w:spacing w:line="640" w:lineRule="exact"/>
        <w:ind w:firstLine="640"/>
        <w:jc w:val="both"/>
        <w:outlineLvl w:val="2"/>
      </w:pPr>
      <w:r>
        <w:rPr>
          <w:rFonts w:ascii="黑体" w:hAnsi="黑体" w:eastAsia="黑体"/>
          <w:sz w:val="32"/>
        </w:rPr>
        <w:t>十、其他重要事项的情况说明</w:t>
      </w:r>
    </w:p>
    <w:p w14:paraId="4BC43EAD">
      <w:pPr>
        <w:spacing w:line="640" w:lineRule="exact"/>
        <w:ind w:firstLine="640"/>
        <w:jc w:val="both"/>
        <w:outlineLvl w:val="3"/>
      </w:pPr>
      <w:r>
        <w:rPr>
          <w:rFonts w:ascii="楷体_GB2312" w:hAnsi="楷体_GB2312" w:eastAsia="楷体_GB2312"/>
          <w:b/>
          <w:sz w:val="32"/>
        </w:rPr>
        <w:t>（一）机关运行经费及公用经费支出情况</w:t>
      </w:r>
    </w:p>
    <w:p w14:paraId="5303A1E1">
      <w:pPr>
        <w:spacing w:line="580" w:lineRule="exact"/>
        <w:ind w:firstLine="640"/>
        <w:jc w:val="both"/>
      </w:pPr>
      <w:r>
        <w:rPr>
          <w:rFonts w:ascii="仿宋_GB2312" w:hAnsi="仿宋_GB2312" w:eastAsia="仿宋_GB2312"/>
          <w:b w:val="0"/>
          <w:sz w:val="32"/>
        </w:rPr>
        <w:t>2024年度乌鲁木齐市水磨沟区水塔山街道办事处（行政单位和参照公务员法管理事业单位）机关运行经费支出5.26万元，比上年减少16.98万元，</w:t>
      </w:r>
      <w:bookmarkStart w:id="0" w:name="_GoBack"/>
      <w:r>
        <w:rPr>
          <w:rFonts w:ascii="仿宋_GB2312" w:hAnsi="仿宋_GB2312" w:eastAsia="仿宋_GB2312"/>
          <w:b w:val="0"/>
          <w:sz w:val="32"/>
        </w:rPr>
        <w:t>下降76.35%，主要原因是：严控经费支出，厉行节约，减少不必要开支，本年办公费、培训费、维修费减少。</w:t>
      </w:r>
    </w:p>
    <w:bookmarkEnd w:id="0"/>
    <w:p w14:paraId="484DAE65">
      <w:pPr>
        <w:spacing w:line="640" w:lineRule="exact"/>
        <w:ind w:firstLine="640"/>
        <w:jc w:val="both"/>
        <w:outlineLvl w:val="3"/>
      </w:pPr>
      <w:r>
        <w:rPr>
          <w:rFonts w:ascii="楷体_GB2312" w:hAnsi="楷体_GB2312" w:eastAsia="楷体_GB2312"/>
          <w:b/>
          <w:sz w:val="32"/>
        </w:rPr>
        <w:t>（二）政府采购情况</w:t>
      </w:r>
    </w:p>
    <w:p w14:paraId="4AAF3520">
      <w:pPr>
        <w:spacing w:line="580" w:lineRule="exact"/>
        <w:ind w:firstLine="640"/>
        <w:jc w:val="both"/>
      </w:pPr>
      <w:r>
        <w:rPr>
          <w:rFonts w:ascii="仿宋_GB2312" w:hAnsi="仿宋_GB2312" w:eastAsia="仿宋_GB2312"/>
          <w:b w:val="0"/>
          <w:sz w:val="32"/>
        </w:rPr>
        <w:t>2024年度政府采购支出总额18.28万元，其中：政府采购货物支出18.28万元、政府采购工程支出0.00万元、政府采购服务支出0.00万元。</w:t>
      </w:r>
    </w:p>
    <w:p w14:paraId="3A5F926A">
      <w:pPr>
        <w:spacing w:line="580" w:lineRule="exact"/>
        <w:ind w:firstLine="640"/>
        <w:jc w:val="both"/>
      </w:pPr>
      <w:r>
        <w:rPr>
          <w:rFonts w:ascii="仿宋_GB2312" w:hAnsi="仿宋_GB2312" w:eastAsia="仿宋_GB2312"/>
          <w:b w:val="0"/>
          <w:sz w:val="32"/>
        </w:rPr>
        <w:t>授予中小企业合同金额18.03万元，占政府采购支出总额的98.63%，其中：授予小微企业合同金额18.03万元，占政府采购支出总额的98.63%。</w:t>
      </w:r>
    </w:p>
    <w:p w14:paraId="43A73142">
      <w:pPr>
        <w:spacing w:line="640" w:lineRule="exact"/>
        <w:ind w:firstLine="640"/>
        <w:jc w:val="both"/>
        <w:outlineLvl w:val="3"/>
      </w:pPr>
      <w:r>
        <w:rPr>
          <w:rFonts w:ascii="楷体_GB2312" w:hAnsi="楷体_GB2312" w:eastAsia="楷体_GB2312"/>
          <w:b/>
          <w:sz w:val="32"/>
        </w:rPr>
        <w:t>（三）国有资产占用情况说明</w:t>
      </w:r>
    </w:p>
    <w:p w14:paraId="76A1E428">
      <w:pPr>
        <w:spacing w:line="580" w:lineRule="exact"/>
        <w:ind w:firstLine="640"/>
        <w:jc w:val="both"/>
      </w:pPr>
      <w:r>
        <w:rPr>
          <w:rFonts w:ascii="仿宋_GB2312" w:hAnsi="仿宋_GB2312" w:eastAsia="仿宋_GB2312"/>
          <w:b w:val="0"/>
          <w:sz w:val="32"/>
        </w:rPr>
        <w:t>截至2024年12月31日，房屋2,089.54平方米，价值215.06万元。车辆13辆，价值106.75万元，其中：副部（省）级及以上领导用车0辆、主要负责人用车0辆、机要通信用车0辆、应急保障用车0辆、执法执勤用车1辆、特种专业技术用车0辆、离退休干部服务用车0辆、其他用车12辆，其他用车主要是：便民服务用车。单价100万元（含）以上设备（不含车辆）0台（套）。</w:t>
      </w:r>
    </w:p>
    <w:p w14:paraId="05A0541B">
      <w:pPr>
        <w:spacing w:line="640" w:lineRule="exact"/>
        <w:ind w:firstLine="640"/>
        <w:jc w:val="both"/>
        <w:outlineLvl w:val="2"/>
      </w:pPr>
      <w:r>
        <w:rPr>
          <w:rFonts w:ascii="黑体" w:hAnsi="黑体" w:eastAsia="黑体"/>
          <w:sz w:val="32"/>
        </w:rPr>
        <w:t>十一、预算绩效的情况说明</w:t>
      </w:r>
    </w:p>
    <w:p w14:paraId="393ED0A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2,949.04万元，实际执行总额2,837.01万元；预算绩效评价项目7个，全年预算数616.94万元，全年执行数586.83万元。预算绩效管理取得的成效：一是领导重视。项目各相关单位领导高度重视专项资金的使用，严格资金的审批，提高资金的使用效率；二是管理规范。各单位均能按照项目资金管理</w:t>
      </w:r>
      <w:r>
        <w:rPr>
          <w:rFonts w:hint="eastAsia" w:ascii="仿宋_GB2312" w:hAnsi="仿宋_GB2312" w:eastAsia="仿宋_GB2312"/>
          <w:b w:val="0"/>
          <w:sz w:val="32"/>
          <w:lang w:eastAsia="zh-CN"/>
        </w:rPr>
        <w:t>办法</w:t>
      </w:r>
      <w:r>
        <w:rPr>
          <w:rFonts w:ascii="仿宋_GB2312" w:hAnsi="仿宋_GB2312" w:eastAsia="仿宋_GB2312"/>
          <w:b w:val="0"/>
          <w:sz w:val="32"/>
        </w:rPr>
        <w:t>严格执行，强化监督检查，有效规范和加强专项资金的管理；三是专款专用。严格按照资金管理办法，做到专项核算，</w:t>
      </w:r>
      <w:r>
        <w:rPr>
          <w:rFonts w:hint="eastAsia" w:ascii="仿宋_GB2312" w:hAnsi="仿宋_GB2312" w:eastAsia="仿宋_GB2312"/>
          <w:b w:val="0"/>
          <w:sz w:val="32"/>
          <w:lang w:eastAsia="zh-CN"/>
        </w:rPr>
        <w:t>专款专用</w:t>
      </w:r>
      <w:r>
        <w:rPr>
          <w:rFonts w:ascii="仿宋_GB2312" w:hAnsi="仿宋_GB2312" w:eastAsia="仿宋_GB2312"/>
          <w:b w:val="0"/>
          <w:sz w:val="32"/>
        </w:rPr>
        <w:t>，没有截留，挤占挪用现象。发现的问题及原因：一是</w:t>
      </w:r>
      <w:r>
        <w:rPr>
          <w:rFonts w:hint="eastAsia" w:ascii="仿宋_GB2312" w:hAnsi="仿宋_GB2312" w:eastAsia="仿宋_GB2312"/>
          <w:b w:val="0"/>
          <w:sz w:val="32"/>
          <w:lang w:eastAsia="zh-CN"/>
        </w:rPr>
        <w:t>对</w:t>
      </w:r>
      <w:r>
        <w:rPr>
          <w:rFonts w:ascii="仿宋_GB2312" w:hAnsi="仿宋_GB2312" w:eastAsia="仿宋_GB2312"/>
          <w:b w:val="0"/>
          <w:sz w:val="32"/>
        </w:rPr>
        <w:t>绩效评价的认识不够深入把预算绩效简单等同于工作目标工作考核和业务管理。二是在绩效考核指标的设计上部分指标有待完善。下一步改进措施：一是日后加强年度预算安排、合理应用资金及时公开评价结果。二是加强对财政资金拨付和使用的管理。三是加强绩效评价管理制度和流程的建设，进一步深化完善绩效管理体系，建立健全预算绩效管理机制，促进绩效管理工作向广度和深度延伸。四是应根据实际情况，制定下一年度工作计划，并根据计划划分工作责任。根据相关程序，填写绩效申请表。具体附整体支出绩效自评表，项目支出绩效自评表和评价报告。</w:t>
      </w:r>
    </w:p>
    <w:p w14:paraId="5289AA61">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44043F78">
        <w:tblPrEx>
          <w:tblCellMar>
            <w:top w:w="0" w:type="dxa"/>
            <w:left w:w="108" w:type="dxa"/>
            <w:bottom w:w="0" w:type="dxa"/>
            <w:right w:w="108" w:type="dxa"/>
          </w:tblCellMar>
        </w:tblPrEx>
        <w:tc>
          <w:tcPr>
            <w:tcW w:w="8840" w:type="dxa"/>
            <w:gridSpan w:val="8"/>
            <w:vAlign w:val="center"/>
          </w:tcPr>
          <w:p w14:paraId="6D570BF0">
            <w:pPr>
              <w:jc w:val="center"/>
            </w:pPr>
            <w:r>
              <w:rPr>
                <w:rFonts w:ascii="宋体" w:hAnsi="宋体" w:eastAsia="宋体"/>
                <w:sz w:val="24"/>
              </w:rPr>
              <w:t>单位整体支出绩效自评表</w:t>
            </w:r>
          </w:p>
        </w:tc>
      </w:tr>
      <w:tr w14:paraId="14CB9B36">
        <w:tblPrEx>
          <w:tblCellMar>
            <w:top w:w="0" w:type="dxa"/>
            <w:left w:w="108" w:type="dxa"/>
            <w:bottom w:w="0" w:type="dxa"/>
            <w:right w:w="108" w:type="dxa"/>
          </w:tblCellMar>
        </w:tblPrEx>
        <w:tc>
          <w:tcPr>
            <w:tcW w:w="8840" w:type="dxa"/>
            <w:gridSpan w:val="8"/>
            <w:vAlign w:val="center"/>
          </w:tcPr>
          <w:p w14:paraId="03317097">
            <w:pPr>
              <w:jc w:val="center"/>
            </w:pPr>
            <w:r>
              <w:rPr>
                <w:rFonts w:ascii="宋体" w:hAnsi="宋体" w:eastAsia="宋体"/>
                <w:sz w:val="24"/>
              </w:rPr>
              <w:t>（2024年度）</w:t>
            </w:r>
          </w:p>
        </w:tc>
      </w:tr>
      <w:tr w14:paraId="1EC50422">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B12440">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16307C">
            <w:pPr>
              <w:jc w:val="center"/>
            </w:pPr>
            <w:r>
              <w:rPr>
                <w:rFonts w:ascii="宋体" w:hAnsi="宋体" w:eastAsia="宋体"/>
                <w:sz w:val="16"/>
              </w:rPr>
              <w:t>乌鲁木齐市水磨沟区水塔山街道办事处</w:t>
            </w:r>
          </w:p>
        </w:tc>
      </w:tr>
      <w:tr w14:paraId="569440E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09A1FF">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95B5B1">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B3B1C3">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BAF9F5">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4F13AF">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33B844">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EFFE66">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FF2B26">
            <w:pPr>
              <w:jc w:val="center"/>
            </w:pPr>
            <w:r>
              <w:rPr>
                <w:rFonts w:ascii="宋体" w:hAnsi="宋体" w:eastAsia="宋体"/>
                <w:sz w:val="16"/>
              </w:rPr>
              <w:t>得分</w:t>
            </w:r>
          </w:p>
        </w:tc>
      </w:tr>
      <w:tr w14:paraId="6088118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608F00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C32B4E">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3697B7">
            <w:pPr>
              <w:jc w:val="center"/>
            </w:pPr>
            <w:r>
              <w:rPr>
                <w:rFonts w:ascii="宋体" w:hAnsi="宋体" w:eastAsia="宋体"/>
                <w:sz w:val="16"/>
              </w:rPr>
              <w:t>3,076.57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310C89">
            <w:pPr>
              <w:jc w:val="center"/>
            </w:pPr>
            <w:r>
              <w:rPr>
                <w:rFonts w:ascii="宋体" w:hAnsi="宋体" w:eastAsia="宋体"/>
                <w:sz w:val="16"/>
              </w:rPr>
              <w:t>2,949.04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9AAA88">
            <w:pPr>
              <w:jc w:val="center"/>
            </w:pPr>
            <w:r>
              <w:rPr>
                <w:rFonts w:ascii="宋体" w:hAnsi="宋体" w:eastAsia="宋体"/>
                <w:sz w:val="16"/>
              </w:rPr>
              <w:t>2,837.01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BC89D0">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8D19B1">
            <w:pPr>
              <w:jc w:val="center"/>
            </w:pPr>
            <w:r>
              <w:rPr>
                <w:rFonts w:ascii="宋体" w:hAnsi="宋体" w:eastAsia="宋体"/>
                <w:sz w:val="16"/>
              </w:rPr>
              <w:t>96.2%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7E9A20">
            <w:pPr>
              <w:jc w:val="center"/>
            </w:pPr>
            <w:r>
              <w:rPr>
                <w:rFonts w:ascii="宋体" w:hAnsi="宋体" w:eastAsia="宋体"/>
                <w:sz w:val="16"/>
              </w:rPr>
              <w:t>9.62</w:t>
            </w:r>
          </w:p>
        </w:tc>
      </w:tr>
      <w:tr w14:paraId="7EA9FF8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7854A7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24DFD7">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E00D36">
            <w:pPr>
              <w:jc w:val="center"/>
            </w:pPr>
            <w:r>
              <w:rPr>
                <w:rFonts w:ascii="宋体" w:hAnsi="宋体" w:eastAsia="宋体"/>
                <w:sz w:val="16"/>
              </w:rPr>
              <w:t>77.30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A6D40A">
            <w:pPr>
              <w:jc w:val="center"/>
            </w:pPr>
            <w:r>
              <w:rPr>
                <w:rFonts w:ascii="宋体" w:hAnsi="宋体" w:eastAsia="宋体"/>
                <w:sz w:val="16"/>
              </w:rPr>
              <w:t>57.12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C6FC9F">
            <w:pPr>
              <w:jc w:val="center"/>
            </w:pPr>
            <w:r>
              <w:rPr>
                <w:rFonts w:ascii="宋体" w:hAnsi="宋体" w:eastAsia="宋体"/>
                <w:sz w:val="16"/>
              </w:rPr>
              <w:t>57.12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55D5C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32C1B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0771B2">
            <w:pPr>
              <w:jc w:val="center"/>
            </w:pPr>
            <w:r>
              <w:rPr>
                <w:rFonts w:ascii="宋体" w:hAnsi="宋体" w:eastAsia="宋体"/>
                <w:sz w:val="16"/>
              </w:rPr>
              <w:t>-</w:t>
            </w:r>
          </w:p>
        </w:tc>
      </w:tr>
      <w:tr w14:paraId="000D9F1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CB2A10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7B46BA">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09EADC">
            <w:pPr>
              <w:jc w:val="center"/>
            </w:pPr>
            <w:r>
              <w:rPr>
                <w:rFonts w:ascii="宋体" w:hAnsi="宋体" w:eastAsia="宋体"/>
                <w:sz w:val="16"/>
              </w:rPr>
              <w:t>2,793.27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540FB6">
            <w:pPr>
              <w:jc w:val="center"/>
            </w:pPr>
            <w:r>
              <w:rPr>
                <w:rFonts w:ascii="宋体" w:hAnsi="宋体" w:eastAsia="宋体"/>
                <w:sz w:val="16"/>
              </w:rPr>
              <w:t>2,695.08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985894">
            <w:pPr>
              <w:jc w:val="center"/>
            </w:pPr>
            <w:r>
              <w:rPr>
                <w:rFonts w:ascii="宋体" w:hAnsi="宋体" w:eastAsia="宋体"/>
                <w:sz w:val="16"/>
              </w:rPr>
              <w:t>2,695.08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59F48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EE2AD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336792">
            <w:pPr>
              <w:jc w:val="center"/>
            </w:pPr>
            <w:r>
              <w:rPr>
                <w:rFonts w:ascii="宋体" w:hAnsi="宋体" w:eastAsia="宋体"/>
                <w:sz w:val="16"/>
              </w:rPr>
              <w:t>-</w:t>
            </w:r>
          </w:p>
        </w:tc>
      </w:tr>
      <w:tr w14:paraId="26B4646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BF9583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D2DC5D">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9449A5">
            <w:pPr>
              <w:jc w:val="center"/>
            </w:pPr>
            <w:r>
              <w:rPr>
                <w:rFonts w:ascii="宋体" w:hAnsi="宋体" w:eastAsia="宋体"/>
                <w:sz w:val="16"/>
              </w:rPr>
              <w:t>206.00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A01A4C">
            <w:pPr>
              <w:jc w:val="center"/>
            </w:pPr>
            <w:r>
              <w:rPr>
                <w:rFonts w:ascii="宋体" w:hAnsi="宋体" w:eastAsia="宋体"/>
                <w:sz w:val="16"/>
              </w:rPr>
              <w:t>196.84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14CA62">
            <w:pPr>
              <w:jc w:val="center"/>
            </w:pPr>
            <w:r>
              <w:rPr>
                <w:rFonts w:ascii="宋体" w:hAnsi="宋体" w:eastAsia="宋体"/>
                <w:sz w:val="16"/>
              </w:rPr>
              <w:t>84.81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647AD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4B5F8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D4E917">
            <w:pPr>
              <w:jc w:val="center"/>
            </w:pPr>
            <w:r>
              <w:rPr>
                <w:rFonts w:ascii="宋体" w:hAnsi="宋体" w:eastAsia="宋体"/>
                <w:sz w:val="16"/>
              </w:rPr>
              <w:t>-</w:t>
            </w:r>
          </w:p>
        </w:tc>
      </w:tr>
      <w:tr w14:paraId="3913F060">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8647EC">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9BE35E4">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E50048">
            <w:pPr>
              <w:jc w:val="center"/>
            </w:pPr>
            <w:r>
              <w:rPr>
                <w:rFonts w:ascii="宋体" w:hAnsi="宋体" w:eastAsia="宋体"/>
                <w:sz w:val="16"/>
              </w:rPr>
              <w:t>实际完成情况</w:t>
            </w:r>
          </w:p>
        </w:tc>
      </w:tr>
      <w:tr w14:paraId="5728B9F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A8E98CA"/>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5CE057F">
            <w:pPr>
              <w:jc w:val="both"/>
            </w:pPr>
            <w:r>
              <w:rPr>
                <w:rFonts w:ascii="宋体" w:hAnsi="宋体" w:eastAsia="宋体"/>
                <w:sz w:val="16"/>
              </w:rPr>
              <w:t>2024年，水塔山街道将继续坚持“以人为本、服务居民”的原则，以习近平新时代中国特色社会主义思想为指引，以基层建设为中心，以发展为动力，以创新为手段，以健全基层服务体系为支撑，积极推进基层治理体系和治理能力现代化，努力打造安全、和谐、宜居的社区环境，为居民提供更加便捷、高效、优质的服务。（一）持续巩固主题教育学习成果教育引导党员干部把党章作为必修课，中心组学习每年安排1次党章集体学习，按时高质量完成“三会一课”、“5+X”、“五个好党支部创建”、“党员三学三亮三比”、“四个合格”党员建设、“党旗映天山”主题党日活动等。全年计划中心组学习不少于12次，政治学习50次，上专题党课7次。（二）用情守护“一老一小”，贴心服务惠民生。积极开展文娱活动，丰富居民文化生活。利用水塔山街道邻里中心、“刘乾坤”工作室、辖区爱国主义教育基地“一炮成功”、左宗棠塑像、文化宣传阵地“水磨剧场”、百姓娱乐文化“小游园”、各社区文化活动室以及春节、元宵节、清明节、中秋节等传统节日，开展线上线下、形式多样、丰富多彩、百姓喜闻乐见的文娱活动，全年开展各类活动不少于50场。（三）深入开展“走转办”工作。经常性开展走访活动，了解思想状况，收集合理诉求，帮助解决生活困难。</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56AB81F">
            <w:pPr>
              <w:jc w:val="both"/>
            </w:pPr>
            <w:r>
              <w:rPr>
                <w:rFonts w:ascii="宋体" w:hAnsi="宋体" w:eastAsia="宋体"/>
                <w:sz w:val="16"/>
              </w:rPr>
              <w:t>2024年，水塔山街道党工委始终坚持以习近平新时代中国特色社会主义思想为指导，全面贯彻党的二十大和二十届二中、三中全会精神，坚决贯彻落实习近平总书记关于新疆工作的重要讲话重要指示批示精神，完整准确全面贯彻新时代党的治疆方略，认真落实自治区党委十届和市委十二届、区委十一届历次全会部署，坚持围绕中心、服务大局，坚持守正创新、稳中求进，以铸牢中华民族共同体意识为主线，紧密围绕区委、区政府中心工作，精心谋划、细化举措、狠抓落实，较好地完成了全年各项目标任务。</w:t>
            </w:r>
            <w:r>
              <w:rPr>
                <w:rFonts w:hint="eastAsia" w:ascii="宋体" w:hAnsi="宋体"/>
                <w:sz w:val="16"/>
                <w:lang w:eastAsia="zh-CN"/>
              </w:rPr>
              <w:t>截至2024</w:t>
            </w:r>
            <w:r>
              <w:rPr>
                <w:rFonts w:ascii="宋体" w:hAnsi="宋体" w:eastAsia="宋体"/>
                <w:sz w:val="16"/>
              </w:rPr>
              <w:t>年12月31日，</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①：开展主题教育学习 ，指标值：大于等于12次，年中监控完成值：6次；自评完成值：13次，指标完成率108.33%；</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②：开展丰富多彩的文娱活动，指标值：大于等于50场，年中监控完成值：27场；自评完成值：58场，指标完成率116%；</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③：深入开展“走转办”专项行动，指标值：大于等于24户，年中监控完成值：13户；自评完成值：25户，指标完成率104.17%。</w:t>
            </w:r>
          </w:p>
        </w:tc>
      </w:tr>
      <w:tr w14:paraId="5E28A7AE">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0ECE38">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32861D">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7362B9">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17F5F3">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35AE44">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190BC7">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4450B0">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47D619">
            <w:pPr>
              <w:jc w:val="center"/>
            </w:pPr>
            <w:r>
              <w:rPr>
                <w:rFonts w:ascii="宋体" w:hAnsi="宋体" w:eastAsia="宋体"/>
                <w:sz w:val="16"/>
              </w:rPr>
              <w:t>得分</w:t>
            </w:r>
          </w:p>
        </w:tc>
      </w:tr>
      <w:tr w14:paraId="533F13E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6B6F2C">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6F53B7">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5C4A23">
            <w:pPr>
              <w:jc w:val="center"/>
            </w:pPr>
            <w:r>
              <w:rPr>
                <w:rFonts w:ascii="宋体" w:hAnsi="宋体" w:eastAsia="宋体"/>
                <w:sz w:val="16"/>
              </w:rPr>
              <w:t>开展主题教育学习</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A2E31B">
            <w:pPr>
              <w:jc w:val="center"/>
            </w:pPr>
            <w:r>
              <w:rPr>
                <w:rFonts w:ascii="宋体" w:hAnsi="宋体" w:eastAsia="宋体"/>
                <w:sz w:val="16"/>
              </w:rPr>
              <w:t>&gt;=12次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CD592B">
            <w:pPr>
              <w:jc w:val="center"/>
            </w:pPr>
            <w:r>
              <w:rPr>
                <w:rFonts w:ascii="宋体" w:hAnsi="宋体" w:eastAsia="宋体"/>
                <w:sz w:val="16"/>
              </w:rPr>
              <w:t>水塔山街道2024年工作计划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ECFCE5">
            <w:pPr>
              <w:jc w:val="center"/>
            </w:pPr>
            <w:r>
              <w:rPr>
                <w:rFonts w:ascii="宋体" w:hAnsi="宋体" w:eastAsia="宋体"/>
                <w:sz w:val="16"/>
              </w:rPr>
              <w:t>13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743829">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64DD3F">
            <w:pPr>
              <w:jc w:val="center"/>
            </w:pPr>
            <w:r>
              <w:rPr>
                <w:rFonts w:ascii="宋体" w:hAnsi="宋体" w:eastAsia="宋体"/>
                <w:sz w:val="16"/>
              </w:rPr>
              <w:t>30</w:t>
            </w:r>
          </w:p>
        </w:tc>
      </w:tr>
      <w:tr w14:paraId="6A76978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181D223"/>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24B9F6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FD5F40">
            <w:pPr>
              <w:jc w:val="center"/>
            </w:pPr>
            <w:r>
              <w:rPr>
                <w:rFonts w:ascii="宋体" w:hAnsi="宋体" w:eastAsia="宋体"/>
                <w:sz w:val="16"/>
              </w:rPr>
              <w:t>开展丰富多彩的文娱活动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799440">
            <w:pPr>
              <w:jc w:val="center"/>
            </w:pPr>
            <w:r>
              <w:rPr>
                <w:rFonts w:ascii="宋体" w:hAnsi="宋体" w:eastAsia="宋体"/>
                <w:sz w:val="16"/>
              </w:rPr>
              <w:t>&gt;=50场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5F0551">
            <w:pPr>
              <w:jc w:val="center"/>
            </w:pPr>
            <w:r>
              <w:rPr>
                <w:rFonts w:ascii="宋体" w:hAnsi="宋体" w:eastAsia="宋体"/>
                <w:sz w:val="16"/>
              </w:rPr>
              <w:t>水塔山街道2024年工作计划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3E20E9">
            <w:pPr>
              <w:jc w:val="center"/>
            </w:pPr>
            <w:r>
              <w:rPr>
                <w:rFonts w:ascii="宋体" w:hAnsi="宋体" w:eastAsia="宋体"/>
                <w:sz w:val="16"/>
              </w:rPr>
              <w:t>58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C0F6DE">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3EB0F5">
            <w:pPr>
              <w:jc w:val="center"/>
            </w:pPr>
            <w:r>
              <w:rPr>
                <w:rFonts w:ascii="宋体" w:hAnsi="宋体" w:eastAsia="宋体"/>
                <w:sz w:val="16"/>
              </w:rPr>
              <w:t>30</w:t>
            </w:r>
          </w:p>
        </w:tc>
      </w:tr>
      <w:tr w14:paraId="6FE654D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7F2763E"/>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1D5C0F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F5503D">
            <w:pPr>
              <w:jc w:val="center"/>
            </w:pPr>
            <w:r>
              <w:rPr>
                <w:rFonts w:ascii="宋体" w:hAnsi="宋体" w:eastAsia="宋体"/>
                <w:sz w:val="16"/>
              </w:rPr>
              <w:t>深入开展“走转办”专项行动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C9ECE1">
            <w:pPr>
              <w:jc w:val="center"/>
            </w:pPr>
            <w:r>
              <w:rPr>
                <w:rFonts w:ascii="宋体" w:hAnsi="宋体" w:eastAsia="宋体"/>
                <w:sz w:val="16"/>
              </w:rPr>
              <w:t>&gt;=24户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EFD95F">
            <w:pPr>
              <w:jc w:val="center"/>
            </w:pPr>
            <w:r>
              <w:rPr>
                <w:rFonts w:ascii="宋体" w:hAnsi="宋体" w:eastAsia="宋体"/>
                <w:sz w:val="16"/>
              </w:rPr>
              <w:t>水塔山街道2024年工作计划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696D0A">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5DFFA3">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F0244E">
            <w:pPr>
              <w:jc w:val="center"/>
            </w:pPr>
            <w:r>
              <w:rPr>
                <w:rFonts w:ascii="宋体" w:hAnsi="宋体" w:eastAsia="宋体"/>
                <w:sz w:val="16"/>
              </w:rPr>
              <w:t>30</w:t>
            </w:r>
          </w:p>
        </w:tc>
      </w:tr>
    </w:tbl>
    <w:p w14:paraId="2030B0C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40A14BCD">
        <w:tblPrEx>
          <w:tblCellMar>
            <w:top w:w="0" w:type="dxa"/>
            <w:left w:w="108" w:type="dxa"/>
            <w:bottom w:w="0" w:type="dxa"/>
            <w:right w:w="108" w:type="dxa"/>
          </w:tblCellMar>
        </w:tblPrEx>
        <w:tc>
          <w:tcPr>
            <w:tcW w:w="8848" w:type="dxa"/>
            <w:gridSpan w:val="14"/>
            <w:vAlign w:val="center"/>
          </w:tcPr>
          <w:p w14:paraId="200AAF3A">
            <w:pPr>
              <w:jc w:val="center"/>
            </w:pPr>
            <w:r>
              <w:rPr>
                <w:rFonts w:ascii="宋体" w:hAnsi="宋体" w:eastAsia="宋体"/>
                <w:sz w:val="24"/>
              </w:rPr>
              <w:t>项目支出绩效自评表</w:t>
            </w:r>
          </w:p>
        </w:tc>
      </w:tr>
      <w:tr w14:paraId="7250C8F0">
        <w:tblPrEx>
          <w:tblCellMar>
            <w:top w:w="0" w:type="dxa"/>
            <w:left w:w="108" w:type="dxa"/>
            <w:bottom w:w="0" w:type="dxa"/>
            <w:right w:w="108" w:type="dxa"/>
          </w:tblCellMar>
        </w:tblPrEx>
        <w:tc>
          <w:tcPr>
            <w:tcW w:w="8848" w:type="dxa"/>
            <w:gridSpan w:val="14"/>
            <w:vAlign w:val="center"/>
          </w:tcPr>
          <w:p w14:paraId="7BA6ED06">
            <w:pPr>
              <w:jc w:val="center"/>
            </w:pPr>
            <w:r>
              <w:rPr>
                <w:rFonts w:ascii="宋体" w:hAnsi="宋体" w:eastAsia="宋体"/>
                <w:sz w:val="24"/>
              </w:rPr>
              <w:t>(2024年度)</w:t>
            </w:r>
          </w:p>
        </w:tc>
      </w:tr>
      <w:tr w14:paraId="584C14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B942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21F94CC">
            <w:pPr>
              <w:jc w:val="center"/>
            </w:pPr>
            <w:r>
              <w:rPr>
                <w:rFonts w:ascii="宋体" w:hAnsi="宋体" w:eastAsia="宋体"/>
                <w:sz w:val="16"/>
              </w:rPr>
              <w:t>乌财行</w:t>
            </w:r>
            <w:r>
              <w:rPr>
                <w:rFonts w:hint="eastAsia" w:ascii="宋体" w:hAnsi="宋体"/>
                <w:sz w:val="16"/>
                <w:lang w:eastAsia="zh-CN"/>
              </w:rPr>
              <w:t>〔2024〕114号</w:t>
            </w:r>
            <w:r>
              <w:rPr>
                <w:rFonts w:ascii="宋体" w:hAnsi="宋体" w:eastAsia="宋体"/>
                <w:sz w:val="16"/>
              </w:rPr>
              <w:t>关于下达2024年自治区基层组织建设资金的通知</w:t>
            </w:r>
          </w:p>
        </w:tc>
      </w:tr>
      <w:tr w14:paraId="7CFB55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4FA7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E6E7DB">
            <w:pPr>
              <w:jc w:val="center"/>
            </w:pPr>
            <w:r>
              <w:rPr>
                <w:rFonts w:ascii="宋体" w:hAnsi="宋体" w:eastAsia="宋体"/>
                <w:sz w:val="16"/>
              </w:rPr>
              <w:t>乌鲁木齐市水磨沟区水塔山街道办事处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9962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71F9B3">
            <w:pPr>
              <w:jc w:val="center"/>
            </w:pPr>
            <w:r>
              <w:rPr>
                <w:rFonts w:ascii="宋体" w:hAnsi="宋体" w:eastAsia="宋体"/>
                <w:sz w:val="16"/>
              </w:rPr>
              <w:t>乌鲁木齐市水磨沟区水塔山街道办事处</w:t>
            </w:r>
          </w:p>
        </w:tc>
      </w:tr>
      <w:tr w14:paraId="2BFBD8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21852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2355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BC86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B276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21B4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1CCB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462F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EE0EB">
            <w:pPr>
              <w:jc w:val="center"/>
            </w:pPr>
            <w:r>
              <w:rPr>
                <w:rFonts w:ascii="宋体" w:hAnsi="宋体" w:eastAsia="宋体"/>
                <w:sz w:val="16"/>
              </w:rPr>
              <w:t>得分</w:t>
            </w:r>
          </w:p>
        </w:tc>
      </w:tr>
      <w:tr w14:paraId="2FC6A5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38F3E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FD4A1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72CDE">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107C0">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C9ACC">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618C9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38F5BF">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40E10">
            <w:pPr>
              <w:jc w:val="center"/>
            </w:pPr>
            <w:r>
              <w:rPr>
                <w:rFonts w:ascii="宋体" w:hAnsi="宋体" w:eastAsia="宋体"/>
                <w:sz w:val="16"/>
              </w:rPr>
              <w:t>10.00分</w:t>
            </w:r>
          </w:p>
        </w:tc>
      </w:tr>
      <w:tr w14:paraId="481B57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45F8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B82A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DC7D1">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651ED7">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C0AF7">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EBA0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E34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B1A77">
            <w:pPr>
              <w:jc w:val="center"/>
            </w:pPr>
            <w:r>
              <w:rPr>
                <w:rFonts w:ascii="宋体" w:hAnsi="宋体" w:eastAsia="宋体"/>
                <w:sz w:val="16"/>
              </w:rPr>
              <w:t>-</w:t>
            </w:r>
          </w:p>
        </w:tc>
      </w:tr>
      <w:tr w14:paraId="0A74AF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BA74D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8079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50C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843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9C2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5A8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C41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9E630">
            <w:pPr>
              <w:jc w:val="center"/>
            </w:pPr>
            <w:r>
              <w:rPr>
                <w:rFonts w:ascii="宋体" w:hAnsi="宋体" w:eastAsia="宋体"/>
                <w:sz w:val="16"/>
              </w:rPr>
              <w:t>-</w:t>
            </w:r>
          </w:p>
        </w:tc>
      </w:tr>
      <w:tr w14:paraId="45CBDE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73F31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0AAFA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C99BC1">
            <w:pPr>
              <w:jc w:val="center"/>
            </w:pPr>
            <w:r>
              <w:rPr>
                <w:rFonts w:ascii="宋体" w:hAnsi="宋体" w:eastAsia="宋体"/>
                <w:sz w:val="16"/>
              </w:rPr>
              <w:t>总体目标完成情况</w:t>
            </w:r>
          </w:p>
        </w:tc>
      </w:tr>
      <w:tr w14:paraId="092996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B3B6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748466">
            <w:pPr>
              <w:jc w:val="both"/>
            </w:pPr>
            <w:r>
              <w:rPr>
                <w:rFonts w:ascii="宋体" w:hAnsi="宋体" w:eastAsia="宋体"/>
                <w:sz w:val="16"/>
              </w:rPr>
              <w:t>2024年基层组织建设民生项目资金主要用于补助水塔山街道花苑社区“石榴籽”服务站建设，重点支持社区落实自治区组织部长会议“八进社区”部署，紧扣群众需求，打造服务群众场所、完善服务群众设施、创设服务群众项目，带动各地加大投入力度，聚力打造群众想来、愿来、爱来的美好家园。</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5F739E">
            <w:pPr>
              <w:jc w:val="both"/>
            </w:pPr>
            <w:r>
              <w:rPr>
                <w:rFonts w:ascii="宋体" w:hAnsi="宋体" w:eastAsia="宋体"/>
                <w:sz w:val="16"/>
              </w:rPr>
              <w:t>乌财行</w:t>
            </w:r>
            <w:r>
              <w:rPr>
                <w:rFonts w:hint="eastAsia" w:ascii="宋体" w:hAnsi="宋体"/>
                <w:sz w:val="16"/>
                <w:lang w:eastAsia="zh-CN"/>
              </w:rPr>
              <w:t>〔2024〕114号</w:t>
            </w:r>
            <w:r>
              <w:rPr>
                <w:rFonts w:ascii="宋体" w:hAnsi="宋体" w:eastAsia="宋体"/>
                <w:sz w:val="16"/>
              </w:rPr>
              <w:t>关于下达2024年自治区基层组织建设资金的通知，项目预算资金200000元，实际应付且支付199999.76元。“石榴籽”服务站项目打造了1个功能室，改造了3个功能室，自“石榴籽”服务站落地社区以来，社区服务效能实现飞跃式提升，居民们切实享受到更贴心、高效的服务，满意度持续攀升，幸福底色愈发鲜亮。</w:t>
            </w:r>
          </w:p>
        </w:tc>
      </w:tr>
      <w:tr w14:paraId="55F858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91935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0173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9D51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F5C9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E801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7CC0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317E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B676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6BE2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FFF9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66F5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5A48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FA59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EE0CC">
            <w:pPr>
              <w:jc w:val="center"/>
            </w:pPr>
            <w:r>
              <w:rPr>
                <w:rFonts w:ascii="宋体" w:hAnsi="宋体" w:eastAsia="宋体"/>
                <w:sz w:val="16"/>
              </w:rPr>
              <w:t>偏差原因分析及改进措施</w:t>
            </w:r>
          </w:p>
        </w:tc>
      </w:tr>
      <w:tr w14:paraId="396A0F3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2026C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19FD1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58DA5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5FFD2">
            <w:pPr>
              <w:jc w:val="center"/>
            </w:pPr>
            <w:r>
              <w:rPr>
                <w:rFonts w:ascii="宋体" w:hAnsi="宋体" w:eastAsia="宋体"/>
                <w:sz w:val="16"/>
              </w:rPr>
              <w:t>补助社区数量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6B95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C3A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2C11B">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51C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B17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D9239">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A32B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B96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CF3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2C72B">
            <w:pPr>
              <w:jc w:val="center"/>
            </w:pPr>
          </w:p>
        </w:tc>
      </w:tr>
      <w:tr w14:paraId="750816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C902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6A74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6B57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33AA0">
            <w:pPr>
              <w:jc w:val="center"/>
            </w:pPr>
            <w:r>
              <w:rPr>
                <w:rFonts w:ascii="宋体" w:hAnsi="宋体" w:eastAsia="宋体"/>
                <w:sz w:val="16"/>
              </w:rPr>
              <w:t>打造功能室数量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0BA5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698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EF7D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A16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C1B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0C4AF">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0E87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7F2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78F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EA13E">
            <w:pPr>
              <w:jc w:val="center"/>
            </w:pPr>
          </w:p>
        </w:tc>
      </w:tr>
      <w:tr w14:paraId="2A5745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D755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0BD9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46B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52452">
            <w:pPr>
              <w:jc w:val="center"/>
            </w:pPr>
            <w:r>
              <w:rPr>
                <w:rFonts w:ascii="宋体" w:hAnsi="宋体" w:eastAsia="宋体"/>
                <w:sz w:val="16"/>
              </w:rPr>
              <w:t>改造功能室数量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B0330">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A39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5A47D">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344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2C4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80469">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E6931">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A86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55E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93219">
            <w:pPr>
              <w:jc w:val="center"/>
            </w:pPr>
          </w:p>
        </w:tc>
      </w:tr>
      <w:tr w14:paraId="0C1F5C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B179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7B2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96D8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D0852">
            <w:pPr>
              <w:jc w:val="center"/>
            </w:pPr>
            <w:r>
              <w:rPr>
                <w:rFonts w:ascii="宋体" w:hAnsi="宋体" w:eastAsia="宋体"/>
                <w:sz w:val="16"/>
              </w:rPr>
              <w:t>设备设施器材符合质量合格率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96CE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26A95">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1F058">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07D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82D7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51FF7">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8A9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5B93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130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9765D">
            <w:pPr>
              <w:jc w:val="center"/>
            </w:pPr>
            <w:r>
              <w:rPr>
                <w:rFonts w:ascii="宋体" w:hAnsi="宋体" w:eastAsia="宋体"/>
                <w:sz w:val="16"/>
              </w:rPr>
              <w:t>目标值设置为90%，业绩值为100%，故有偏差。</w:t>
            </w:r>
          </w:p>
        </w:tc>
      </w:tr>
      <w:tr w14:paraId="1732CB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09E04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D872D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73BB1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D94A9">
            <w:pPr>
              <w:jc w:val="center"/>
            </w:pPr>
            <w:r>
              <w:rPr>
                <w:rFonts w:ascii="宋体" w:hAnsi="宋体" w:eastAsia="宋体"/>
                <w:sz w:val="16"/>
              </w:rPr>
              <w:t>打造一个功能室所需经费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6BEDE">
            <w:pPr>
              <w:jc w:val="center"/>
            </w:pPr>
            <w:r>
              <w:rPr>
                <w:rFonts w:ascii="宋体" w:hAnsi="宋体" w:eastAsia="宋体"/>
                <w:sz w:val="16"/>
              </w:rPr>
              <w:t>&lt;=3.2万元/个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A88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FEAF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A31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3EE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8E1F7">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9CCB7">
            <w:pPr>
              <w:jc w:val="center"/>
            </w:pPr>
            <w:r>
              <w:rPr>
                <w:rFonts w:ascii="宋体" w:hAnsi="宋体" w:eastAsia="宋体"/>
                <w:sz w:val="16"/>
              </w:rPr>
              <w:t>=3.2万元/个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6FC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57D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15596">
            <w:pPr>
              <w:jc w:val="center"/>
            </w:pPr>
          </w:p>
        </w:tc>
      </w:tr>
      <w:tr w14:paraId="4A3D9E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104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DCC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90CF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2F8B5">
            <w:pPr>
              <w:jc w:val="center"/>
            </w:pPr>
            <w:r>
              <w:rPr>
                <w:rFonts w:ascii="宋体" w:hAnsi="宋体" w:eastAsia="宋体"/>
                <w:sz w:val="16"/>
              </w:rPr>
              <w:t>改造一个功能室所需经费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06370">
            <w:pPr>
              <w:jc w:val="center"/>
            </w:pPr>
            <w:r>
              <w:rPr>
                <w:rFonts w:ascii="宋体" w:hAnsi="宋体" w:eastAsia="宋体"/>
                <w:sz w:val="16"/>
              </w:rPr>
              <w:t>&lt;=5.6万元/个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050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427CB">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BC1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C81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FDDF3">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BBC3D">
            <w:pPr>
              <w:jc w:val="center"/>
            </w:pPr>
            <w:r>
              <w:rPr>
                <w:rFonts w:ascii="宋体" w:hAnsi="宋体" w:eastAsia="宋体"/>
                <w:sz w:val="16"/>
              </w:rPr>
              <w:t>=5.6万元/个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52A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429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5C19B">
            <w:pPr>
              <w:jc w:val="center"/>
            </w:pPr>
          </w:p>
        </w:tc>
      </w:tr>
      <w:tr w14:paraId="621CC0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58D4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01C4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A705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D7C42">
            <w:pPr>
              <w:jc w:val="center"/>
            </w:pPr>
            <w:r>
              <w:rPr>
                <w:rFonts w:ascii="宋体" w:hAnsi="宋体" w:eastAsia="宋体"/>
                <w:sz w:val="16"/>
              </w:rPr>
              <w:t>项目社区服务能力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EBEBC">
            <w:pPr>
              <w:jc w:val="center"/>
            </w:pPr>
            <w:r>
              <w:rPr>
                <w:rFonts w:ascii="宋体" w:hAnsi="宋体" w:eastAsia="宋体"/>
                <w:sz w:val="16"/>
              </w:rPr>
              <w:t>有效增强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0D5A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7F439">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D901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8B0E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FC4E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EB49F">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30C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84E2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8218A">
            <w:pPr>
              <w:jc w:val="center"/>
            </w:pPr>
          </w:p>
        </w:tc>
      </w:tr>
      <w:tr w14:paraId="59A677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7599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85BF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76FD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F9C95">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D307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45AF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35FF9">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E80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46A8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700A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B24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5536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384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52235">
            <w:pPr>
              <w:jc w:val="center"/>
            </w:pPr>
            <w:r>
              <w:rPr>
                <w:rFonts w:ascii="宋体" w:hAnsi="宋体" w:eastAsia="宋体"/>
                <w:sz w:val="16"/>
              </w:rPr>
              <w:t>目标值设置为90%，业绩值为100%，故有偏差。</w:t>
            </w:r>
          </w:p>
        </w:tc>
      </w:tr>
      <w:tr w14:paraId="787D6AD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02DE2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3E1A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A414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EEB9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190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783F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D91A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2A18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0879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4C421">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3A0074"/>
        </w:tc>
      </w:tr>
    </w:tbl>
    <w:p w14:paraId="6293F2FA">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6"/>
        <w:gridCol w:w="622"/>
        <w:gridCol w:w="776"/>
        <w:gridCol w:w="606"/>
        <w:gridCol w:w="606"/>
        <w:gridCol w:w="614"/>
        <w:gridCol w:w="606"/>
        <w:gridCol w:w="614"/>
        <w:gridCol w:w="696"/>
        <w:gridCol w:w="776"/>
        <w:gridCol w:w="614"/>
        <w:gridCol w:w="696"/>
      </w:tblGrid>
      <w:tr w14:paraId="4206C372">
        <w:tblPrEx>
          <w:tblCellMar>
            <w:top w:w="0" w:type="dxa"/>
            <w:left w:w="108" w:type="dxa"/>
            <w:bottom w:w="0" w:type="dxa"/>
            <w:right w:w="108" w:type="dxa"/>
          </w:tblCellMar>
        </w:tblPrEx>
        <w:tc>
          <w:tcPr>
            <w:tcW w:w="8848" w:type="dxa"/>
            <w:gridSpan w:val="14"/>
            <w:vAlign w:val="center"/>
          </w:tcPr>
          <w:p w14:paraId="1E4DD1FA">
            <w:pPr>
              <w:jc w:val="center"/>
            </w:pPr>
            <w:r>
              <w:rPr>
                <w:rFonts w:ascii="宋体" w:hAnsi="宋体" w:eastAsia="宋体"/>
                <w:sz w:val="24"/>
              </w:rPr>
              <w:t>项目支出绩效自评表</w:t>
            </w:r>
          </w:p>
        </w:tc>
      </w:tr>
      <w:tr w14:paraId="425D1EB5">
        <w:tblPrEx>
          <w:tblCellMar>
            <w:top w:w="0" w:type="dxa"/>
            <w:left w:w="108" w:type="dxa"/>
            <w:bottom w:w="0" w:type="dxa"/>
            <w:right w:w="108" w:type="dxa"/>
          </w:tblCellMar>
        </w:tblPrEx>
        <w:tc>
          <w:tcPr>
            <w:tcW w:w="8848" w:type="dxa"/>
            <w:gridSpan w:val="14"/>
            <w:vAlign w:val="center"/>
          </w:tcPr>
          <w:p w14:paraId="56BE993B">
            <w:pPr>
              <w:jc w:val="center"/>
            </w:pPr>
            <w:r>
              <w:rPr>
                <w:rFonts w:ascii="宋体" w:hAnsi="宋体" w:eastAsia="宋体"/>
                <w:sz w:val="24"/>
              </w:rPr>
              <w:t>(2024年度)</w:t>
            </w:r>
          </w:p>
        </w:tc>
      </w:tr>
      <w:tr w14:paraId="675947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770B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102F4F8">
            <w:pPr>
              <w:jc w:val="center"/>
            </w:pPr>
            <w:r>
              <w:rPr>
                <w:rFonts w:ascii="宋体" w:hAnsi="宋体" w:eastAsia="宋体"/>
                <w:sz w:val="16"/>
              </w:rPr>
              <w:t>消化2021年暂付性款项</w:t>
            </w:r>
          </w:p>
        </w:tc>
      </w:tr>
      <w:tr w14:paraId="6531033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3623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761150">
            <w:pPr>
              <w:jc w:val="center"/>
            </w:pPr>
            <w:r>
              <w:rPr>
                <w:rFonts w:ascii="宋体" w:hAnsi="宋体" w:eastAsia="宋体"/>
                <w:sz w:val="16"/>
              </w:rPr>
              <w:t>乌鲁木齐市水磨沟区水塔山街道办事处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142D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59CB1B">
            <w:pPr>
              <w:jc w:val="center"/>
            </w:pPr>
            <w:r>
              <w:rPr>
                <w:rFonts w:ascii="宋体" w:hAnsi="宋体" w:eastAsia="宋体"/>
                <w:sz w:val="16"/>
              </w:rPr>
              <w:t>乌鲁木齐市水磨沟区水塔山街道办事处</w:t>
            </w:r>
          </w:p>
        </w:tc>
      </w:tr>
      <w:tr w14:paraId="4C7568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DAB55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435C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6C48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D2BC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923C5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1569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DFA1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DE21E">
            <w:pPr>
              <w:jc w:val="center"/>
            </w:pPr>
            <w:r>
              <w:rPr>
                <w:rFonts w:ascii="宋体" w:hAnsi="宋体" w:eastAsia="宋体"/>
                <w:sz w:val="16"/>
              </w:rPr>
              <w:t>得分</w:t>
            </w:r>
          </w:p>
        </w:tc>
      </w:tr>
      <w:tr w14:paraId="40AE7C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9E0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C25D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59F62">
            <w:pPr>
              <w:jc w:val="center"/>
            </w:pPr>
            <w:r>
              <w:rPr>
                <w:rFonts w:ascii="宋体" w:hAnsi="宋体" w:eastAsia="宋体"/>
                <w:sz w:val="16"/>
              </w:rPr>
              <w:t>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91D82">
            <w:pPr>
              <w:jc w:val="center"/>
            </w:pPr>
            <w:r>
              <w:rPr>
                <w:rFonts w:ascii="宋体" w:hAnsi="宋体" w:eastAsia="宋体"/>
                <w:sz w:val="16"/>
              </w:rPr>
              <w:t>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2165D">
            <w:pPr>
              <w:jc w:val="center"/>
            </w:pPr>
            <w:r>
              <w:rPr>
                <w:rFonts w:ascii="宋体" w:hAnsi="宋体" w:eastAsia="宋体"/>
                <w:sz w:val="16"/>
              </w:rPr>
              <w:t>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2338F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83F6F">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ED4F2">
            <w:pPr>
              <w:jc w:val="center"/>
            </w:pPr>
            <w:r>
              <w:rPr>
                <w:rFonts w:ascii="宋体" w:hAnsi="宋体" w:eastAsia="宋体"/>
                <w:sz w:val="16"/>
              </w:rPr>
              <w:t>10.00分</w:t>
            </w:r>
          </w:p>
        </w:tc>
      </w:tr>
      <w:tr w14:paraId="6FC823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63D1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61B0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5238A">
            <w:pPr>
              <w:jc w:val="center"/>
            </w:pPr>
            <w:r>
              <w:rPr>
                <w:rFonts w:ascii="宋体" w:hAnsi="宋体" w:eastAsia="宋体"/>
                <w:sz w:val="16"/>
              </w:rPr>
              <w:t>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0E262">
            <w:pPr>
              <w:jc w:val="center"/>
            </w:pPr>
            <w:r>
              <w:rPr>
                <w:rFonts w:ascii="宋体" w:hAnsi="宋体" w:eastAsia="宋体"/>
                <w:sz w:val="16"/>
              </w:rPr>
              <w:t>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9EA44">
            <w:pPr>
              <w:jc w:val="center"/>
            </w:pPr>
            <w:r>
              <w:rPr>
                <w:rFonts w:ascii="宋体" w:hAnsi="宋体" w:eastAsia="宋体"/>
                <w:sz w:val="16"/>
              </w:rPr>
              <w:t>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CF50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EFF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2E7DD">
            <w:pPr>
              <w:jc w:val="center"/>
            </w:pPr>
            <w:r>
              <w:rPr>
                <w:rFonts w:ascii="宋体" w:hAnsi="宋体" w:eastAsia="宋体"/>
                <w:sz w:val="16"/>
              </w:rPr>
              <w:t>-</w:t>
            </w:r>
          </w:p>
        </w:tc>
      </w:tr>
      <w:tr w14:paraId="4A64BB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05A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909E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4FB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DBE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60322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3CE2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817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45D5C">
            <w:pPr>
              <w:jc w:val="center"/>
            </w:pPr>
            <w:r>
              <w:rPr>
                <w:rFonts w:ascii="宋体" w:hAnsi="宋体" w:eastAsia="宋体"/>
                <w:sz w:val="16"/>
              </w:rPr>
              <w:t>-</w:t>
            </w:r>
          </w:p>
        </w:tc>
      </w:tr>
      <w:tr w14:paraId="7D2BB1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33FD2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63041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F94B71A">
            <w:pPr>
              <w:jc w:val="center"/>
            </w:pPr>
            <w:r>
              <w:rPr>
                <w:rFonts w:ascii="宋体" w:hAnsi="宋体" w:eastAsia="宋体"/>
                <w:sz w:val="16"/>
              </w:rPr>
              <w:t>总体目标完成情况</w:t>
            </w:r>
          </w:p>
        </w:tc>
      </w:tr>
      <w:tr w14:paraId="6877EC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6F086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A32093">
            <w:pPr>
              <w:jc w:val="both"/>
            </w:pPr>
            <w:r>
              <w:rPr>
                <w:rFonts w:ascii="宋体" w:hAnsi="宋体" w:eastAsia="宋体"/>
                <w:sz w:val="16"/>
              </w:rPr>
              <w:t>化解2021年暂付性款项，预算资金38万元。主要偿付2017年大封闭建设安检房热力管网新建工程工人9月-11月工资。通过化解历年欠款，有效降低</w:t>
            </w:r>
            <w:r>
              <w:rPr>
                <w:rFonts w:hint="eastAsia" w:ascii="宋体" w:hAnsi="宋体"/>
                <w:sz w:val="16"/>
                <w:lang w:eastAsia="zh-CN"/>
              </w:rPr>
              <w:t>本单位</w:t>
            </w:r>
            <w:r>
              <w:rPr>
                <w:rFonts w:ascii="宋体" w:hAnsi="宋体" w:eastAsia="宋体"/>
                <w:sz w:val="16"/>
              </w:rPr>
              <w:t>债务风险，降低欠款企业上访意愿。</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68E5EF">
            <w:pPr>
              <w:jc w:val="both"/>
            </w:pPr>
            <w:r>
              <w:rPr>
                <w:rFonts w:ascii="宋体" w:hAnsi="宋体" w:eastAsia="宋体"/>
                <w:sz w:val="16"/>
              </w:rPr>
              <w:t>截至2024年12月31日，已成功消化2021年暂付性款项38万元。该项目主要偿付2017年大封闭建设安检房热力管网新建工程工人9月-11月工资。通过化解历年欠款，有效降低</w:t>
            </w:r>
            <w:r>
              <w:rPr>
                <w:rFonts w:hint="eastAsia" w:ascii="宋体" w:hAnsi="宋体"/>
                <w:sz w:val="16"/>
                <w:lang w:eastAsia="zh-CN"/>
              </w:rPr>
              <w:t>本单位</w:t>
            </w:r>
            <w:r>
              <w:rPr>
                <w:rFonts w:ascii="宋体" w:hAnsi="宋体" w:eastAsia="宋体"/>
                <w:sz w:val="16"/>
              </w:rPr>
              <w:t>债务风险，降低欠款企业上访意愿。</w:t>
            </w:r>
          </w:p>
        </w:tc>
      </w:tr>
      <w:tr w14:paraId="0C4722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D1F50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7121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A134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8D60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8418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7FAE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ADC7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14A1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1EA2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6679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44E8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D62B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64B3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B93A5">
            <w:pPr>
              <w:jc w:val="center"/>
            </w:pPr>
            <w:r>
              <w:rPr>
                <w:rFonts w:ascii="宋体" w:hAnsi="宋体" w:eastAsia="宋体"/>
                <w:sz w:val="16"/>
              </w:rPr>
              <w:t>偏差原因分析及改进措施</w:t>
            </w:r>
          </w:p>
        </w:tc>
      </w:tr>
      <w:tr w14:paraId="5ADB5E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59734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28C84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A9A1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8A17E">
            <w:pPr>
              <w:jc w:val="center"/>
            </w:pPr>
            <w:r>
              <w:rPr>
                <w:rFonts w:ascii="宋体" w:hAnsi="宋体" w:eastAsia="宋体"/>
                <w:sz w:val="16"/>
              </w:rPr>
              <w:t>涉及欠款企业工人数量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D8294">
            <w:pPr>
              <w:jc w:val="center"/>
            </w:pPr>
            <w:r>
              <w:rPr>
                <w:rFonts w:ascii="宋体" w:hAnsi="宋体" w:eastAsia="宋体"/>
                <w:sz w:val="16"/>
              </w:rPr>
              <w:t>=22人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5BB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5AB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778B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CBC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CBA3F">
            <w:pPr>
              <w:jc w:val="center"/>
            </w:pPr>
            <w:r>
              <w:rPr>
                <w:rFonts w:ascii="宋体" w:hAnsi="宋体" w:eastAsia="宋体"/>
                <w:sz w:val="16"/>
              </w:rPr>
              <w:t>正式材料,原始凭证,说明材料,工作资料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049ED">
            <w:pPr>
              <w:jc w:val="center"/>
            </w:pPr>
            <w:r>
              <w:rPr>
                <w:rFonts w:ascii="宋体" w:hAnsi="宋体" w:eastAsia="宋体"/>
                <w:sz w:val="16"/>
              </w:rPr>
              <w:t>=22人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6FD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608F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742BB">
            <w:pPr>
              <w:jc w:val="center"/>
            </w:pPr>
          </w:p>
        </w:tc>
      </w:tr>
      <w:tr w14:paraId="5D0A45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F19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15C1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6682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107DE">
            <w:pPr>
              <w:jc w:val="center"/>
            </w:pPr>
            <w:r>
              <w:rPr>
                <w:rFonts w:ascii="宋体" w:hAnsi="宋体" w:eastAsia="宋体"/>
                <w:sz w:val="16"/>
              </w:rPr>
              <w:t>欠款资金支付准确率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366D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AC0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0B2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CC5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297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15473">
            <w:pPr>
              <w:jc w:val="center"/>
            </w:pPr>
            <w:r>
              <w:rPr>
                <w:rFonts w:ascii="宋体" w:hAnsi="宋体" w:eastAsia="宋体"/>
                <w:sz w:val="16"/>
              </w:rPr>
              <w:t>正式材料,原始凭证,说明材料,工作资料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D18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DC9C1">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E99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F5063">
            <w:pPr>
              <w:jc w:val="center"/>
            </w:pPr>
            <w:r>
              <w:rPr>
                <w:rFonts w:ascii="宋体" w:hAnsi="宋体" w:eastAsia="宋体"/>
                <w:sz w:val="16"/>
              </w:rPr>
              <w:t>目标值设置为90%，业绩值为100%，故有偏差。</w:t>
            </w:r>
          </w:p>
        </w:tc>
      </w:tr>
      <w:tr w14:paraId="1CF6D1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CA06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01ED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6E00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47145">
            <w:pPr>
              <w:jc w:val="center"/>
            </w:pPr>
            <w:r>
              <w:rPr>
                <w:rFonts w:ascii="宋体" w:hAnsi="宋体" w:eastAsia="宋体"/>
                <w:sz w:val="16"/>
              </w:rPr>
              <w:t>欠款资金支付及时率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4D0D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DED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77D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F9D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DDC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CACC7">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1C4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2AAF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EC9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AC2A9">
            <w:pPr>
              <w:jc w:val="center"/>
            </w:pPr>
            <w:r>
              <w:rPr>
                <w:rFonts w:ascii="宋体" w:hAnsi="宋体" w:eastAsia="宋体"/>
                <w:sz w:val="16"/>
              </w:rPr>
              <w:t>目标值设置为90%，业绩值为100%，故有偏差。</w:t>
            </w:r>
          </w:p>
        </w:tc>
      </w:tr>
      <w:tr w14:paraId="4F6AE3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86C33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7AF4B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373BE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1F0A0">
            <w:pPr>
              <w:jc w:val="center"/>
            </w:pPr>
            <w:r>
              <w:rPr>
                <w:rFonts w:ascii="宋体" w:hAnsi="宋体" w:eastAsia="宋体"/>
                <w:sz w:val="16"/>
              </w:rPr>
              <w:t>9月工人工资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E7CCB">
            <w:pPr>
              <w:jc w:val="center"/>
            </w:pPr>
            <w:r>
              <w:rPr>
                <w:rFonts w:ascii="宋体" w:hAnsi="宋体" w:eastAsia="宋体"/>
                <w:sz w:val="16"/>
              </w:rPr>
              <w:t>&lt;=12.05万元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3C0D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133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C3B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729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484F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49834">
            <w:pPr>
              <w:jc w:val="center"/>
            </w:pPr>
            <w:r>
              <w:rPr>
                <w:rFonts w:ascii="宋体" w:hAnsi="宋体" w:eastAsia="宋体"/>
                <w:sz w:val="16"/>
              </w:rPr>
              <w:t>=12.05万元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E5A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F63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58380">
            <w:pPr>
              <w:jc w:val="center"/>
            </w:pPr>
          </w:p>
        </w:tc>
      </w:tr>
      <w:tr w14:paraId="038DAD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4DA1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E66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2E7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B9A49">
            <w:pPr>
              <w:jc w:val="center"/>
            </w:pPr>
            <w:r>
              <w:rPr>
                <w:rFonts w:ascii="宋体" w:hAnsi="宋体" w:eastAsia="宋体"/>
                <w:sz w:val="16"/>
              </w:rPr>
              <w:t>10月工人工资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ACD36">
            <w:pPr>
              <w:jc w:val="center"/>
            </w:pPr>
            <w:r>
              <w:rPr>
                <w:rFonts w:ascii="宋体" w:hAnsi="宋体" w:eastAsia="宋体"/>
                <w:sz w:val="16"/>
              </w:rPr>
              <w:t>&lt;=13.19万元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F2E2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DAC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9EFB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99F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E6F56">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BCF17">
            <w:pPr>
              <w:jc w:val="center"/>
            </w:pPr>
            <w:r>
              <w:rPr>
                <w:rFonts w:ascii="宋体" w:hAnsi="宋体" w:eastAsia="宋体"/>
                <w:sz w:val="16"/>
              </w:rPr>
              <w:t>=13.19万元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FAA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D208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32856">
            <w:pPr>
              <w:jc w:val="center"/>
            </w:pPr>
          </w:p>
        </w:tc>
      </w:tr>
      <w:tr w14:paraId="4DFCBD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9FE2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4C80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835A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1CD3A">
            <w:pPr>
              <w:jc w:val="center"/>
            </w:pPr>
            <w:r>
              <w:rPr>
                <w:rFonts w:ascii="宋体" w:hAnsi="宋体" w:eastAsia="宋体"/>
                <w:sz w:val="16"/>
              </w:rPr>
              <w:t>11月工人工资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44C5A">
            <w:pPr>
              <w:jc w:val="center"/>
            </w:pPr>
            <w:r>
              <w:rPr>
                <w:rFonts w:ascii="宋体" w:hAnsi="宋体" w:eastAsia="宋体"/>
                <w:sz w:val="16"/>
              </w:rPr>
              <w:t>&lt;=12.76万元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9F41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E40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32A5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0AF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C6EBE">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6C1BA">
            <w:pPr>
              <w:jc w:val="center"/>
            </w:pPr>
            <w:r>
              <w:rPr>
                <w:rFonts w:ascii="宋体" w:hAnsi="宋体" w:eastAsia="宋体"/>
                <w:sz w:val="16"/>
              </w:rPr>
              <w:t>=12.76万元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231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DB2B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A8A40">
            <w:pPr>
              <w:jc w:val="center"/>
            </w:pPr>
          </w:p>
        </w:tc>
      </w:tr>
      <w:tr w14:paraId="3B5750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4BF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DFB1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1761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7542E">
            <w:pPr>
              <w:jc w:val="center"/>
            </w:pPr>
            <w:r>
              <w:rPr>
                <w:rFonts w:ascii="宋体" w:hAnsi="宋体" w:eastAsia="宋体"/>
                <w:sz w:val="16"/>
              </w:rPr>
              <w:t>有效化解矛盾纠纷，减少信访事件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104EC">
            <w:pPr>
              <w:jc w:val="center"/>
            </w:pPr>
            <w:r>
              <w:rPr>
                <w:rFonts w:ascii="宋体" w:hAnsi="宋体" w:eastAsia="宋体"/>
                <w:sz w:val="16"/>
              </w:rPr>
              <w:t>有效化解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BCC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748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C6F5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CC05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61D2D">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12927">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9ED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383D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A232B">
            <w:pPr>
              <w:jc w:val="center"/>
            </w:pPr>
          </w:p>
        </w:tc>
      </w:tr>
      <w:tr w14:paraId="6CD4F66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C7EBA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9CD2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7942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FEAC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5D1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791E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0F5D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26C2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F7C6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C1AE0">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A876AC"/>
        </w:tc>
      </w:tr>
    </w:tbl>
    <w:p w14:paraId="5CCBCD5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3BEACA59">
        <w:tblPrEx>
          <w:tblCellMar>
            <w:top w:w="0" w:type="dxa"/>
            <w:left w:w="108" w:type="dxa"/>
            <w:bottom w:w="0" w:type="dxa"/>
            <w:right w:w="108" w:type="dxa"/>
          </w:tblCellMar>
        </w:tblPrEx>
        <w:tc>
          <w:tcPr>
            <w:tcW w:w="8848" w:type="dxa"/>
            <w:gridSpan w:val="14"/>
            <w:vAlign w:val="center"/>
          </w:tcPr>
          <w:p w14:paraId="4B7940FD">
            <w:pPr>
              <w:jc w:val="center"/>
            </w:pPr>
            <w:r>
              <w:rPr>
                <w:rFonts w:ascii="宋体" w:hAnsi="宋体" w:eastAsia="宋体"/>
                <w:sz w:val="24"/>
              </w:rPr>
              <w:t>项目支出绩效自评表</w:t>
            </w:r>
          </w:p>
        </w:tc>
      </w:tr>
      <w:tr w14:paraId="2BE8B9E0">
        <w:tblPrEx>
          <w:tblCellMar>
            <w:top w:w="0" w:type="dxa"/>
            <w:left w:w="108" w:type="dxa"/>
            <w:bottom w:w="0" w:type="dxa"/>
            <w:right w:w="108" w:type="dxa"/>
          </w:tblCellMar>
        </w:tblPrEx>
        <w:tc>
          <w:tcPr>
            <w:tcW w:w="8848" w:type="dxa"/>
            <w:gridSpan w:val="14"/>
            <w:vAlign w:val="center"/>
          </w:tcPr>
          <w:p w14:paraId="08088AA6">
            <w:pPr>
              <w:jc w:val="center"/>
            </w:pPr>
            <w:r>
              <w:rPr>
                <w:rFonts w:ascii="宋体" w:hAnsi="宋体" w:eastAsia="宋体"/>
                <w:sz w:val="24"/>
              </w:rPr>
              <w:t>(2024年度)</w:t>
            </w:r>
          </w:p>
        </w:tc>
      </w:tr>
      <w:tr w14:paraId="5DD099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789D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470B2E9">
            <w:pPr>
              <w:jc w:val="center"/>
            </w:pPr>
            <w:r>
              <w:rPr>
                <w:rFonts w:ascii="宋体" w:hAnsi="宋体" w:eastAsia="宋体"/>
                <w:sz w:val="16"/>
              </w:rPr>
              <w:t>消化2023年临时聘用人员经费（从乌财企</w:t>
            </w:r>
            <w:r>
              <w:rPr>
                <w:rFonts w:hint="eastAsia" w:ascii="宋体" w:hAnsi="宋体"/>
                <w:sz w:val="16"/>
                <w:lang w:eastAsia="zh-CN"/>
              </w:rPr>
              <w:t>〔2023〕90号</w:t>
            </w:r>
            <w:r>
              <w:rPr>
                <w:rFonts w:ascii="宋体" w:hAnsi="宋体" w:eastAsia="宋体"/>
                <w:sz w:val="16"/>
              </w:rPr>
              <w:t>中列支）、消化2023年临时聘用人员经费（从乌财企</w:t>
            </w:r>
            <w:r>
              <w:rPr>
                <w:rFonts w:hint="eastAsia" w:ascii="宋体" w:hAnsi="宋体"/>
                <w:sz w:val="16"/>
                <w:lang w:eastAsia="zh-CN"/>
              </w:rPr>
              <w:t>〔2022〕54号</w:t>
            </w:r>
            <w:r>
              <w:rPr>
                <w:rFonts w:ascii="宋体" w:hAnsi="宋体" w:eastAsia="宋体"/>
                <w:sz w:val="16"/>
              </w:rPr>
              <w:t>中列支）</w:t>
            </w:r>
          </w:p>
        </w:tc>
      </w:tr>
      <w:tr w14:paraId="503448F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173E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6315FA">
            <w:pPr>
              <w:jc w:val="center"/>
            </w:pPr>
            <w:r>
              <w:rPr>
                <w:rFonts w:ascii="宋体" w:hAnsi="宋体" w:eastAsia="宋体"/>
                <w:sz w:val="16"/>
              </w:rPr>
              <w:t>乌鲁木齐市水磨沟区水塔山街道办事处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C301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D875E5">
            <w:pPr>
              <w:jc w:val="center"/>
            </w:pPr>
            <w:r>
              <w:rPr>
                <w:rFonts w:ascii="宋体" w:hAnsi="宋体" w:eastAsia="宋体"/>
                <w:sz w:val="16"/>
              </w:rPr>
              <w:t>乌鲁木齐市水磨沟区水塔山街道办事处</w:t>
            </w:r>
          </w:p>
        </w:tc>
      </w:tr>
      <w:tr w14:paraId="007C03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BC13E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5BD0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C5C8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559C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C427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50CE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37C2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DE35D">
            <w:pPr>
              <w:jc w:val="center"/>
            </w:pPr>
            <w:r>
              <w:rPr>
                <w:rFonts w:ascii="宋体" w:hAnsi="宋体" w:eastAsia="宋体"/>
                <w:sz w:val="16"/>
              </w:rPr>
              <w:t>得分</w:t>
            </w:r>
          </w:p>
        </w:tc>
      </w:tr>
      <w:tr w14:paraId="467952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4132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EBA14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7ACDD">
            <w:pPr>
              <w:jc w:val="center"/>
            </w:pPr>
            <w:r>
              <w:rPr>
                <w:rFonts w:ascii="宋体" w:hAnsi="宋体" w:eastAsia="宋体"/>
                <w:sz w:val="16"/>
              </w:rPr>
              <w:t>15.79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6EE7B">
            <w:pPr>
              <w:jc w:val="center"/>
            </w:pPr>
            <w:r>
              <w:rPr>
                <w:rFonts w:ascii="宋体" w:hAnsi="宋体" w:eastAsia="宋体"/>
                <w:sz w:val="16"/>
              </w:rPr>
              <w:t>34.68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2650D">
            <w:pPr>
              <w:jc w:val="center"/>
            </w:pPr>
            <w:r>
              <w:rPr>
                <w:rFonts w:ascii="宋体" w:hAnsi="宋体" w:eastAsia="宋体"/>
                <w:sz w:val="16"/>
              </w:rPr>
              <w:t>34.68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2BDA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2FCAE2">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00D67">
            <w:pPr>
              <w:jc w:val="center"/>
            </w:pPr>
            <w:r>
              <w:rPr>
                <w:rFonts w:ascii="宋体" w:hAnsi="宋体" w:eastAsia="宋体"/>
                <w:sz w:val="16"/>
              </w:rPr>
              <w:t>10.00分</w:t>
            </w:r>
          </w:p>
        </w:tc>
      </w:tr>
      <w:tr w14:paraId="67A564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9451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5361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E37D5">
            <w:pPr>
              <w:jc w:val="center"/>
            </w:pPr>
            <w:r>
              <w:rPr>
                <w:rFonts w:ascii="宋体" w:hAnsi="宋体" w:eastAsia="宋体"/>
                <w:sz w:val="16"/>
              </w:rPr>
              <w:t>15.79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8420D">
            <w:pPr>
              <w:jc w:val="center"/>
            </w:pPr>
            <w:r>
              <w:rPr>
                <w:rFonts w:ascii="宋体" w:hAnsi="宋体" w:eastAsia="宋体"/>
                <w:sz w:val="16"/>
              </w:rPr>
              <w:t>34.68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85736">
            <w:pPr>
              <w:jc w:val="center"/>
            </w:pPr>
            <w:r>
              <w:rPr>
                <w:rFonts w:ascii="宋体" w:hAnsi="宋体" w:eastAsia="宋体"/>
                <w:sz w:val="16"/>
              </w:rPr>
              <w:t>34.68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219C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15F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B7626">
            <w:pPr>
              <w:jc w:val="center"/>
            </w:pPr>
            <w:r>
              <w:rPr>
                <w:rFonts w:ascii="宋体" w:hAnsi="宋体" w:eastAsia="宋体"/>
                <w:sz w:val="16"/>
              </w:rPr>
              <w:t>-</w:t>
            </w:r>
          </w:p>
        </w:tc>
      </w:tr>
      <w:tr w14:paraId="1EF846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43F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948E1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1FF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F04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ACE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710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953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CDBB7">
            <w:pPr>
              <w:jc w:val="center"/>
            </w:pPr>
            <w:r>
              <w:rPr>
                <w:rFonts w:ascii="宋体" w:hAnsi="宋体" w:eastAsia="宋体"/>
                <w:sz w:val="16"/>
              </w:rPr>
              <w:t>-</w:t>
            </w:r>
          </w:p>
        </w:tc>
      </w:tr>
      <w:tr w14:paraId="29DAF6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AC151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01DFB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7CE7F2">
            <w:pPr>
              <w:jc w:val="center"/>
            </w:pPr>
            <w:r>
              <w:rPr>
                <w:rFonts w:ascii="宋体" w:hAnsi="宋体" w:eastAsia="宋体"/>
                <w:sz w:val="16"/>
              </w:rPr>
              <w:t>总体目标完成情况</w:t>
            </w:r>
          </w:p>
        </w:tc>
      </w:tr>
      <w:tr w14:paraId="2CB299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04AD9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C7E78B">
            <w:pPr>
              <w:jc w:val="both"/>
            </w:pPr>
            <w:r>
              <w:rPr>
                <w:rFonts w:ascii="宋体" w:hAnsi="宋体" w:eastAsia="宋体"/>
                <w:sz w:val="16"/>
              </w:rPr>
              <w:t>消化2023年临聘人员经费（从乌财企</w:t>
            </w:r>
            <w:r>
              <w:rPr>
                <w:rFonts w:hint="eastAsia" w:ascii="宋体" w:hAnsi="宋体"/>
                <w:sz w:val="16"/>
                <w:lang w:eastAsia="zh-CN"/>
              </w:rPr>
              <w:t>〔2023〕90号</w:t>
            </w:r>
            <w:r>
              <w:rPr>
                <w:rFonts w:ascii="宋体" w:hAnsi="宋体" w:eastAsia="宋体"/>
                <w:sz w:val="16"/>
              </w:rPr>
              <w:t>）、消化2023年临时聘用人员经费（从乌财企</w:t>
            </w:r>
            <w:r>
              <w:rPr>
                <w:rFonts w:hint="eastAsia" w:ascii="宋体" w:hAnsi="宋体"/>
                <w:sz w:val="16"/>
                <w:lang w:eastAsia="zh-CN"/>
              </w:rPr>
              <w:t>〔2022〕54号</w:t>
            </w:r>
            <w:r>
              <w:rPr>
                <w:rFonts w:ascii="宋体" w:hAnsi="宋体" w:eastAsia="宋体"/>
                <w:sz w:val="16"/>
              </w:rPr>
              <w:t>中列支），项目金额合计34.68万元。该项目涉及2023年临聘人员工资社保等支出化解，由街道行政事务管理中心提出，经单位领导审批后，由财务室支付。该项目资金的支付化解了</w:t>
            </w:r>
            <w:r>
              <w:rPr>
                <w:rFonts w:hint="eastAsia" w:ascii="宋体" w:hAnsi="宋体"/>
                <w:sz w:val="16"/>
                <w:lang w:eastAsia="zh-CN"/>
              </w:rPr>
              <w:t>本单位</w:t>
            </w:r>
            <w:r>
              <w:rPr>
                <w:rFonts w:ascii="宋体" w:hAnsi="宋体" w:eastAsia="宋体"/>
                <w:sz w:val="16"/>
              </w:rPr>
              <w:t>2023年临聘人员相关的暂付款，有利于我街道优化财政收支结构，提高工作人员积极性，提高运转能力和水平。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AFA4D7">
            <w:pPr>
              <w:jc w:val="both"/>
            </w:pPr>
            <w:r>
              <w:rPr>
                <w:rFonts w:ascii="宋体" w:hAnsi="宋体" w:eastAsia="宋体"/>
                <w:sz w:val="16"/>
              </w:rPr>
              <w:t>截至2024年12月31日，</w:t>
            </w:r>
            <w:r>
              <w:rPr>
                <w:rFonts w:hint="eastAsia" w:ascii="宋体" w:hAnsi="宋体"/>
                <w:sz w:val="16"/>
                <w:lang w:eastAsia="zh-CN"/>
              </w:rPr>
              <w:t>本单位</w:t>
            </w:r>
            <w:r>
              <w:rPr>
                <w:rFonts w:ascii="宋体" w:hAnsi="宋体" w:eastAsia="宋体"/>
                <w:sz w:val="16"/>
              </w:rPr>
              <w:t>消化2023年临聘人员经费（从乌财企</w:t>
            </w:r>
            <w:r>
              <w:rPr>
                <w:rFonts w:hint="eastAsia" w:ascii="宋体" w:hAnsi="宋体"/>
                <w:sz w:val="16"/>
                <w:lang w:eastAsia="zh-CN"/>
              </w:rPr>
              <w:t>〔2023〕90号</w:t>
            </w:r>
            <w:r>
              <w:rPr>
                <w:rFonts w:ascii="宋体" w:hAnsi="宋体" w:eastAsia="宋体"/>
                <w:sz w:val="16"/>
              </w:rPr>
              <w:t>）、消化2023年临时聘用人员经费（从乌财企</w:t>
            </w:r>
            <w:r>
              <w:rPr>
                <w:rFonts w:hint="eastAsia" w:ascii="宋体" w:hAnsi="宋体"/>
                <w:sz w:val="16"/>
                <w:lang w:eastAsia="zh-CN"/>
              </w:rPr>
              <w:t>〔2022〕54号</w:t>
            </w:r>
            <w:r>
              <w:rPr>
                <w:rFonts w:ascii="宋体" w:hAnsi="宋体" w:eastAsia="宋体"/>
                <w:sz w:val="16"/>
              </w:rPr>
              <w:t>中列支），项目金额合计34.68万元。该项目资金的支付化解了</w:t>
            </w:r>
            <w:r>
              <w:rPr>
                <w:rFonts w:hint="eastAsia" w:ascii="宋体" w:hAnsi="宋体"/>
                <w:sz w:val="16"/>
                <w:lang w:eastAsia="zh-CN"/>
              </w:rPr>
              <w:t>本单位</w:t>
            </w:r>
            <w:r>
              <w:rPr>
                <w:rFonts w:ascii="宋体" w:hAnsi="宋体" w:eastAsia="宋体"/>
                <w:sz w:val="16"/>
              </w:rPr>
              <w:t>2023年临聘人员相关的暂付款，有利于我街道优化财政收支结构，提高工作人员积极性，提高街道运转能力和水平。</w:t>
            </w:r>
          </w:p>
        </w:tc>
      </w:tr>
      <w:tr w14:paraId="0D9E9E4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1F637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2FAC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1504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7EF4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2BDA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8998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1F4A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941B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6957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87B7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5A49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20F0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936F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927A1">
            <w:pPr>
              <w:jc w:val="center"/>
            </w:pPr>
            <w:r>
              <w:rPr>
                <w:rFonts w:ascii="宋体" w:hAnsi="宋体" w:eastAsia="宋体"/>
                <w:sz w:val="16"/>
              </w:rPr>
              <w:t>偏差原因分析及改进措施</w:t>
            </w:r>
          </w:p>
        </w:tc>
      </w:tr>
      <w:tr w14:paraId="51E762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0B980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95CDB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D315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AABCE">
            <w:pPr>
              <w:jc w:val="center"/>
            </w:pPr>
            <w:r>
              <w:rPr>
                <w:rFonts w:ascii="宋体" w:hAnsi="宋体" w:eastAsia="宋体"/>
                <w:sz w:val="16"/>
              </w:rPr>
              <w:t>经费涉及人数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3D5FD">
            <w:pPr>
              <w:jc w:val="center"/>
            </w:pPr>
            <w:r>
              <w:rPr>
                <w:rFonts w:ascii="宋体" w:hAnsi="宋体" w:eastAsia="宋体"/>
                <w:sz w:val="16"/>
              </w:rPr>
              <w:t>&gt;=204人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94B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D4CB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6EDC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402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FBD53">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36AE0">
            <w:pPr>
              <w:jc w:val="center"/>
            </w:pPr>
            <w:r>
              <w:rPr>
                <w:rFonts w:ascii="宋体" w:hAnsi="宋体" w:eastAsia="宋体"/>
                <w:sz w:val="16"/>
              </w:rPr>
              <w:t>=204人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88A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3841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5D123">
            <w:pPr>
              <w:jc w:val="center"/>
            </w:pPr>
          </w:p>
        </w:tc>
      </w:tr>
      <w:tr w14:paraId="154FE0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8E34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D9A07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B1E8A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BBE17">
            <w:pPr>
              <w:jc w:val="center"/>
            </w:pPr>
            <w:r>
              <w:rPr>
                <w:rFonts w:ascii="宋体" w:hAnsi="宋体" w:eastAsia="宋体"/>
                <w:sz w:val="16"/>
              </w:rPr>
              <w:t>资金发放准确率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310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03C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06E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0EDA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E0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F0702">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7EC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EE7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7F5D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5323E">
            <w:pPr>
              <w:jc w:val="center"/>
            </w:pPr>
          </w:p>
        </w:tc>
      </w:tr>
      <w:tr w14:paraId="70ECC0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D8A4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65C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4F2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760A7">
            <w:pPr>
              <w:jc w:val="center"/>
            </w:pPr>
            <w:r>
              <w:rPr>
                <w:rFonts w:ascii="宋体" w:hAnsi="宋体" w:eastAsia="宋体"/>
                <w:sz w:val="16"/>
              </w:rPr>
              <w:t>临聘人员考核合格率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FE9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6EBA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EE0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DE79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951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1AEDE">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627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46A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970C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6C9AD">
            <w:pPr>
              <w:jc w:val="center"/>
            </w:pPr>
          </w:p>
        </w:tc>
      </w:tr>
      <w:tr w14:paraId="200463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12FE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CA9D7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83BB0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35FAC">
            <w:pPr>
              <w:jc w:val="center"/>
            </w:pPr>
            <w:r>
              <w:rPr>
                <w:rFonts w:ascii="宋体" w:hAnsi="宋体" w:eastAsia="宋体"/>
                <w:sz w:val="16"/>
              </w:rPr>
              <w:t>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65D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B30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443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4BB8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C79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1876D">
            <w:pPr>
              <w:jc w:val="center"/>
            </w:pPr>
            <w:r>
              <w:rPr>
                <w:rFonts w:ascii="宋体" w:hAnsi="宋体" w:eastAsia="宋体"/>
                <w:sz w:val="16"/>
              </w:rPr>
              <w:t>正式材料,工作资料,说明材料,原始凭证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932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164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F66C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0B10B">
            <w:pPr>
              <w:jc w:val="center"/>
            </w:pPr>
          </w:p>
        </w:tc>
      </w:tr>
      <w:tr w14:paraId="49A7C2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498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778C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14A3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9DBA0">
            <w:pPr>
              <w:jc w:val="center"/>
            </w:pPr>
            <w:r>
              <w:rPr>
                <w:rFonts w:ascii="宋体" w:hAnsi="宋体" w:eastAsia="宋体"/>
                <w:sz w:val="16"/>
              </w:rPr>
              <w:t>经费使用期限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5E7D2">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638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E02E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162B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159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8A40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C972E">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831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B3E8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914B1">
            <w:pPr>
              <w:jc w:val="center"/>
            </w:pPr>
          </w:p>
        </w:tc>
      </w:tr>
      <w:tr w14:paraId="23A10B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CDEC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98DB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ACB9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F21AC">
            <w:pPr>
              <w:jc w:val="center"/>
            </w:pPr>
            <w:r>
              <w:rPr>
                <w:rFonts w:ascii="宋体" w:hAnsi="宋体" w:eastAsia="宋体"/>
                <w:sz w:val="16"/>
              </w:rPr>
              <w:t>人均使用该项目经费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F579E">
            <w:pPr>
              <w:jc w:val="center"/>
            </w:pPr>
            <w:r>
              <w:rPr>
                <w:rFonts w:ascii="宋体" w:hAnsi="宋体" w:eastAsia="宋体"/>
                <w:sz w:val="16"/>
              </w:rPr>
              <w:t>&lt;=1700元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90B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D6390">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D74B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E8E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47219">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14CE3">
            <w:pPr>
              <w:jc w:val="center"/>
            </w:pPr>
            <w:r>
              <w:rPr>
                <w:rFonts w:ascii="宋体" w:hAnsi="宋体" w:eastAsia="宋体"/>
                <w:sz w:val="16"/>
              </w:rPr>
              <w:t>=1700元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DB3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D831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74382">
            <w:pPr>
              <w:jc w:val="center"/>
            </w:pPr>
          </w:p>
        </w:tc>
      </w:tr>
      <w:tr w14:paraId="391429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CB90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B672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4142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92AD4">
            <w:pPr>
              <w:jc w:val="center"/>
            </w:pPr>
            <w:r>
              <w:rPr>
                <w:rFonts w:ascii="宋体" w:hAnsi="宋体" w:eastAsia="宋体"/>
                <w:sz w:val="16"/>
              </w:rPr>
              <w:t>提高工作人员的工作热情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D7B4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E4DA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2D69B">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6CA9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1B90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17FD2">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F04CC">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6A3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8923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D7878">
            <w:pPr>
              <w:jc w:val="center"/>
            </w:pPr>
          </w:p>
        </w:tc>
      </w:tr>
      <w:tr w14:paraId="269C8A2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84F110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5BDC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D56D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94D8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2A6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F811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F375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727B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DE39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26961">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214C13"/>
        </w:tc>
      </w:tr>
    </w:tbl>
    <w:p w14:paraId="02C4B7CA">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6"/>
        <w:gridCol w:w="622"/>
        <w:gridCol w:w="776"/>
        <w:gridCol w:w="606"/>
        <w:gridCol w:w="606"/>
        <w:gridCol w:w="614"/>
        <w:gridCol w:w="606"/>
        <w:gridCol w:w="614"/>
        <w:gridCol w:w="696"/>
        <w:gridCol w:w="776"/>
        <w:gridCol w:w="614"/>
        <w:gridCol w:w="696"/>
      </w:tblGrid>
      <w:tr w14:paraId="0CD6A722">
        <w:tblPrEx>
          <w:tblCellMar>
            <w:top w:w="0" w:type="dxa"/>
            <w:left w:w="108" w:type="dxa"/>
            <w:bottom w:w="0" w:type="dxa"/>
            <w:right w:w="108" w:type="dxa"/>
          </w:tblCellMar>
        </w:tblPrEx>
        <w:tc>
          <w:tcPr>
            <w:tcW w:w="8848" w:type="dxa"/>
            <w:gridSpan w:val="14"/>
            <w:vAlign w:val="center"/>
          </w:tcPr>
          <w:p w14:paraId="1900DA5F">
            <w:pPr>
              <w:jc w:val="center"/>
            </w:pPr>
            <w:r>
              <w:rPr>
                <w:rFonts w:ascii="宋体" w:hAnsi="宋体" w:eastAsia="宋体"/>
                <w:sz w:val="24"/>
              </w:rPr>
              <w:t>项目支出绩效自评表</w:t>
            </w:r>
          </w:p>
        </w:tc>
      </w:tr>
      <w:tr w14:paraId="4BF7EAF5">
        <w:tblPrEx>
          <w:tblCellMar>
            <w:top w:w="0" w:type="dxa"/>
            <w:left w:w="108" w:type="dxa"/>
            <w:bottom w:w="0" w:type="dxa"/>
            <w:right w:w="108" w:type="dxa"/>
          </w:tblCellMar>
        </w:tblPrEx>
        <w:tc>
          <w:tcPr>
            <w:tcW w:w="8848" w:type="dxa"/>
            <w:gridSpan w:val="14"/>
            <w:vAlign w:val="center"/>
          </w:tcPr>
          <w:p w14:paraId="736E185E">
            <w:pPr>
              <w:jc w:val="center"/>
            </w:pPr>
            <w:r>
              <w:rPr>
                <w:rFonts w:ascii="宋体" w:hAnsi="宋体" w:eastAsia="宋体"/>
                <w:sz w:val="24"/>
              </w:rPr>
              <w:t>(2024年度)</w:t>
            </w:r>
          </w:p>
        </w:tc>
      </w:tr>
      <w:tr w14:paraId="7B620C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8A6A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05B971C">
            <w:pPr>
              <w:jc w:val="center"/>
            </w:pPr>
            <w:r>
              <w:rPr>
                <w:rFonts w:ascii="宋体" w:hAnsi="宋体" w:eastAsia="宋体"/>
                <w:sz w:val="16"/>
              </w:rPr>
              <w:t>消化2023年暂付款</w:t>
            </w:r>
          </w:p>
        </w:tc>
      </w:tr>
      <w:tr w14:paraId="14594D5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FE00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410F41">
            <w:pPr>
              <w:jc w:val="center"/>
            </w:pPr>
            <w:r>
              <w:rPr>
                <w:rFonts w:ascii="宋体" w:hAnsi="宋体" w:eastAsia="宋体"/>
                <w:sz w:val="16"/>
              </w:rPr>
              <w:t>乌鲁木齐市水磨沟区水塔山街道办事处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7AC4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8A02FC">
            <w:pPr>
              <w:jc w:val="center"/>
            </w:pPr>
            <w:r>
              <w:rPr>
                <w:rFonts w:ascii="宋体" w:hAnsi="宋体" w:eastAsia="宋体"/>
                <w:sz w:val="16"/>
              </w:rPr>
              <w:t>乌鲁木齐市水磨沟区水塔山街道办事处</w:t>
            </w:r>
          </w:p>
        </w:tc>
      </w:tr>
      <w:tr w14:paraId="17A904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F0395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12BC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8B33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FF2DC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6808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628A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1414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D3BA7">
            <w:pPr>
              <w:jc w:val="center"/>
            </w:pPr>
            <w:r>
              <w:rPr>
                <w:rFonts w:ascii="宋体" w:hAnsi="宋体" w:eastAsia="宋体"/>
                <w:sz w:val="16"/>
              </w:rPr>
              <w:t>得分</w:t>
            </w:r>
          </w:p>
        </w:tc>
      </w:tr>
      <w:tr w14:paraId="1A3F54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9BC0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EB4B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775B3">
            <w:pPr>
              <w:jc w:val="center"/>
            </w:pPr>
            <w:r>
              <w:rPr>
                <w:rFonts w:ascii="宋体" w:hAnsi="宋体" w:eastAsia="宋体"/>
                <w:sz w:val="16"/>
              </w:rPr>
              <w:t>67.82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88361">
            <w:pPr>
              <w:jc w:val="center"/>
            </w:pPr>
            <w:r>
              <w:rPr>
                <w:rFonts w:ascii="宋体" w:hAnsi="宋体" w:eastAsia="宋体"/>
                <w:sz w:val="16"/>
              </w:rPr>
              <w:t>67.82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46682">
            <w:pPr>
              <w:jc w:val="center"/>
            </w:pPr>
            <w:r>
              <w:rPr>
                <w:rFonts w:ascii="宋体" w:hAnsi="宋体" w:eastAsia="宋体"/>
                <w:sz w:val="16"/>
              </w:rPr>
              <w:t>67.82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058C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E59CB">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78D39">
            <w:pPr>
              <w:jc w:val="center"/>
            </w:pPr>
            <w:r>
              <w:rPr>
                <w:rFonts w:ascii="宋体" w:hAnsi="宋体" w:eastAsia="宋体"/>
                <w:sz w:val="16"/>
              </w:rPr>
              <w:t>10.00分</w:t>
            </w:r>
          </w:p>
        </w:tc>
      </w:tr>
      <w:tr w14:paraId="20B7CE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EE7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B5E8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5817B">
            <w:pPr>
              <w:jc w:val="center"/>
            </w:pPr>
            <w:r>
              <w:rPr>
                <w:rFonts w:ascii="宋体" w:hAnsi="宋体" w:eastAsia="宋体"/>
                <w:sz w:val="16"/>
              </w:rPr>
              <w:t>67.82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2698E4">
            <w:pPr>
              <w:jc w:val="center"/>
            </w:pPr>
            <w:r>
              <w:rPr>
                <w:rFonts w:ascii="宋体" w:hAnsi="宋体" w:eastAsia="宋体"/>
                <w:sz w:val="16"/>
              </w:rPr>
              <w:t>67.82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0BC95">
            <w:pPr>
              <w:jc w:val="center"/>
            </w:pPr>
            <w:r>
              <w:rPr>
                <w:rFonts w:ascii="宋体" w:hAnsi="宋体" w:eastAsia="宋体"/>
                <w:sz w:val="16"/>
              </w:rPr>
              <w:t>67.82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12D9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A75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AEFCA">
            <w:pPr>
              <w:jc w:val="center"/>
            </w:pPr>
            <w:r>
              <w:rPr>
                <w:rFonts w:ascii="宋体" w:hAnsi="宋体" w:eastAsia="宋体"/>
                <w:sz w:val="16"/>
              </w:rPr>
              <w:t>-</w:t>
            </w:r>
          </w:p>
        </w:tc>
      </w:tr>
      <w:tr w14:paraId="57AA37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4003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E1A5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9FB6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587F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2AD4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56040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16C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C5CC3">
            <w:pPr>
              <w:jc w:val="center"/>
            </w:pPr>
            <w:r>
              <w:rPr>
                <w:rFonts w:ascii="宋体" w:hAnsi="宋体" w:eastAsia="宋体"/>
                <w:sz w:val="16"/>
              </w:rPr>
              <w:t>-</w:t>
            </w:r>
          </w:p>
        </w:tc>
      </w:tr>
      <w:tr w14:paraId="3F90893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83ED5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78DFA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16695A">
            <w:pPr>
              <w:jc w:val="center"/>
            </w:pPr>
            <w:r>
              <w:rPr>
                <w:rFonts w:ascii="宋体" w:hAnsi="宋体" w:eastAsia="宋体"/>
                <w:sz w:val="16"/>
              </w:rPr>
              <w:t>总体目标完成情况</w:t>
            </w:r>
          </w:p>
        </w:tc>
      </w:tr>
      <w:tr w14:paraId="46424D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A7F33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B835BA">
            <w:pPr>
              <w:jc w:val="both"/>
            </w:pPr>
            <w:r>
              <w:rPr>
                <w:rFonts w:ascii="宋体" w:hAnsi="宋体" w:eastAsia="宋体"/>
                <w:sz w:val="16"/>
              </w:rPr>
              <w:t>2023年12月下达消化中小企业账款，资金来源为预拨款，主要用于支付143警务站建设费用28.38万元、144警务站建设费用23.7万元、水塔山购</w:t>
            </w:r>
            <w:r>
              <w:rPr>
                <w:rFonts w:hint="eastAsia" w:ascii="宋体" w:hAnsi="宋体"/>
                <w:sz w:val="16"/>
                <w:lang w:eastAsia="zh-CN"/>
              </w:rPr>
              <w:t>YQ</w:t>
            </w:r>
            <w:r>
              <w:rPr>
                <w:rFonts w:ascii="宋体" w:hAnsi="宋体" w:eastAsia="宋体"/>
                <w:sz w:val="16"/>
              </w:rPr>
              <w:t>对讲机费用1.27万元、2017年143、144、145、180警务站建设工程监理费用10.49万元、团结社区购无线门磁费用0.52万元、苇湖庄党建示范社区打造费用3.46万元。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EF35A6">
            <w:pPr>
              <w:jc w:val="both"/>
            </w:pPr>
            <w:r>
              <w:rPr>
                <w:rFonts w:ascii="宋体" w:hAnsi="宋体" w:eastAsia="宋体"/>
                <w:sz w:val="16"/>
              </w:rPr>
              <w:t>截至2024年12月31日，已成功消化2023年暂付款67.82万元。该项目主要涉及5家欠款单位，资金用于支付143警务站建设费用28.38万元、144警务站建设费用23.7万元、水塔山购</w:t>
            </w:r>
            <w:r>
              <w:rPr>
                <w:rFonts w:hint="eastAsia" w:ascii="宋体" w:hAnsi="宋体"/>
                <w:sz w:val="16"/>
                <w:lang w:eastAsia="zh-CN"/>
              </w:rPr>
              <w:t>YQ</w:t>
            </w:r>
            <w:r>
              <w:rPr>
                <w:rFonts w:ascii="宋体" w:hAnsi="宋体" w:eastAsia="宋体"/>
                <w:sz w:val="16"/>
              </w:rPr>
              <w:t>对讲机费用1.27万元、2017年143、144、145、180警务站建设工程监理费用10.49万元、团结社区购无线门磁费用0.52万元、苇湖庄党建示范社区打造费用3.46万元。通过化解历年欠款，有效降低</w:t>
            </w:r>
            <w:r>
              <w:rPr>
                <w:rFonts w:hint="eastAsia" w:ascii="宋体" w:hAnsi="宋体"/>
                <w:sz w:val="16"/>
                <w:lang w:eastAsia="zh-CN"/>
              </w:rPr>
              <w:t>本单位</w:t>
            </w:r>
            <w:r>
              <w:rPr>
                <w:rFonts w:ascii="宋体" w:hAnsi="宋体" w:eastAsia="宋体"/>
                <w:sz w:val="16"/>
              </w:rPr>
              <w:t>债务风险，降低欠款企业上访意愿。</w:t>
            </w:r>
          </w:p>
        </w:tc>
      </w:tr>
      <w:tr w14:paraId="532E56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C8077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44C4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8CF1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D7CD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FCC6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9E41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AAAE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782B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52CE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3015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3453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5733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D98A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774FC">
            <w:pPr>
              <w:jc w:val="center"/>
            </w:pPr>
            <w:r>
              <w:rPr>
                <w:rFonts w:ascii="宋体" w:hAnsi="宋体" w:eastAsia="宋体"/>
                <w:sz w:val="16"/>
              </w:rPr>
              <w:t>偏差原因分析及改进措施</w:t>
            </w:r>
          </w:p>
        </w:tc>
      </w:tr>
      <w:tr w14:paraId="67CC288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93061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49346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1C3C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3836A">
            <w:pPr>
              <w:jc w:val="center"/>
            </w:pPr>
            <w:r>
              <w:rPr>
                <w:rFonts w:ascii="宋体" w:hAnsi="宋体" w:eastAsia="宋体"/>
                <w:sz w:val="16"/>
              </w:rPr>
              <w:t>涉及欠款企业数量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DFFB4">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DFCE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DA2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F17A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B12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7E484">
            <w:pPr>
              <w:jc w:val="center"/>
            </w:pPr>
            <w:r>
              <w:rPr>
                <w:rFonts w:ascii="宋体" w:hAnsi="宋体" w:eastAsia="宋体"/>
                <w:sz w:val="16"/>
              </w:rPr>
              <w:t>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4860C">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3E9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259D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6A752">
            <w:pPr>
              <w:jc w:val="center"/>
            </w:pPr>
          </w:p>
        </w:tc>
      </w:tr>
      <w:tr w14:paraId="40F1E4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5885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83B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4765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142AF">
            <w:pPr>
              <w:jc w:val="center"/>
            </w:pPr>
            <w:r>
              <w:rPr>
                <w:rFonts w:ascii="宋体" w:hAnsi="宋体" w:eastAsia="宋体"/>
                <w:sz w:val="16"/>
              </w:rPr>
              <w:t>欠款资金支付准确率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2F5B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703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15F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FBA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EC6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B4027">
            <w:pPr>
              <w:jc w:val="center"/>
            </w:pPr>
            <w:r>
              <w:rPr>
                <w:rFonts w:ascii="宋体" w:hAnsi="宋体" w:eastAsia="宋体"/>
                <w:sz w:val="16"/>
              </w:rPr>
              <w:t>正式材料,说明材料,原始凭证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E1F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3941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A84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210E5">
            <w:pPr>
              <w:jc w:val="center"/>
            </w:pPr>
            <w:r>
              <w:rPr>
                <w:rFonts w:ascii="宋体" w:hAnsi="宋体" w:eastAsia="宋体"/>
                <w:sz w:val="16"/>
              </w:rPr>
              <w:t>目标值设置为95%，业绩值为100%，故有偏差。</w:t>
            </w:r>
          </w:p>
        </w:tc>
      </w:tr>
      <w:tr w14:paraId="2BADDE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EFB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045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6F1A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359FC">
            <w:pPr>
              <w:jc w:val="center"/>
            </w:pPr>
            <w:r>
              <w:rPr>
                <w:rFonts w:ascii="宋体" w:hAnsi="宋体" w:eastAsia="宋体"/>
                <w:sz w:val="16"/>
              </w:rPr>
              <w:t>欠款资金支付及时率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4EC3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0DA0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985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364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DED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B17BC">
            <w:pPr>
              <w:jc w:val="center"/>
            </w:pPr>
            <w:r>
              <w:rPr>
                <w:rFonts w:ascii="宋体" w:hAnsi="宋体" w:eastAsia="宋体"/>
                <w:sz w:val="16"/>
              </w:rPr>
              <w:t>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8FC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A783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CBB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31CC9">
            <w:pPr>
              <w:jc w:val="center"/>
            </w:pPr>
            <w:r>
              <w:rPr>
                <w:rFonts w:ascii="宋体" w:hAnsi="宋体" w:eastAsia="宋体"/>
                <w:sz w:val="16"/>
              </w:rPr>
              <w:t>目标值设置为95%，业绩值为100%，故有偏差。</w:t>
            </w:r>
          </w:p>
        </w:tc>
      </w:tr>
      <w:tr w14:paraId="0BBF79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C1D7D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632CE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2F12C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5FCD3">
            <w:pPr>
              <w:jc w:val="center"/>
            </w:pPr>
            <w:r>
              <w:rPr>
                <w:rFonts w:ascii="宋体" w:hAnsi="宋体" w:eastAsia="宋体"/>
                <w:sz w:val="16"/>
              </w:rPr>
              <w:t>化解新疆正茂建筑安装有限公司欠款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2D5D9">
            <w:pPr>
              <w:jc w:val="center"/>
            </w:pPr>
            <w:r>
              <w:rPr>
                <w:rFonts w:ascii="宋体" w:hAnsi="宋体" w:eastAsia="宋体"/>
                <w:sz w:val="16"/>
              </w:rPr>
              <w:t>&lt;=52.08元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61F7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827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8FBF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AEB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1EEEC">
            <w:pPr>
              <w:jc w:val="center"/>
            </w:pPr>
            <w:r>
              <w:rPr>
                <w:rFonts w:ascii="宋体" w:hAnsi="宋体" w:eastAsia="宋体"/>
                <w:sz w:val="16"/>
              </w:rPr>
              <w:t>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389AD">
            <w:pPr>
              <w:jc w:val="center"/>
            </w:pPr>
            <w:r>
              <w:rPr>
                <w:rFonts w:ascii="宋体" w:hAnsi="宋体" w:eastAsia="宋体"/>
                <w:sz w:val="16"/>
              </w:rPr>
              <w:t>=52.08元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25D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48A1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56E1C">
            <w:pPr>
              <w:jc w:val="center"/>
            </w:pPr>
          </w:p>
        </w:tc>
      </w:tr>
      <w:tr w14:paraId="7AF9C3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079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E5EE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883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EED79">
            <w:pPr>
              <w:jc w:val="center"/>
            </w:pPr>
            <w:r>
              <w:rPr>
                <w:rFonts w:ascii="宋体" w:hAnsi="宋体" w:eastAsia="宋体"/>
                <w:sz w:val="16"/>
              </w:rPr>
              <w:t>化解新疆永和鑫物联网科技有限公司乌鲁木齐市水磨沟区分公司欠款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F2CB8">
            <w:pPr>
              <w:jc w:val="center"/>
            </w:pPr>
            <w:r>
              <w:rPr>
                <w:rFonts w:ascii="宋体" w:hAnsi="宋体" w:eastAsia="宋体"/>
                <w:sz w:val="16"/>
              </w:rPr>
              <w:t>&lt;=1.27万元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5064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948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46CF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3EC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9BEE0">
            <w:pPr>
              <w:jc w:val="center"/>
            </w:pPr>
            <w:r>
              <w:rPr>
                <w:rFonts w:ascii="宋体" w:hAnsi="宋体" w:eastAsia="宋体"/>
                <w:sz w:val="16"/>
              </w:rPr>
              <w:t>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FFF09">
            <w:pPr>
              <w:jc w:val="center"/>
            </w:pPr>
            <w:r>
              <w:rPr>
                <w:rFonts w:ascii="宋体" w:hAnsi="宋体" w:eastAsia="宋体"/>
                <w:sz w:val="16"/>
              </w:rPr>
              <w:t>=1.27万元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D95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C8FB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A012A">
            <w:pPr>
              <w:jc w:val="center"/>
            </w:pPr>
          </w:p>
        </w:tc>
      </w:tr>
      <w:tr w14:paraId="75AACD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D30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7570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A46E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D3646">
            <w:pPr>
              <w:jc w:val="center"/>
            </w:pPr>
            <w:r>
              <w:rPr>
                <w:rFonts w:ascii="宋体" w:hAnsi="宋体" w:eastAsia="宋体"/>
                <w:sz w:val="16"/>
              </w:rPr>
              <w:t>化解新疆路智兴项目管理有限责任公司</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9F60D">
            <w:pPr>
              <w:jc w:val="center"/>
            </w:pPr>
            <w:r>
              <w:rPr>
                <w:rFonts w:ascii="宋体" w:hAnsi="宋体" w:eastAsia="宋体"/>
                <w:sz w:val="16"/>
              </w:rPr>
              <w:t>&lt;=10.49万元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4E27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108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DA86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6B3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9F4F1">
            <w:pPr>
              <w:jc w:val="center"/>
            </w:pPr>
            <w:r>
              <w:rPr>
                <w:rFonts w:ascii="宋体" w:hAnsi="宋体" w:eastAsia="宋体"/>
                <w:sz w:val="16"/>
              </w:rPr>
              <w:t>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77B50">
            <w:pPr>
              <w:jc w:val="center"/>
            </w:pPr>
            <w:r>
              <w:rPr>
                <w:rFonts w:ascii="宋体" w:hAnsi="宋体" w:eastAsia="宋体"/>
                <w:sz w:val="16"/>
              </w:rPr>
              <w:t>=10.49万元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39C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4404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78886">
            <w:pPr>
              <w:jc w:val="center"/>
            </w:pPr>
          </w:p>
        </w:tc>
      </w:tr>
      <w:tr w14:paraId="19746A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211D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3CFA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FE6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8E1CE">
            <w:pPr>
              <w:jc w:val="center"/>
            </w:pPr>
            <w:r>
              <w:rPr>
                <w:rFonts w:ascii="宋体" w:hAnsi="宋体" w:eastAsia="宋体"/>
                <w:sz w:val="16"/>
              </w:rPr>
              <w:t>化解新疆天山智慧物联网科技有限公司欠款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D2C14">
            <w:pPr>
              <w:jc w:val="center"/>
            </w:pPr>
            <w:r>
              <w:rPr>
                <w:rFonts w:ascii="宋体" w:hAnsi="宋体" w:eastAsia="宋体"/>
                <w:sz w:val="16"/>
              </w:rPr>
              <w:t>&lt;=0.52万元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7626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329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2934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118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6B602">
            <w:pPr>
              <w:jc w:val="center"/>
            </w:pPr>
            <w:r>
              <w:rPr>
                <w:rFonts w:ascii="宋体" w:hAnsi="宋体" w:eastAsia="宋体"/>
                <w:sz w:val="16"/>
              </w:rPr>
              <w:t>正式材料,说明材料,原始凭证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E5A12">
            <w:pPr>
              <w:jc w:val="center"/>
            </w:pPr>
            <w:r>
              <w:rPr>
                <w:rFonts w:ascii="宋体" w:hAnsi="宋体" w:eastAsia="宋体"/>
                <w:sz w:val="16"/>
              </w:rPr>
              <w:t>=0.52万元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187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0B22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646F7">
            <w:pPr>
              <w:jc w:val="center"/>
            </w:pPr>
          </w:p>
        </w:tc>
      </w:tr>
      <w:tr w14:paraId="21EE46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9D91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412B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3858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F54DE">
            <w:pPr>
              <w:jc w:val="center"/>
            </w:pPr>
            <w:r>
              <w:rPr>
                <w:rFonts w:ascii="宋体" w:hAnsi="宋体" w:eastAsia="宋体"/>
                <w:sz w:val="16"/>
              </w:rPr>
              <w:t>化解新疆璧和盛广告有限公司欠款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AD68F">
            <w:pPr>
              <w:jc w:val="center"/>
            </w:pPr>
            <w:r>
              <w:rPr>
                <w:rFonts w:ascii="宋体" w:hAnsi="宋体" w:eastAsia="宋体"/>
                <w:sz w:val="16"/>
              </w:rPr>
              <w:t>&lt;=3.46万元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7244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87A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EE13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1B6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ECC91">
            <w:pPr>
              <w:jc w:val="center"/>
            </w:pPr>
            <w:r>
              <w:rPr>
                <w:rFonts w:ascii="宋体" w:hAnsi="宋体" w:eastAsia="宋体"/>
                <w:sz w:val="16"/>
              </w:rPr>
              <w:t>正式材料,说明材料,原始凭证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C37EA">
            <w:pPr>
              <w:jc w:val="center"/>
            </w:pPr>
            <w:r>
              <w:rPr>
                <w:rFonts w:ascii="宋体" w:hAnsi="宋体" w:eastAsia="宋体"/>
                <w:sz w:val="16"/>
              </w:rPr>
              <w:t>=3.46万元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2DE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8CE7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9B99C">
            <w:pPr>
              <w:jc w:val="center"/>
            </w:pPr>
          </w:p>
        </w:tc>
      </w:tr>
      <w:tr w14:paraId="73880B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BE81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F199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5900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2E0C8">
            <w:pPr>
              <w:jc w:val="center"/>
            </w:pPr>
            <w:r>
              <w:rPr>
                <w:rFonts w:ascii="宋体" w:hAnsi="宋体" w:eastAsia="宋体"/>
                <w:sz w:val="16"/>
              </w:rPr>
              <w:t>有效化解矛盾纠纷，减少信访事件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9461F">
            <w:pPr>
              <w:jc w:val="center"/>
            </w:pPr>
            <w:r>
              <w:rPr>
                <w:rFonts w:ascii="宋体" w:hAnsi="宋体" w:eastAsia="宋体"/>
                <w:sz w:val="16"/>
              </w:rPr>
              <w:t>有效化解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3831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81C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56A9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E7EE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E3CAE">
            <w:pPr>
              <w:jc w:val="center"/>
            </w:pPr>
            <w:r>
              <w:rPr>
                <w:rFonts w:ascii="宋体" w:hAnsi="宋体" w:eastAsia="宋体"/>
                <w:sz w:val="16"/>
              </w:rPr>
              <w:t>原始凭证,正式材料,说明材料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587DC">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42B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C805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38D24">
            <w:pPr>
              <w:jc w:val="center"/>
            </w:pPr>
          </w:p>
        </w:tc>
      </w:tr>
      <w:tr w14:paraId="58EDFFC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AA1BCB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78C6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12A8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1312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447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0E7B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2187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2B4A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748B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2AF2F">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FD9A31"/>
        </w:tc>
      </w:tr>
    </w:tbl>
    <w:p w14:paraId="67C976C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27DADDBF">
        <w:tblPrEx>
          <w:tblCellMar>
            <w:top w:w="0" w:type="dxa"/>
            <w:left w:w="108" w:type="dxa"/>
            <w:bottom w:w="0" w:type="dxa"/>
            <w:right w:w="108" w:type="dxa"/>
          </w:tblCellMar>
        </w:tblPrEx>
        <w:tc>
          <w:tcPr>
            <w:tcW w:w="8848" w:type="dxa"/>
            <w:gridSpan w:val="14"/>
            <w:vAlign w:val="center"/>
          </w:tcPr>
          <w:p w14:paraId="31964F2A">
            <w:pPr>
              <w:jc w:val="center"/>
            </w:pPr>
            <w:r>
              <w:rPr>
                <w:rFonts w:ascii="宋体" w:hAnsi="宋体" w:eastAsia="宋体"/>
                <w:sz w:val="24"/>
              </w:rPr>
              <w:t>项目支出绩效自评表</w:t>
            </w:r>
          </w:p>
        </w:tc>
      </w:tr>
      <w:tr w14:paraId="20D02B15">
        <w:tblPrEx>
          <w:tblCellMar>
            <w:top w:w="0" w:type="dxa"/>
            <w:left w:w="108" w:type="dxa"/>
            <w:bottom w:w="0" w:type="dxa"/>
            <w:right w:w="108" w:type="dxa"/>
          </w:tblCellMar>
        </w:tblPrEx>
        <w:tc>
          <w:tcPr>
            <w:tcW w:w="8848" w:type="dxa"/>
            <w:gridSpan w:val="14"/>
            <w:vAlign w:val="center"/>
          </w:tcPr>
          <w:p w14:paraId="06597D36">
            <w:pPr>
              <w:jc w:val="center"/>
            </w:pPr>
            <w:r>
              <w:rPr>
                <w:rFonts w:ascii="宋体" w:hAnsi="宋体" w:eastAsia="宋体"/>
                <w:sz w:val="24"/>
              </w:rPr>
              <w:t>(2024年度)</w:t>
            </w:r>
          </w:p>
        </w:tc>
      </w:tr>
      <w:tr w14:paraId="7EAB286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80B8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A082851">
            <w:pPr>
              <w:jc w:val="center"/>
            </w:pPr>
            <w:r>
              <w:rPr>
                <w:rFonts w:ascii="宋体" w:hAnsi="宋体" w:eastAsia="宋体"/>
                <w:sz w:val="16"/>
              </w:rPr>
              <w:t>消化中小企业账款</w:t>
            </w:r>
          </w:p>
        </w:tc>
      </w:tr>
      <w:tr w14:paraId="46E99D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A4DF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DB50BB">
            <w:pPr>
              <w:jc w:val="center"/>
            </w:pPr>
            <w:r>
              <w:rPr>
                <w:rFonts w:ascii="宋体" w:hAnsi="宋体" w:eastAsia="宋体"/>
                <w:sz w:val="16"/>
              </w:rPr>
              <w:t>乌鲁木齐市水磨沟区水塔山街道办事处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039B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97537D">
            <w:pPr>
              <w:jc w:val="center"/>
            </w:pPr>
            <w:r>
              <w:rPr>
                <w:rFonts w:ascii="宋体" w:hAnsi="宋体" w:eastAsia="宋体"/>
                <w:sz w:val="16"/>
              </w:rPr>
              <w:t>乌鲁木齐市水磨沟区水塔山街道办事处</w:t>
            </w:r>
          </w:p>
        </w:tc>
      </w:tr>
      <w:tr w14:paraId="730EB2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74FA2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FD4E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EA47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B061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4E05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7407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B4EE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2B557">
            <w:pPr>
              <w:jc w:val="center"/>
            </w:pPr>
            <w:r>
              <w:rPr>
                <w:rFonts w:ascii="宋体" w:hAnsi="宋体" w:eastAsia="宋体"/>
                <w:sz w:val="16"/>
              </w:rPr>
              <w:t>得分</w:t>
            </w:r>
          </w:p>
        </w:tc>
      </w:tr>
      <w:tr w14:paraId="79A62D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9885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4F63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7E8CF7">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4308F">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B050A">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588C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7C7A3">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0C122">
            <w:pPr>
              <w:jc w:val="center"/>
            </w:pPr>
            <w:r>
              <w:rPr>
                <w:rFonts w:ascii="宋体" w:hAnsi="宋体" w:eastAsia="宋体"/>
                <w:sz w:val="16"/>
              </w:rPr>
              <w:t>10.00分</w:t>
            </w:r>
          </w:p>
        </w:tc>
      </w:tr>
      <w:tr w14:paraId="759E10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8D501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C26E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6BFA8">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0E37F">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FCFE7">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2EC6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447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99758">
            <w:pPr>
              <w:jc w:val="center"/>
            </w:pPr>
            <w:r>
              <w:rPr>
                <w:rFonts w:ascii="宋体" w:hAnsi="宋体" w:eastAsia="宋体"/>
                <w:sz w:val="16"/>
              </w:rPr>
              <w:t>-</w:t>
            </w:r>
          </w:p>
        </w:tc>
      </w:tr>
      <w:tr w14:paraId="6C0491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080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40F9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B57D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A9D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FD6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5F4F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B52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DAAC1">
            <w:pPr>
              <w:jc w:val="center"/>
            </w:pPr>
            <w:r>
              <w:rPr>
                <w:rFonts w:ascii="宋体" w:hAnsi="宋体" w:eastAsia="宋体"/>
                <w:sz w:val="16"/>
              </w:rPr>
              <w:t>-</w:t>
            </w:r>
          </w:p>
        </w:tc>
      </w:tr>
      <w:tr w14:paraId="47F5DD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C8AA0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70C9C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88E407">
            <w:pPr>
              <w:jc w:val="center"/>
            </w:pPr>
            <w:r>
              <w:rPr>
                <w:rFonts w:ascii="宋体" w:hAnsi="宋体" w:eastAsia="宋体"/>
                <w:sz w:val="16"/>
              </w:rPr>
              <w:t>总体目标完成情况</w:t>
            </w:r>
          </w:p>
        </w:tc>
      </w:tr>
      <w:tr w14:paraId="5EB6FC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EF738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386B0B">
            <w:pPr>
              <w:jc w:val="both"/>
            </w:pPr>
            <w:r>
              <w:rPr>
                <w:rFonts w:ascii="宋体" w:hAnsi="宋体" w:eastAsia="宋体"/>
                <w:sz w:val="16"/>
              </w:rPr>
              <w:t>消化中小企业账款项目资金40万元，主要用于支付2023年发改委工信部平台录入的项目欠款，资金性质为化解往年的欠款，主要用于支付2018年8月大封闭工程款5万元，封闭化工程锦绣园安检房及安检设备款5万元，租赁水塔山社区卫生服务站费用25万元，180警务站建设费用5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240511">
            <w:pPr>
              <w:jc w:val="both"/>
            </w:pPr>
            <w:r>
              <w:rPr>
                <w:rFonts w:ascii="宋体" w:hAnsi="宋体" w:eastAsia="宋体"/>
                <w:sz w:val="16"/>
              </w:rPr>
              <w:t>截至2024年12月31日，消化中小企业账款项目资金40万元。该项目主要涉及4家欠款单位，资金主要用于支付2023年发改委工信部平台录入的项目欠款，资金性质为化解往年的欠款，主要用于支付2018年8月大封闭工程款5万元，封闭化工程锦绣园安检房及安检设备款5万元，租赁水塔山社区卫生服务站费用25万元，180警务站建设费用5万元。通过化解历年欠款，有效降低</w:t>
            </w:r>
            <w:r>
              <w:rPr>
                <w:rFonts w:hint="eastAsia" w:ascii="宋体" w:hAnsi="宋体"/>
                <w:sz w:val="16"/>
                <w:lang w:eastAsia="zh-CN"/>
              </w:rPr>
              <w:t>本单位</w:t>
            </w:r>
            <w:r>
              <w:rPr>
                <w:rFonts w:ascii="宋体" w:hAnsi="宋体" w:eastAsia="宋体"/>
                <w:sz w:val="16"/>
              </w:rPr>
              <w:t>债务风险，降低欠款企业上访意愿。</w:t>
            </w:r>
          </w:p>
        </w:tc>
      </w:tr>
      <w:tr w14:paraId="028A78E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7546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7BFD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ECA9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2057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B086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8063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6703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4C51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0847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ED0C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C485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C384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A2D5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52425">
            <w:pPr>
              <w:jc w:val="center"/>
            </w:pPr>
            <w:r>
              <w:rPr>
                <w:rFonts w:ascii="宋体" w:hAnsi="宋体" w:eastAsia="宋体"/>
                <w:sz w:val="16"/>
              </w:rPr>
              <w:t>偏差原因分析及改进措施</w:t>
            </w:r>
          </w:p>
        </w:tc>
      </w:tr>
      <w:tr w14:paraId="50835F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F015F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5EC57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CCCA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AFE4E">
            <w:pPr>
              <w:jc w:val="center"/>
            </w:pPr>
            <w:r>
              <w:rPr>
                <w:rFonts w:ascii="宋体" w:hAnsi="宋体" w:eastAsia="宋体"/>
                <w:sz w:val="16"/>
              </w:rPr>
              <w:t>涉及欠款企业数量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68850">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13B7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EB4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541C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558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22609">
            <w:pPr>
              <w:jc w:val="center"/>
            </w:pPr>
            <w:r>
              <w:rPr>
                <w:rFonts w:ascii="宋体" w:hAnsi="宋体" w:eastAsia="宋体"/>
                <w:sz w:val="16"/>
              </w:rPr>
              <w:t>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21495">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D56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ADFB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D4440">
            <w:pPr>
              <w:jc w:val="center"/>
            </w:pPr>
          </w:p>
        </w:tc>
      </w:tr>
      <w:tr w14:paraId="7EB591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634A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86F5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E562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7449B">
            <w:pPr>
              <w:jc w:val="center"/>
            </w:pPr>
            <w:r>
              <w:rPr>
                <w:rFonts w:ascii="宋体" w:hAnsi="宋体" w:eastAsia="宋体"/>
                <w:sz w:val="16"/>
              </w:rPr>
              <w:t>欠款资金支付准确率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3CBD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77F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745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342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B29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AB723">
            <w:pPr>
              <w:jc w:val="center"/>
            </w:pPr>
            <w:r>
              <w:rPr>
                <w:rFonts w:ascii="宋体" w:hAnsi="宋体" w:eastAsia="宋体"/>
                <w:sz w:val="16"/>
              </w:rPr>
              <w:t>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5B5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9C3E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A8B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64348">
            <w:pPr>
              <w:jc w:val="center"/>
            </w:pPr>
            <w:r>
              <w:rPr>
                <w:rFonts w:ascii="宋体" w:hAnsi="宋体" w:eastAsia="宋体"/>
                <w:sz w:val="16"/>
              </w:rPr>
              <w:t>目标值设置为95%，业绩值为100%，故有偏差。</w:t>
            </w:r>
          </w:p>
        </w:tc>
      </w:tr>
      <w:tr w14:paraId="171DB3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57A4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0F2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0366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7E6AB">
            <w:pPr>
              <w:jc w:val="center"/>
            </w:pPr>
            <w:r>
              <w:rPr>
                <w:rFonts w:ascii="宋体" w:hAnsi="宋体" w:eastAsia="宋体"/>
                <w:sz w:val="16"/>
              </w:rPr>
              <w:t>欠款资金支付及时率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0CE5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C4E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6D6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DEC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CF9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E7111">
            <w:pPr>
              <w:jc w:val="center"/>
            </w:pPr>
            <w:r>
              <w:rPr>
                <w:rFonts w:ascii="宋体" w:hAnsi="宋体" w:eastAsia="宋体"/>
                <w:sz w:val="16"/>
              </w:rPr>
              <w:t>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CF2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C7A3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514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76DF0">
            <w:pPr>
              <w:jc w:val="center"/>
            </w:pPr>
            <w:r>
              <w:rPr>
                <w:rFonts w:ascii="宋体" w:hAnsi="宋体" w:eastAsia="宋体"/>
                <w:sz w:val="16"/>
              </w:rPr>
              <w:t>目标值设置为95%，业绩值为100%，故有偏差。</w:t>
            </w:r>
          </w:p>
        </w:tc>
      </w:tr>
      <w:tr w14:paraId="771C3C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4B08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D3DE7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EDB02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18B55">
            <w:pPr>
              <w:jc w:val="center"/>
            </w:pPr>
            <w:r>
              <w:rPr>
                <w:rFonts w:ascii="宋体" w:hAnsi="宋体" w:eastAsia="宋体"/>
                <w:sz w:val="16"/>
              </w:rPr>
              <w:t>化解新疆齐亮德建设工程有限公司欠款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612E3">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8F9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214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0CBB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A83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C1910">
            <w:pPr>
              <w:jc w:val="center"/>
            </w:pPr>
            <w:r>
              <w:rPr>
                <w:rFonts w:ascii="宋体" w:hAnsi="宋体" w:eastAsia="宋体"/>
                <w:sz w:val="16"/>
              </w:rPr>
              <w:t>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D2787">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6EC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BBC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07BFC">
            <w:pPr>
              <w:jc w:val="center"/>
            </w:pPr>
          </w:p>
        </w:tc>
      </w:tr>
      <w:tr w14:paraId="653443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7467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7E43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C6A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F5A26">
            <w:pPr>
              <w:jc w:val="center"/>
            </w:pPr>
            <w:r>
              <w:rPr>
                <w:rFonts w:ascii="宋体" w:hAnsi="宋体" w:eastAsia="宋体"/>
                <w:sz w:val="16"/>
              </w:rPr>
              <w:t>化解新疆万恒建筑工程有限公司欠款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E7D81">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97F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2C7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8949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EFE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3E649">
            <w:pPr>
              <w:jc w:val="center"/>
            </w:pPr>
            <w:r>
              <w:rPr>
                <w:rFonts w:ascii="宋体" w:hAnsi="宋体" w:eastAsia="宋体"/>
                <w:sz w:val="16"/>
              </w:rPr>
              <w:t>原始凭证,正式材料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0914D">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83A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71EF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87E88">
            <w:pPr>
              <w:jc w:val="center"/>
            </w:pPr>
          </w:p>
        </w:tc>
      </w:tr>
      <w:tr w14:paraId="74C70F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A71D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9335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FBA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7F9FF">
            <w:pPr>
              <w:jc w:val="center"/>
            </w:pPr>
            <w:r>
              <w:rPr>
                <w:rFonts w:ascii="宋体" w:hAnsi="宋体" w:eastAsia="宋体"/>
                <w:sz w:val="16"/>
              </w:rPr>
              <w:t>化解新疆国瑞房地产开发有限责任公司欠款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D7E1B">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B9D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96F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734B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FB7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C46D3">
            <w:pPr>
              <w:jc w:val="center"/>
            </w:pPr>
            <w:r>
              <w:rPr>
                <w:rFonts w:ascii="宋体" w:hAnsi="宋体" w:eastAsia="宋体"/>
                <w:sz w:val="16"/>
              </w:rPr>
              <w:t>原始凭证,正式材料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AD448">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49E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BC1D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91F16">
            <w:pPr>
              <w:jc w:val="center"/>
            </w:pPr>
          </w:p>
        </w:tc>
      </w:tr>
      <w:tr w14:paraId="478835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E8BD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0007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9CC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8F2C2">
            <w:pPr>
              <w:jc w:val="center"/>
            </w:pPr>
            <w:r>
              <w:rPr>
                <w:rFonts w:ascii="宋体" w:hAnsi="宋体" w:eastAsia="宋体"/>
                <w:sz w:val="16"/>
              </w:rPr>
              <w:t>化解新疆祥陇盛宇建设集团有限公司欠款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750D4">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820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504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596B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3AA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8D79F">
            <w:pPr>
              <w:jc w:val="center"/>
            </w:pPr>
            <w:r>
              <w:rPr>
                <w:rFonts w:ascii="宋体" w:hAnsi="宋体" w:eastAsia="宋体"/>
                <w:sz w:val="16"/>
              </w:rPr>
              <w:t>原始凭证,正式材料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7CBCE">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E5B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7DD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2A2FE">
            <w:pPr>
              <w:jc w:val="center"/>
            </w:pPr>
          </w:p>
        </w:tc>
      </w:tr>
      <w:tr w14:paraId="412161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8A6C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92D0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2131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7106A">
            <w:pPr>
              <w:jc w:val="center"/>
            </w:pPr>
            <w:r>
              <w:rPr>
                <w:rFonts w:ascii="宋体" w:hAnsi="宋体" w:eastAsia="宋体"/>
                <w:sz w:val="16"/>
              </w:rPr>
              <w:t>有效化解矛盾纠纷，减少信访事件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D75B8">
            <w:pPr>
              <w:jc w:val="center"/>
            </w:pPr>
            <w:r>
              <w:rPr>
                <w:rFonts w:ascii="宋体" w:hAnsi="宋体" w:eastAsia="宋体"/>
                <w:sz w:val="16"/>
              </w:rPr>
              <w:t>有效化解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D8F8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99C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9440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BCDD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48A75">
            <w:pPr>
              <w:jc w:val="center"/>
            </w:pPr>
            <w:r>
              <w:rPr>
                <w:rFonts w:ascii="宋体" w:hAnsi="宋体" w:eastAsia="宋体"/>
                <w:sz w:val="16"/>
              </w:rPr>
              <w:t>原始凭证,正式材料,说明材料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CF8AB">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A58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9481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49A02">
            <w:pPr>
              <w:jc w:val="center"/>
            </w:pPr>
          </w:p>
        </w:tc>
      </w:tr>
      <w:tr w14:paraId="6E2DE62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C69A8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42CC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4C50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8E53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7D6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634A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8624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027E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4078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E7C7F">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451151"/>
        </w:tc>
      </w:tr>
    </w:tbl>
    <w:p w14:paraId="46C10E1E">
      <w:r>
        <w:br w:type="page"/>
      </w:r>
    </w:p>
    <w:tbl>
      <w:tblPr>
        <w:tblStyle w:val="9"/>
        <w:tblW w:w="0" w:type="auto"/>
        <w:tblInd w:w="0" w:type="dxa"/>
        <w:tblLayout w:type="autofit"/>
        <w:tblCellMar>
          <w:top w:w="0" w:type="dxa"/>
          <w:left w:w="108" w:type="dxa"/>
          <w:bottom w:w="0" w:type="dxa"/>
          <w:right w:w="108" w:type="dxa"/>
        </w:tblCellMar>
      </w:tblPr>
      <w:tblGrid>
        <w:gridCol w:w="623"/>
        <w:gridCol w:w="612"/>
        <w:gridCol w:w="612"/>
        <w:gridCol w:w="612"/>
        <w:gridCol w:w="631"/>
        <w:gridCol w:w="612"/>
        <w:gridCol w:w="631"/>
        <w:gridCol w:w="618"/>
        <w:gridCol w:w="612"/>
        <w:gridCol w:w="618"/>
        <w:gridCol w:w="776"/>
        <w:gridCol w:w="776"/>
        <w:gridCol w:w="631"/>
        <w:gridCol w:w="696"/>
      </w:tblGrid>
      <w:tr w14:paraId="69F384C8">
        <w:tblPrEx>
          <w:tblCellMar>
            <w:top w:w="0" w:type="dxa"/>
            <w:left w:w="108" w:type="dxa"/>
            <w:bottom w:w="0" w:type="dxa"/>
            <w:right w:w="108" w:type="dxa"/>
          </w:tblCellMar>
        </w:tblPrEx>
        <w:tc>
          <w:tcPr>
            <w:tcW w:w="8848" w:type="dxa"/>
            <w:gridSpan w:val="14"/>
            <w:vAlign w:val="center"/>
          </w:tcPr>
          <w:p w14:paraId="1560B64C">
            <w:pPr>
              <w:jc w:val="center"/>
            </w:pPr>
            <w:r>
              <w:rPr>
                <w:rFonts w:ascii="宋体" w:hAnsi="宋体" w:eastAsia="宋体"/>
                <w:sz w:val="24"/>
              </w:rPr>
              <w:t>项目支出绩效自评表</w:t>
            </w:r>
          </w:p>
        </w:tc>
      </w:tr>
      <w:tr w14:paraId="58567718">
        <w:tblPrEx>
          <w:tblCellMar>
            <w:top w:w="0" w:type="dxa"/>
            <w:left w:w="108" w:type="dxa"/>
            <w:bottom w:w="0" w:type="dxa"/>
            <w:right w:w="108" w:type="dxa"/>
          </w:tblCellMar>
        </w:tblPrEx>
        <w:tc>
          <w:tcPr>
            <w:tcW w:w="8848" w:type="dxa"/>
            <w:gridSpan w:val="14"/>
            <w:vAlign w:val="center"/>
          </w:tcPr>
          <w:p w14:paraId="2F8D2A2A">
            <w:pPr>
              <w:jc w:val="center"/>
            </w:pPr>
            <w:r>
              <w:rPr>
                <w:rFonts w:ascii="宋体" w:hAnsi="宋体" w:eastAsia="宋体"/>
                <w:sz w:val="24"/>
              </w:rPr>
              <w:t>(2024年度)</w:t>
            </w:r>
          </w:p>
        </w:tc>
      </w:tr>
      <w:tr w14:paraId="34B368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9959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7C6EE53">
            <w:pPr>
              <w:jc w:val="center"/>
            </w:pPr>
            <w:r>
              <w:rPr>
                <w:rFonts w:ascii="宋体" w:hAnsi="宋体" w:eastAsia="宋体"/>
                <w:sz w:val="16"/>
              </w:rPr>
              <w:t>社区经费（80%）</w:t>
            </w:r>
          </w:p>
        </w:tc>
      </w:tr>
      <w:tr w14:paraId="2C422A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5EA2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BD0109">
            <w:pPr>
              <w:jc w:val="center"/>
            </w:pPr>
            <w:r>
              <w:rPr>
                <w:rFonts w:ascii="宋体" w:hAnsi="宋体" w:eastAsia="宋体"/>
                <w:sz w:val="16"/>
              </w:rPr>
              <w:t>乌鲁木齐市水磨沟区水塔山街道办事处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3FA9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A9A54D6">
            <w:pPr>
              <w:jc w:val="center"/>
            </w:pPr>
            <w:r>
              <w:rPr>
                <w:rFonts w:ascii="宋体" w:hAnsi="宋体" w:eastAsia="宋体"/>
                <w:sz w:val="16"/>
              </w:rPr>
              <w:t>乌鲁木齐市水磨沟区水塔山街道办事处</w:t>
            </w:r>
          </w:p>
        </w:tc>
      </w:tr>
      <w:tr w14:paraId="38C8E7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56FD7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D6B3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C4BB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B1A01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581B4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F3F1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1D2A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4E2C5">
            <w:pPr>
              <w:jc w:val="center"/>
            </w:pPr>
            <w:r>
              <w:rPr>
                <w:rFonts w:ascii="宋体" w:hAnsi="宋体" w:eastAsia="宋体"/>
                <w:sz w:val="16"/>
              </w:rPr>
              <w:t>得分</w:t>
            </w:r>
          </w:p>
        </w:tc>
      </w:tr>
      <w:tr w14:paraId="7CABB7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027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F240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559F8">
            <w:pPr>
              <w:jc w:val="center"/>
            </w:pPr>
            <w:r>
              <w:rPr>
                <w:rFonts w:ascii="宋体" w:hAnsi="宋体" w:eastAsia="宋体"/>
                <w:sz w:val="16"/>
              </w:rPr>
              <w:t>416.00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16A05">
            <w:pPr>
              <w:jc w:val="center"/>
            </w:pPr>
            <w:r>
              <w:rPr>
                <w:rFonts w:ascii="宋体" w:hAnsi="宋体" w:eastAsia="宋体"/>
                <w:sz w:val="16"/>
              </w:rPr>
              <w:t>416.00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39FC3">
            <w:pPr>
              <w:jc w:val="center"/>
            </w:pPr>
            <w:r>
              <w:rPr>
                <w:rFonts w:ascii="宋体" w:hAnsi="宋体" w:eastAsia="宋体"/>
                <w:sz w:val="16"/>
              </w:rPr>
              <w:t>385.89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EB18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A8467">
            <w:pPr>
              <w:jc w:val="center"/>
            </w:pPr>
            <w:r>
              <w:rPr>
                <w:rFonts w:ascii="宋体" w:hAnsi="宋体" w:eastAsia="宋体"/>
                <w:sz w:val="16"/>
              </w:rPr>
              <w:t>92.8%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1922E">
            <w:pPr>
              <w:jc w:val="center"/>
            </w:pPr>
            <w:r>
              <w:rPr>
                <w:rFonts w:ascii="宋体" w:hAnsi="宋体" w:eastAsia="宋体"/>
                <w:sz w:val="16"/>
              </w:rPr>
              <w:t>9.28分</w:t>
            </w:r>
          </w:p>
        </w:tc>
      </w:tr>
      <w:tr w14:paraId="55591C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1BD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C1AB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DA638">
            <w:pPr>
              <w:jc w:val="center"/>
            </w:pPr>
            <w:r>
              <w:rPr>
                <w:rFonts w:ascii="宋体" w:hAnsi="宋体" w:eastAsia="宋体"/>
                <w:sz w:val="16"/>
              </w:rPr>
              <w:t>416.00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3BDE4">
            <w:pPr>
              <w:jc w:val="center"/>
            </w:pPr>
            <w:r>
              <w:rPr>
                <w:rFonts w:ascii="宋体" w:hAnsi="宋体" w:eastAsia="宋体"/>
                <w:sz w:val="16"/>
              </w:rPr>
              <w:t>416.00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C8B86">
            <w:pPr>
              <w:jc w:val="center"/>
            </w:pPr>
            <w:r>
              <w:rPr>
                <w:rFonts w:ascii="宋体" w:hAnsi="宋体" w:eastAsia="宋体"/>
                <w:sz w:val="16"/>
              </w:rPr>
              <w:t>385.89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5B32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F86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99A33">
            <w:pPr>
              <w:jc w:val="center"/>
            </w:pPr>
            <w:r>
              <w:rPr>
                <w:rFonts w:ascii="宋体" w:hAnsi="宋体" w:eastAsia="宋体"/>
                <w:sz w:val="16"/>
              </w:rPr>
              <w:t>-</w:t>
            </w:r>
          </w:p>
        </w:tc>
      </w:tr>
      <w:tr w14:paraId="6E0184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521A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B4D8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A75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D5A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A020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0FE0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4D4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5610B">
            <w:pPr>
              <w:jc w:val="center"/>
            </w:pPr>
            <w:r>
              <w:rPr>
                <w:rFonts w:ascii="宋体" w:hAnsi="宋体" w:eastAsia="宋体"/>
                <w:sz w:val="16"/>
              </w:rPr>
              <w:t>-</w:t>
            </w:r>
          </w:p>
        </w:tc>
      </w:tr>
      <w:tr w14:paraId="37FBD2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56CEA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F6799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5B427B">
            <w:pPr>
              <w:jc w:val="center"/>
            </w:pPr>
            <w:r>
              <w:rPr>
                <w:rFonts w:ascii="宋体" w:hAnsi="宋体" w:eastAsia="宋体"/>
                <w:sz w:val="16"/>
              </w:rPr>
              <w:t>总体目标完成情况</w:t>
            </w:r>
          </w:p>
        </w:tc>
      </w:tr>
      <w:tr w14:paraId="1E5898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88AB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7F7D8B">
            <w:pPr>
              <w:jc w:val="both"/>
            </w:pPr>
            <w:r>
              <w:rPr>
                <w:rFonts w:ascii="宋体" w:hAnsi="宋体" w:eastAsia="宋体"/>
                <w:sz w:val="16"/>
              </w:rPr>
              <w:t>该项目主要保障辖区10个社区日常运转，其中2个重点社区经费为120万元（60万元/个*2个=120</w:t>
            </w:r>
            <w:r>
              <w:rPr>
                <w:rFonts w:hint="eastAsia" w:ascii="宋体" w:hAnsi="宋体"/>
                <w:sz w:val="16"/>
                <w:lang w:eastAsia="zh-CN"/>
              </w:rPr>
              <w:t>万元</w:t>
            </w:r>
            <w:r>
              <w:rPr>
                <w:rFonts w:ascii="宋体" w:hAnsi="宋体" w:eastAsia="宋体"/>
                <w:sz w:val="16"/>
              </w:rPr>
              <w:t>），8个一般社区经费为400万元（50万元/个*8个=400万元），合计520万元，本次拨付80%，故为416万元。其中10个社区用于日常公用经费开支222万元，开展各项群众活动160万元，化解历年欠款34万元。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E7B578">
            <w:pPr>
              <w:jc w:val="both"/>
            </w:pPr>
            <w:r>
              <w:rPr>
                <w:rFonts w:hint="eastAsia" w:ascii="宋体" w:hAnsi="宋体"/>
                <w:sz w:val="16"/>
                <w:lang w:eastAsia="zh-CN"/>
              </w:rPr>
              <w:t>截至</w:t>
            </w:r>
            <w:r>
              <w:rPr>
                <w:rFonts w:ascii="宋体" w:hAnsi="宋体" w:eastAsia="宋体"/>
                <w:sz w:val="16"/>
              </w:rPr>
              <w:t>2024年12月31日，项目财政拨款416万元，执行385.89万元。具体支出为10个社区日常公用经费开支193.26万元、化解各类欠款经费33.84万元、开展各项群众活动经费158.79万元。通过完善社区基础设施、丰富群众文化生活、解决历史遗留问题等一系列举措，辖区居民的生活质量得到显著提升，居民对社区工作的满意度大幅提高。</w:t>
            </w:r>
          </w:p>
        </w:tc>
      </w:tr>
      <w:tr w14:paraId="612FE5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52413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5761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69F2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E55E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0C4F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A9F1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DDED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BE21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709B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5021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96B9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E85F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4422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5A2E8">
            <w:pPr>
              <w:jc w:val="center"/>
            </w:pPr>
            <w:r>
              <w:rPr>
                <w:rFonts w:ascii="宋体" w:hAnsi="宋体" w:eastAsia="宋体"/>
                <w:sz w:val="16"/>
              </w:rPr>
              <w:t>偏差原因分析及改进措施</w:t>
            </w:r>
          </w:p>
        </w:tc>
      </w:tr>
      <w:tr w14:paraId="2BE7C0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7165F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89E99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F0A1E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ED743">
            <w:pPr>
              <w:jc w:val="center"/>
            </w:pPr>
            <w:r>
              <w:rPr>
                <w:rFonts w:ascii="宋体" w:hAnsi="宋体" w:eastAsia="宋体"/>
                <w:sz w:val="16"/>
              </w:rPr>
              <w:t>一般社区个数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486D3">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647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F7F0D">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6DE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3F2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7088F">
            <w:pPr>
              <w:jc w:val="center"/>
            </w:pPr>
            <w:r>
              <w:rPr>
                <w:rFonts w:ascii="宋体" w:hAnsi="宋体" w:eastAsia="宋体"/>
                <w:sz w:val="16"/>
              </w:rPr>
              <w:t>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AF0A2">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D72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D45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69847">
            <w:pPr>
              <w:jc w:val="center"/>
            </w:pPr>
          </w:p>
        </w:tc>
      </w:tr>
      <w:tr w14:paraId="37586A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0AB8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2AFE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F1C6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2D2BC">
            <w:pPr>
              <w:jc w:val="center"/>
            </w:pPr>
            <w:r>
              <w:rPr>
                <w:rFonts w:ascii="宋体" w:hAnsi="宋体" w:eastAsia="宋体"/>
                <w:sz w:val="16"/>
              </w:rPr>
              <w:t>市重点社区个数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07807">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F29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AABFC">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4E3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8C1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27497">
            <w:pPr>
              <w:jc w:val="center"/>
            </w:pPr>
            <w:r>
              <w:rPr>
                <w:rFonts w:ascii="宋体" w:hAnsi="宋体" w:eastAsia="宋体"/>
                <w:sz w:val="16"/>
              </w:rPr>
              <w:t>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EC5E1">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A88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3FE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8013A">
            <w:pPr>
              <w:jc w:val="center"/>
            </w:pPr>
          </w:p>
        </w:tc>
      </w:tr>
      <w:tr w14:paraId="0F52C2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4C0D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BF2B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C41B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CDAE0">
            <w:pPr>
              <w:jc w:val="center"/>
            </w:pPr>
            <w:r>
              <w:rPr>
                <w:rFonts w:ascii="宋体" w:hAnsi="宋体" w:eastAsia="宋体"/>
                <w:sz w:val="16"/>
              </w:rPr>
              <w:t>社区经费支付准确率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A106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8B69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CA40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F22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544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FDC02">
            <w:pPr>
              <w:jc w:val="center"/>
            </w:pPr>
            <w:r>
              <w:rPr>
                <w:rFonts w:ascii="宋体" w:hAnsi="宋体" w:eastAsia="宋体"/>
                <w:sz w:val="16"/>
              </w:rPr>
              <w:t>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A15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C15C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79C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4B72C">
            <w:pPr>
              <w:jc w:val="center"/>
            </w:pPr>
            <w:r>
              <w:rPr>
                <w:rFonts w:ascii="宋体" w:hAnsi="宋体" w:eastAsia="宋体"/>
                <w:sz w:val="16"/>
              </w:rPr>
              <w:t>目标值设置为90%，业绩值为100%，故有偏差。</w:t>
            </w:r>
          </w:p>
        </w:tc>
      </w:tr>
      <w:tr w14:paraId="6FCAAD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CBA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A997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83C0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D4BBF">
            <w:pPr>
              <w:jc w:val="center"/>
            </w:pPr>
            <w:r>
              <w:rPr>
                <w:rFonts w:ascii="宋体" w:hAnsi="宋体" w:eastAsia="宋体"/>
                <w:sz w:val="16"/>
              </w:rPr>
              <w:t>社区经费支付及时率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A08E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1806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EA52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B9C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7C6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BE631">
            <w:pPr>
              <w:jc w:val="center"/>
            </w:pPr>
            <w:r>
              <w:rPr>
                <w:rFonts w:ascii="宋体" w:hAnsi="宋体" w:eastAsia="宋体"/>
                <w:sz w:val="16"/>
              </w:rPr>
              <w:t>正式材料,说明材料,原始凭证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64A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5C2E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CB8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A457F">
            <w:pPr>
              <w:jc w:val="center"/>
            </w:pPr>
            <w:r>
              <w:rPr>
                <w:rFonts w:ascii="宋体" w:hAnsi="宋体" w:eastAsia="宋体"/>
                <w:sz w:val="16"/>
              </w:rPr>
              <w:t>目标值设置为90%，业绩值为100%，故有偏差。</w:t>
            </w:r>
          </w:p>
        </w:tc>
      </w:tr>
      <w:tr w14:paraId="6691BD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C28A6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5370F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347F1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FB71D">
            <w:pPr>
              <w:jc w:val="center"/>
            </w:pPr>
            <w:r>
              <w:rPr>
                <w:rFonts w:ascii="宋体" w:hAnsi="宋体" w:eastAsia="宋体"/>
                <w:sz w:val="16"/>
              </w:rPr>
              <w:t>社区日常公用开支经费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E81D3">
            <w:pPr>
              <w:jc w:val="center"/>
            </w:pPr>
            <w:r>
              <w:rPr>
                <w:rFonts w:ascii="宋体" w:hAnsi="宋体" w:eastAsia="宋体"/>
                <w:sz w:val="16"/>
              </w:rPr>
              <w:t>&lt;=222万元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20F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9EE2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024C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2FE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70680">
            <w:pPr>
              <w:jc w:val="center"/>
            </w:pPr>
            <w:r>
              <w:rPr>
                <w:rFonts w:ascii="宋体" w:hAnsi="宋体" w:eastAsia="宋体"/>
                <w:sz w:val="16"/>
              </w:rPr>
              <w:t>正式材料,说明材料,原始凭证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9285F">
            <w:pPr>
              <w:jc w:val="center"/>
            </w:pPr>
            <w:r>
              <w:rPr>
                <w:rFonts w:ascii="宋体" w:hAnsi="宋体" w:eastAsia="宋体"/>
                <w:sz w:val="16"/>
              </w:rPr>
              <w:t>=193.26万元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CBEA6">
            <w:pPr>
              <w:jc w:val="center"/>
            </w:pPr>
            <w:r>
              <w:rPr>
                <w:rFonts w:ascii="宋体" w:hAnsi="宋体" w:eastAsia="宋体"/>
                <w:sz w:val="16"/>
              </w:rPr>
              <w:t>87.05%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8B44B">
            <w:pPr>
              <w:jc w:val="center"/>
            </w:pPr>
            <w:r>
              <w:rPr>
                <w:rFonts w:ascii="宋体" w:hAnsi="宋体" w:eastAsia="宋体"/>
                <w:sz w:val="16"/>
              </w:rPr>
              <w:t>4.35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9EF6D">
            <w:pPr>
              <w:jc w:val="center"/>
            </w:pPr>
            <w:r>
              <w:rPr>
                <w:rFonts w:hint="eastAsia" w:ascii="宋体" w:hAnsi="宋体"/>
                <w:sz w:val="16"/>
                <w:lang w:eastAsia="zh-CN"/>
              </w:rPr>
              <w:t>本单位</w:t>
            </w:r>
            <w:r>
              <w:rPr>
                <w:rFonts w:ascii="宋体" w:hAnsi="宋体" w:eastAsia="宋体"/>
                <w:sz w:val="16"/>
              </w:rPr>
              <w:t>落实“过紧日子”的要求，通过加强日常管理，如随手关灯、关电脑等，有效减少了社区日常公用开支。</w:t>
            </w:r>
          </w:p>
        </w:tc>
      </w:tr>
      <w:tr w14:paraId="6AB8B1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FC8B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72E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E8AB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DB451">
            <w:pPr>
              <w:jc w:val="center"/>
            </w:pPr>
            <w:r>
              <w:rPr>
                <w:rFonts w:ascii="宋体" w:hAnsi="宋体" w:eastAsia="宋体"/>
                <w:sz w:val="16"/>
              </w:rPr>
              <w:t>社区开展各项群众活动经费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A5D7A">
            <w:pPr>
              <w:jc w:val="center"/>
            </w:pPr>
            <w:r>
              <w:rPr>
                <w:rFonts w:ascii="宋体" w:hAnsi="宋体" w:eastAsia="宋体"/>
                <w:sz w:val="16"/>
              </w:rPr>
              <w:t>&lt;=160万元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469A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BEBF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252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8D5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D8396">
            <w:pPr>
              <w:jc w:val="center"/>
            </w:pPr>
            <w:r>
              <w:rPr>
                <w:rFonts w:ascii="宋体" w:hAnsi="宋体" w:eastAsia="宋体"/>
                <w:sz w:val="16"/>
              </w:rPr>
              <w:t>正式材料,说明材料,原始凭证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DE7AF">
            <w:pPr>
              <w:jc w:val="center"/>
            </w:pPr>
            <w:r>
              <w:rPr>
                <w:rFonts w:ascii="宋体" w:hAnsi="宋体" w:eastAsia="宋体"/>
                <w:sz w:val="16"/>
              </w:rPr>
              <w:t>=158.79万元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113C2">
            <w:pPr>
              <w:jc w:val="center"/>
            </w:pPr>
            <w:r>
              <w:rPr>
                <w:rFonts w:ascii="宋体" w:hAnsi="宋体" w:eastAsia="宋体"/>
                <w:sz w:val="16"/>
              </w:rPr>
              <w:t>99.24%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D946E">
            <w:pPr>
              <w:jc w:val="center"/>
            </w:pPr>
            <w:r>
              <w:rPr>
                <w:rFonts w:ascii="宋体" w:hAnsi="宋体" w:eastAsia="宋体"/>
                <w:sz w:val="16"/>
              </w:rPr>
              <w:t>9.92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BDA7E">
            <w:pPr>
              <w:jc w:val="center"/>
            </w:pPr>
            <w:r>
              <w:rPr>
                <w:rFonts w:hint="eastAsia" w:ascii="宋体" w:hAnsi="宋体"/>
                <w:sz w:val="16"/>
                <w:lang w:eastAsia="zh-CN"/>
              </w:rPr>
              <w:t>本单位</w:t>
            </w:r>
            <w:r>
              <w:rPr>
                <w:rFonts w:ascii="宋体" w:hAnsi="宋体" w:eastAsia="宋体"/>
                <w:sz w:val="16"/>
              </w:rPr>
              <w:t>开展各项群众活动，充分依托自身现有的人力、物力条件，优化资源配置，实现了经费的有效控制。</w:t>
            </w:r>
          </w:p>
        </w:tc>
      </w:tr>
      <w:tr w14:paraId="62A567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416F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6FEA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92E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5DB5E">
            <w:pPr>
              <w:jc w:val="center"/>
            </w:pPr>
            <w:r>
              <w:rPr>
                <w:rFonts w:ascii="宋体" w:hAnsi="宋体" w:eastAsia="宋体"/>
                <w:sz w:val="16"/>
              </w:rPr>
              <w:t>社区化解各类欠款经费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62705">
            <w:pPr>
              <w:jc w:val="center"/>
            </w:pPr>
            <w:r>
              <w:rPr>
                <w:rFonts w:ascii="宋体" w:hAnsi="宋体" w:eastAsia="宋体"/>
                <w:sz w:val="16"/>
              </w:rPr>
              <w:t>&lt;=34万元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A2D2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36CC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3963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4E7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803B7">
            <w:pPr>
              <w:jc w:val="center"/>
            </w:pPr>
            <w:r>
              <w:rPr>
                <w:rFonts w:ascii="宋体" w:hAnsi="宋体" w:eastAsia="宋体"/>
                <w:sz w:val="16"/>
              </w:rPr>
              <w:t>正式材料,说明材料,原始凭证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FC971">
            <w:pPr>
              <w:jc w:val="center"/>
            </w:pPr>
            <w:r>
              <w:rPr>
                <w:rFonts w:ascii="宋体" w:hAnsi="宋体" w:eastAsia="宋体"/>
                <w:sz w:val="16"/>
              </w:rPr>
              <w:t>=33.84万元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2CC2D">
            <w:pPr>
              <w:jc w:val="center"/>
            </w:pPr>
            <w:r>
              <w:rPr>
                <w:rFonts w:ascii="宋体" w:hAnsi="宋体" w:eastAsia="宋体"/>
                <w:sz w:val="16"/>
              </w:rPr>
              <w:t>99.53%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324D4">
            <w:pPr>
              <w:jc w:val="center"/>
            </w:pPr>
            <w:r>
              <w:rPr>
                <w:rFonts w:ascii="宋体" w:hAnsi="宋体" w:eastAsia="宋体"/>
                <w:sz w:val="16"/>
              </w:rPr>
              <w:t>4.98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FAAE2">
            <w:pPr>
              <w:jc w:val="center"/>
            </w:pPr>
            <w:r>
              <w:rPr>
                <w:rFonts w:ascii="宋体" w:hAnsi="宋体" w:eastAsia="宋体"/>
                <w:sz w:val="16"/>
              </w:rPr>
              <w:t>设定的欠款化解目标为34万元，</w:t>
            </w:r>
            <w:r>
              <w:rPr>
                <w:rFonts w:hint="eastAsia" w:ascii="宋体" w:hAnsi="宋体"/>
                <w:sz w:val="16"/>
                <w:lang w:eastAsia="zh-CN"/>
              </w:rPr>
              <w:t>经过</w:t>
            </w:r>
            <w:r>
              <w:rPr>
                <w:rFonts w:ascii="宋体" w:hAnsi="宋体" w:eastAsia="宋体"/>
                <w:sz w:val="16"/>
              </w:rPr>
              <w:t>不懈努力，实际完成欠款化解33.84万元。</w:t>
            </w:r>
          </w:p>
        </w:tc>
      </w:tr>
      <w:tr w14:paraId="5960BE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9297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8339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D97A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5A378">
            <w:pPr>
              <w:jc w:val="center"/>
            </w:pPr>
            <w:r>
              <w:rPr>
                <w:rFonts w:ascii="宋体" w:hAnsi="宋体" w:eastAsia="宋体"/>
                <w:sz w:val="16"/>
              </w:rPr>
              <w:t>促进社会稳定和长治久安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15D81">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C4D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8E1D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88A9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2C5E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3C138">
            <w:pPr>
              <w:jc w:val="center"/>
            </w:pPr>
            <w:r>
              <w:rPr>
                <w:rFonts w:ascii="宋体" w:hAnsi="宋体" w:eastAsia="宋体"/>
                <w:sz w:val="16"/>
              </w:rPr>
              <w:t>正式材料,说明材料,原始凭证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516C1">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182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94CD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A5BA0">
            <w:pPr>
              <w:jc w:val="center"/>
            </w:pPr>
          </w:p>
        </w:tc>
      </w:tr>
      <w:tr w14:paraId="523549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4920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6AA5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AE63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82FEF">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17F7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C2A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323D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CD9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EC64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3FDA2">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8AA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8077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F0B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B3050">
            <w:pPr>
              <w:jc w:val="center"/>
            </w:pPr>
            <w:r>
              <w:rPr>
                <w:rFonts w:ascii="宋体" w:hAnsi="宋体" w:eastAsia="宋体"/>
                <w:sz w:val="16"/>
              </w:rPr>
              <w:t>目标值设置为95%，业绩值为100%，故有偏差。</w:t>
            </w:r>
          </w:p>
        </w:tc>
      </w:tr>
      <w:tr w14:paraId="6144A9E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631E13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7676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D8B7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9F4D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B08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7223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624E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CF78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21FE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0A3C9">
            <w:pPr>
              <w:jc w:val="center"/>
            </w:pPr>
            <w:r>
              <w:rPr>
                <w:rFonts w:ascii="宋体" w:hAnsi="宋体" w:eastAsia="宋体"/>
                <w:sz w:val="16"/>
              </w:rPr>
              <w:t>98.53分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B94B97"/>
        </w:tc>
      </w:tr>
    </w:tbl>
    <w:p w14:paraId="75B4EF44">
      <w:r>
        <w:br w:type="page"/>
      </w:r>
    </w:p>
    <w:tbl>
      <w:tblPr>
        <w:tblStyle w:val="9"/>
        <w:tblW w:w="0" w:type="auto"/>
        <w:tblInd w:w="0" w:type="dxa"/>
        <w:tblLayout w:type="autofit"/>
        <w:tblCellMar>
          <w:top w:w="0" w:type="dxa"/>
          <w:left w:w="108" w:type="dxa"/>
          <w:bottom w:w="0" w:type="dxa"/>
          <w:right w:w="108" w:type="dxa"/>
        </w:tblCellMar>
      </w:tblPr>
      <w:tblGrid>
        <w:gridCol w:w="613"/>
        <w:gridCol w:w="581"/>
        <w:gridCol w:w="581"/>
        <w:gridCol w:w="613"/>
        <w:gridCol w:w="856"/>
        <w:gridCol w:w="581"/>
        <w:gridCol w:w="613"/>
        <w:gridCol w:w="597"/>
        <w:gridCol w:w="581"/>
        <w:gridCol w:w="597"/>
        <w:gridCol w:w="776"/>
        <w:gridCol w:w="776"/>
        <w:gridCol w:w="598"/>
        <w:gridCol w:w="697"/>
      </w:tblGrid>
      <w:tr w14:paraId="791B261A">
        <w:tblPrEx>
          <w:tblCellMar>
            <w:top w:w="0" w:type="dxa"/>
            <w:left w:w="108" w:type="dxa"/>
            <w:bottom w:w="0" w:type="dxa"/>
            <w:right w:w="108" w:type="dxa"/>
          </w:tblCellMar>
        </w:tblPrEx>
        <w:tc>
          <w:tcPr>
            <w:tcW w:w="8848" w:type="dxa"/>
            <w:gridSpan w:val="14"/>
            <w:vAlign w:val="center"/>
          </w:tcPr>
          <w:p w14:paraId="51D45B7B">
            <w:pPr>
              <w:jc w:val="center"/>
            </w:pPr>
            <w:r>
              <w:rPr>
                <w:rFonts w:ascii="宋体" w:hAnsi="宋体" w:eastAsia="宋体"/>
                <w:sz w:val="24"/>
              </w:rPr>
              <w:t>项目支出绩效自评表</w:t>
            </w:r>
          </w:p>
        </w:tc>
      </w:tr>
      <w:tr w14:paraId="79875452">
        <w:tblPrEx>
          <w:tblCellMar>
            <w:top w:w="0" w:type="dxa"/>
            <w:left w:w="108" w:type="dxa"/>
            <w:bottom w:w="0" w:type="dxa"/>
            <w:right w:w="108" w:type="dxa"/>
          </w:tblCellMar>
        </w:tblPrEx>
        <w:tc>
          <w:tcPr>
            <w:tcW w:w="8848" w:type="dxa"/>
            <w:gridSpan w:val="14"/>
            <w:vAlign w:val="center"/>
          </w:tcPr>
          <w:p w14:paraId="1487BA03">
            <w:pPr>
              <w:jc w:val="center"/>
            </w:pPr>
            <w:r>
              <w:rPr>
                <w:rFonts w:ascii="宋体" w:hAnsi="宋体" w:eastAsia="宋体"/>
                <w:sz w:val="24"/>
              </w:rPr>
              <w:t>(2024年度)</w:t>
            </w:r>
          </w:p>
        </w:tc>
      </w:tr>
      <w:tr w14:paraId="0748C3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9F8E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1892F0B">
            <w:pPr>
              <w:jc w:val="center"/>
            </w:pPr>
            <w:r>
              <w:rPr>
                <w:rFonts w:ascii="宋体" w:hAnsi="宋体" w:eastAsia="宋体"/>
                <w:sz w:val="16"/>
              </w:rPr>
              <w:t>乌财行</w:t>
            </w:r>
            <w:r>
              <w:rPr>
                <w:rFonts w:hint="eastAsia" w:ascii="宋体" w:hAnsi="宋体"/>
                <w:sz w:val="16"/>
                <w:lang w:eastAsia="zh-CN"/>
              </w:rPr>
              <w:t>〔2023〕236号</w:t>
            </w:r>
            <w:r>
              <w:rPr>
                <w:rFonts w:ascii="宋体" w:hAnsi="宋体" w:eastAsia="宋体"/>
                <w:sz w:val="16"/>
              </w:rPr>
              <w:t>关于提前下达2024年度自治区基层人大补助经费的通知、乌财行</w:t>
            </w:r>
            <w:r>
              <w:rPr>
                <w:rFonts w:hint="eastAsia" w:ascii="宋体" w:hAnsi="宋体"/>
                <w:sz w:val="16"/>
                <w:lang w:eastAsia="zh-CN"/>
              </w:rPr>
              <w:t>〔2023〕221号</w:t>
            </w:r>
            <w:r>
              <w:rPr>
                <w:rFonts w:ascii="宋体" w:hAnsi="宋体" w:eastAsia="宋体"/>
                <w:sz w:val="16"/>
              </w:rPr>
              <w:t>关于提前下达2024年代表工作经费的通知</w:t>
            </w:r>
          </w:p>
        </w:tc>
      </w:tr>
      <w:tr w14:paraId="65990E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148F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CB0B9B">
            <w:pPr>
              <w:jc w:val="center"/>
            </w:pPr>
            <w:r>
              <w:rPr>
                <w:rFonts w:ascii="宋体" w:hAnsi="宋体" w:eastAsia="宋体"/>
                <w:sz w:val="16"/>
              </w:rPr>
              <w:t>乌鲁木齐市水磨沟区水塔山街道办事处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E698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37E801C">
            <w:pPr>
              <w:jc w:val="center"/>
            </w:pPr>
            <w:r>
              <w:rPr>
                <w:rFonts w:ascii="宋体" w:hAnsi="宋体" w:eastAsia="宋体"/>
                <w:sz w:val="16"/>
              </w:rPr>
              <w:t>乌鲁木齐市水磨沟区水塔山街道办事处</w:t>
            </w:r>
          </w:p>
        </w:tc>
      </w:tr>
      <w:tr w14:paraId="280FC31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E000E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3EAA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9DFE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5A97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20C4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7CA0F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1961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BD2E5">
            <w:pPr>
              <w:jc w:val="center"/>
            </w:pPr>
            <w:r>
              <w:rPr>
                <w:rFonts w:ascii="宋体" w:hAnsi="宋体" w:eastAsia="宋体"/>
                <w:sz w:val="16"/>
              </w:rPr>
              <w:t>得分</w:t>
            </w:r>
          </w:p>
        </w:tc>
      </w:tr>
      <w:tr w14:paraId="61B932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A4E63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709F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BA0CA">
            <w:pPr>
              <w:jc w:val="center"/>
            </w:pPr>
            <w:r>
              <w:rPr>
                <w:rFonts w:ascii="宋体" w:hAnsi="宋体" w:eastAsia="宋体"/>
                <w:sz w:val="16"/>
              </w:rPr>
              <w:t>0.44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1A809">
            <w:pPr>
              <w:jc w:val="center"/>
            </w:pPr>
            <w:r>
              <w:rPr>
                <w:rFonts w:ascii="宋体" w:hAnsi="宋体" w:eastAsia="宋体"/>
                <w:sz w:val="16"/>
              </w:rPr>
              <w:t>0.44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135C3">
            <w:pPr>
              <w:jc w:val="center"/>
            </w:pPr>
            <w:r>
              <w:rPr>
                <w:rFonts w:ascii="宋体" w:hAnsi="宋体" w:eastAsia="宋体"/>
                <w:sz w:val="16"/>
              </w:rPr>
              <w:t>0.44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335E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1846F">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FF7A4">
            <w:pPr>
              <w:jc w:val="center"/>
            </w:pPr>
            <w:r>
              <w:rPr>
                <w:rFonts w:ascii="宋体" w:hAnsi="宋体" w:eastAsia="宋体"/>
                <w:sz w:val="16"/>
              </w:rPr>
              <w:t>10.00分</w:t>
            </w:r>
          </w:p>
        </w:tc>
      </w:tr>
      <w:tr w14:paraId="3C9BB2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E68E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B990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16309">
            <w:pPr>
              <w:jc w:val="center"/>
            </w:pPr>
            <w:r>
              <w:rPr>
                <w:rFonts w:ascii="宋体" w:hAnsi="宋体" w:eastAsia="宋体"/>
                <w:sz w:val="16"/>
              </w:rPr>
              <w:t>0.44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55FE9">
            <w:pPr>
              <w:jc w:val="center"/>
            </w:pPr>
            <w:r>
              <w:rPr>
                <w:rFonts w:ascii="宋体" w:hAnsi="宋体" w:eastAsia="宋体"/>
                <w:sz w:val="16"/>
              </w:rPr>
              <w:t>0.44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653B9">
            <w:pPr>
              <w:jc w:val="center"/>
            </w:pPr>
            <w:r>
              <w:rPr>
                <w:rFonts w:ascii="宋体" w:hAnsi="宋体" w:eastAsia="宋体"/>
                <w:sz w:val="16"/>
              </w:rPr>
              <w:t>0.44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4809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C5F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2C8B8">
            <w:pPr>
              <w:jc w:val="center"/>
            </w:pPr>
            <w:r>
              <w:rPr>
                <w:rFonts w:ascii="宋体" w:hAnsi="宋体" w:eastAsia="宋体"/>
                <w:sz w:val="16"/>
              </w:rPr>
              <w:t>-</w:t>
            </w:r>
          </w:p>
        </w:tc>
      </w:tr>
      <w:tr w14:paraId="6D23DB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29E1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C41D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7EE1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AC6A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E29E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9E6C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A09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3CCDF">
            <w:pPr>
              <w:jc w:val="center"/>
            </w:pPr>
            <w:r>
              <w:rPr>
                <w:rFonts w:ascii="宋体" w:hAnsi="宋体" w:eastAsia="宋体"/>
                <w:sz w:val="16"/>
              </w:rPr>
              <w:t>-</w:t>
            </w:r>
          </w:p>
        </w:tc>
      </w:tr>
      <w:tr w14:paraId="1318ED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E9158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27B52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FC109C">
            <w:pPr>
              <w:jc w:val="center"/>
            </w:pPr>
            <w:r>
              <w:rPr>
                <w:rFonts w:ascii="宋体" w:hAnsi="宋体" w:eastAsia="宋体"/>
                <w:sz w:val="16"/>
              </w:rPr>
              <w:t>总体目标完成情况</w:t>
            </w:r>
          </w:p>
        </w:tc>
      </w:tr>
      <w:tr w14:paraId="24DFA9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EE8B8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02A849">
            <w:pPr>
              <w:jc w:val="both"/>
            </w:pPr>
            <w:r>
              <w:rPr>
                <w:rFonts w:ascii="宋体" w:hAnsi="宋体" w:eastAsia="宋体"/>
                <w:sz w:val="16"/>
              </w:rPr>
              <w:t>经费主要用于改善基层人大办公条件，本年为水塔山街道人大工作站采购办公用品及征订报纸、杂志等，通过办公用品的购置及报纸、杂志的征订，</w:t>
            </w:r>
            <w:r>
              <w:rPr>
                <w:rFonts w:hint="eastAsia" w:ascii="宋体" w:hAnsi="宋体"/>
                <w:sz w:val="16"/>
                <w:lang w:eastAsia="zh-CN"/>
              </w:rPr>
              <w:t>提高</w:t>
            </w:r>
            <w:r>
              <w:rPr>
                <w:rFonts w:ascii="宋体" w:hAnsi="宋体" w:eastAsia="宋体"/>
                <w:sz w:val="16"/>
              </w:rPr>
              <w:t>基层人大办公效率及整体效能。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538477">
            <w:pPr>
              <w:jc w:val="both"/>
            </w:pPr>
            <w:r>
              <w:rPr>
                <w:rFonts w:hint="eastAsia" w:ascii="宋体" w:hAnsi="宋体"/>
                <w:sz w:val="16"/>
                <w:lang w:eastAsia="zh-CN"/>
              </w:rPr>
              <w:t>截至</w:t>
            </w:r>
            <w:r>
              <w:rPr>
                <w:rFonts w:ascii="宋体" w:hAnsi="宋体" w:eastAsia="宋体"/>
                <w:sz w:val="16"/>
              </w:rPr>
              <w:t>2024年12月31日，项目财政拨款0.44万元，执行0.44万元。经费主要用于改善基层人大办公条件，采购办公用品及征订报纸、杂志等，通过办公用品的购置及报纸、杂志的征订，</w:t>
            </w:r>
            <w:r>
              <w:rPr>
                <w:rFonts w:hint="eastAsia" w:ascii="宋体" w:hAnsi="宋体"/>
                <w:sz w:val="16"/>
                <w:lang w:eastAsia="zh-CN"/>
              </w:rPr>
              <w:t>提高</w:t>
            </w:r>
            <w:r>
              <w:rPr>
                <w:rFonts w:ascii="宋体" w:hAnsi="宋体" w:eastAsia="宋体"/>
                <w:sz w:val="16"/>
              </w:rPr>
              <w:t>基层人大办公效率及整体效能。</w:t>
            </w:r>
          </w:p>
        </w:tc>
      </w:tr>
      <w:tr w14:paraId="63BA224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95096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0712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476A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2D33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57FA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2078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656E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4A54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E918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32B0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B341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CA25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2171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F7254">
            <w:pPr>
              <w:jc w:val="center"/>
            </w:pPr>
            <w:r>
              <w:rPr>
                <w:rFonts w:ascii="宋体" w:hAnsi="宋体" w:eastAsia="宋体"/>
                <w:sz w:val="16"/>
              </w:rPr>
              <w:t>偏差原因分析及改进措施</w:t>
            </w:r>
          </w:p>
        </w:tc>
      </w:tr>
      <w:tr w14:paraId="7D73883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37E86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74DD9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B5CF9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975DC">
            <w:pPr>
              <w:jc w:val="center"/>
            </w:pPr>
            <w:r>
              <w:rPr>
                <w:rFonts w:ascii="宋体" w:hAnsi="宋体" w:eastAsia="宋体"/>
                <w:sz w:val="16"/>
              </w:rPr>
              <w:t>基层人大站点数量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756B3">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8F1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211C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BE4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53A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0CC0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DF76C">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282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0E9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5D308">
            <w:pPr>
              <w:jc w:val="center"/>
            </w:pPr>
          </w:p>
        </w:tc>
      </w:tr>
      <w:tr w14:paraId="75CE82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4B18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62C7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2DE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29EA6">
            <w:pPr>
              <w:jc w:val="center"/>
            </w:pPr>
            <w:r>
              <w:rPr>
                <w:rFonts w:ascii="宋体" w:hAnsi="宋体" w:eastAsia="宋体"/>
                <w:sz w:val="16"/>
              </w:rPr>
              <w:t>采购办公用品次数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FF866">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510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96090">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3DC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D26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95E1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73B5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34C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2DF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4E117">
            <w:pPr>
              <w:jc w:val="center"/>
            </w:pPr>
          </w:p>
        </w:tc>
      </w:tr>
      <w:tr w14:paraId="0C34F1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30B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4AC4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744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6761F">
            <w:pPr>
              <w:jc w:val="center"/>
            </w:pPr>
            <w:r>
              <w:rPr>
                <w:rFonts w:ascii="宋体" w:hAnsi="宋体" w:eastAsia="宋体"/>
                <w:sz w:val="16"/>
              </w:rPr>
              <w:t>征订报纸、杂志次数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B8C3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295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71217">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65A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CD3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3608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A052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20E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9A4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A437A">
            <w:pPr>
              <w:jc w:val="center"/>
            </w:pPr>
          </w:p>
        </w:tc>
      </w:tr>
      <w:tr w14:paraId="51A01D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9A62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9AFA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98DD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79D29">
            <w:pPr>
              <w:jc w:val="center"/>
            </w:pPr>
            <w:r>
              <w:rPr>
                <w:rFonts w:ascii="宋体" w:hAnsi="宋体" w:eastAsia="宋体"/>
                <w:sz w:val="16"/>
              </w:rPr>
              <w:t>办公用品及报纸、杂志采购合格率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F350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DB1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954D5">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CA1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FBF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0414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A3E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5507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A78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64B01">
            <w:pPr>
              <w:jc w:val="center"/>
            </w:pPr>
            <w:r>
              <w:rPr>
                <w:rFonts w:ascii="宋体" w:hAnsi="宋体" w:eastAsia="宋体"/>
                <w:sz w:val="16"/>
              </w:rPr>
              <w:t>办公用品及报纸、杂志已收到货，并验收完成。</w:t>
            </w:r>
          </w:p>
        </w:tc>
      </w:tr>
      <w:tr w14:paraId="5861F0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142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66AF5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D16CC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0C3C6">
            <w:pPr>
              <w:jc w:val="center"/>
            </w:pPr>
            <w:r>
              <w:rPr>
                <w:rFonts w:ascii="宋体" w:hAnsi="宋体" w:eastAsia="宋体"/>
                <w:sz w:val="16"/>
              </w:rPr>
              <w:t>每次采购办公用品所需经费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950F3">
            <w:pPr>
              <w:jc w:val="center"/>
            </w:pPr>
            <w:r>
              <w:rPr>
                <w:rFonts w:ascii="宋体" w:hAnsi="宋体" w:eastAsia="宋体"/>
                <w:sz w:val="16"/>
              </w:rPr>
              <w:t>&lt;=904.8元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7633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2BAB3">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01E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8A5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4E16D">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45AB3">
            <w:pPr>
              <w:jc w:val="center"/>
            </w:pPr>
            <w:r>
              <w:rPr>
                <w:rFonts w:ascii="宋体" w:hAnsi="宋体" w:eastAsia="宋体"/>
                <w:sz w:val="16"/>
              </w:rPr>
              <w:t>=904.8元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8D2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8BE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86D0A">
            <w:pPr>
              <w:jc w:val="center"/>
            </w:pPr>
          </w:p>
        </w:tc>
      </w:tr>
      <w:tr w14:paraId="76C2F6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50F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077B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4B00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D2D2D">
            <w:pPr>
              <w:jc w:val="center"/>
            </w:pPr>
            <w:r>
              <w:rPr>
                <w:rFonts w:ascii="宋体" w:hAnsi="宋体" w:eastAsia="宋体"/>
                <w:sz w:val="16"/>
              </w:rPr>
              <w:t>每次征订报纸、杂志所需经费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C7570">
            <w:pPr>
              <w:jc w:val="center"/>
            </w:pPr>
            <w:r>
              <w:rPr>
                <w:rFonts w:ascii="宋体" w:hAnsi="宋体" w:eastAsia="宋体"/>
                <w:sz w:val="16"/>
              </w:rPr>
              <w:t>&lt;=3495.2元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123A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C453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ED7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803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132EB">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7F1A8">
            <w:pPr>
              <w:jc w:val="center"/>
            </w:pPr>
            <w:r>
              <w:rPr>
                <w:rFonts w:ascii="宋体" w:hAnsi="宋体" w:eastAsia="宋体"/>
                <w:sz w:val="16"/>
              </w:rPr>
              <w:t>=3495.2元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263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483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7BBBD">
            <w:pPr>
              <w:jc w:val="center"/>
            </w:pPr>
          </w:p>
        </w:tc>
      </w:tr>
      <w:tr w14:paraId="3F483E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8854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3219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B251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8E5CC">
            <w:pPr>
              <w:jc w:val="center"/>
            </w:pPr>
            <w:r>
              <w:rPr>
                <w:rFonts w:ascii="宋体" w:hAnsi="宋体" w:eastAsia="宋体"/>
                <w:sz w:val="16"/>
              </w:rPr>
              <w:t>对工作连续性的保障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6C595">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67F6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EFDD2">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CB5B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1E5C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A771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FD0BF">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ED2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A546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F9B6E">
            <w:pPr>
              <w:jc w:val="center"/>
            </w:pPr>
          </w:p>
        </w:tc>
      </w:tr>
      <w:tr w14:paraId="567A19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0B65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D4DB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16BE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6F664">
            <w:pPr>
              <w:jc w:val="center"/>
            </w:pPr>
            <w:r>
              <w:rPr>
                <w:rFonts w:ascii="宋体" w:hAnsi="宋体" w:eastAsia="宋体"/>
                <w:sz w:val="16"/>
              </w:rPr>
              <w:t>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F364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719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D3FB2">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23C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A6BC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C8FF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0EE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DF35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7EF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704F8">
            <w:pPr>
              <w:jc w:val="center"/>
            </w:pPr>
            <w:r>
              <w:rPr>
                <w:rFonts w:ascii="宋体" w:hAnsi="宋体" w:eastAsia="宋体"/>
                <w:sz w:val="16"/>
              </w:rPr>
              <w:t>满意度目标值设置为95%，业绩值为100%，故有偏差。</w:t>
            </w:r>
          </w:p>
        </w:tc>
      </w:tr>
      <w:tr w14:paraId="2454A07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4991A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DC3E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8194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A967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0C9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CACE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C7AC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DE3B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423C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4FD66">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5475BE"/>
        </w:tc>
      </w:tr>
    </w:tbl>
    <w:p w14:paraId="49BBF049">
      <w:r>
        <w:br w:type="page"/>
      </w:r>
    </w:p>
    <w:p w14:paraId="3FEFD2E6">
      <w:pPr>
        <w:spacing w:line="640" w:lineRule="exact"/>
        <w:ind w:firstLine="640"/>
        <w:jc w:val="both"/>
        <w:outlineLvl w:val="2"/>
      </w:pPr>
      <w:r>
        <w:rPr>
          <w:rFonts w:ascii="黑体" w:hAnsi="黑体" w:eastAsia="黑体"/>
          <w:sz w:val="32"/>
        </w:rPr>
        <w:t>十二、其他需说明的事项</w:t>
      </w:r>
    </w:p>
    <w:p w14:paraId="65B40A7E">
      <w:pPr>
        <w:spacing w:line="580" w:lineRule="exact"/>
        <w:ind w:firstLine="640"/>
        <w:jc w:val="both"/>
      </w:pPr>
      <w:r>
        <w:rPr>
          <w:rFonts w:ascii="仿宋_GB2312" w:hAnsi="仿宋_GB2312" w:eastAsia="仿宋_GB2312"/>
          <w:b w:val="0"/>
          <w:sz w:val="32"/>
        </w:rPr>
        <w:t>本单位无其他需说明的事项。</w:t>
      </w:r>
    </w:p>
    <w:p w14:paraId="6442B4E6">
      <w:r>
        <w:br w:type="page"/>
      </w:r>
    </w:p>
    <w:p w14:paraId="7CFC6347">
      <w:pPr>
        <w:spacing w:line="240" w:lineRule="auto"/>
        <w:jc w:val="center"/>
        <w:outlineLvl w:val="1"/>
      </w:pPr>
      <w:r>
        <w:rPr>
          <w:rFonts w:ascii="黑体" w:hAnsi="黑体" w:eastAsia="黑体"/>
          <w:sz w:val="32"/>
        </w:rPr>
        <w:t>第三部分 专业名词解释</w:t>
      </w:r>
    </w:p>
    <w:p w14:paraId="09FBFFD4">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764F3B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9BEA422">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0E8EDE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9384FA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291BBE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C03423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954101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9D6B84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79E499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3FC5D2A">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3AFB06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315238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62EC10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4A6616D">
      <w:r>
        <w:br w:type="page"/>
      </w:r>
    </w:p>
    <w:p w14:paraId="5AB19244">
      <w:pPr>
        <w:spacing w:line="240" w:lineRule="auto"/>
        <w:jc w:val="center"/>
        <w:outlineLvl w:val="1"/>
      </w:pPr>
      <w:r>
        <w:rPr>
          <w:rFonts w:ascii="黑体" w:hAnsi="黑体" w:eastAsia="黑体"/>
          <w:sz w:val="32"/>
        </w:rPr>
        <w:t>第四部分 部门决算报表（见附表）</w:t>
      </w:r>
    </w:p>
    <w:p w14:paraId="128D7AE3">
      <w:pPr>
        <w:spacing w:line="240" w:lineRule="auto"/>
        <w:ind w:firstLine="640"/>
        <w:jc w:val="both"/>
      </w:pPr>
      <w:r>
        <w:rPr>
          <w:rFonts w:ascii="仿宋_GB2312" w:hAnsi="仿宋_GB2312" w:eastAsia="仿宋_GB2312"/>
          <w:b w:val="0"/>
          <w:sz w:val="32"/>
        </w:rPr>
        <w:t>一、《收入支出决算总表》</w:t>
      </w:r>
    </w:p>
    <w:p w14:paraId="7CF19D43">
      <w:pPr>
        <w:spacing w:line="240" w:lineRule="auto"/>
        <w:ind w:firstLine="640"/>
        <w:jc w:val="both"/>
      </w:pPr>
      <w:r>
        <w:rPr>
          <w:rFonts w:ascii="仿宋_GB2312" w:hAnsi="仿宋_GB2312" w:eastAsia="仿宋_GB2312"/>
          <w:b w:val="0"/>
          <w:sz w:val="32"/>
        </w:rPr>
        <w:t>二、《收入决算表》</w:t>
      </w:r>
    </w:p>
    <w:p w14:paraId="0C0CC434">
      <w:pPr>
        <w:spacing w:line="240" w:lineRule="auto"/>
        <w:ind w:firstLine="640"/>
        <w:jc w:val="both"/>
      </w:pPr>
      <w:r>
        <w:rPr>
          <w:rFonts w:ascii="仿宋_GB2312" w:hAnsi="仿宋_GB2312" w:eastAsia="仿宋_GB2312"/>
          <w:b w:val="0"/>
          <w:sz w:val="32"/>
        </w:rPr>
        <w:t>三、《支出决算表》</w:t>
      </w:r>
    </w:p>
    <w:p w14:paraId="658EAAFF">
      <w:pPr>
        <w:spacing w:line="240" w:lineRule="auto"/>
        <w:ind w:firstLine="640"/>
        <w:jc w:val="both"/>
      </w:pPr>
      <w:r>
        <w:rPr>
          <w:rFonts w:ascii="仿宋_GB2312" w:hAnsi="仿宋_GB2312" w:eastAsia="仿宋_GB2312"/>
          <w:b w:val="0"/>
          <w:sz w:val="32"/>
        </w:rPr>
        <w:t>四、《财政拨款收入支出决算总表》</w:t>
      </w:r>
    </w:p>
    <w:p w14:paraId="706B94A9">
      <w:pPr>
        <w:spacing w:line="240" w:lineRule="auto"/>
        <w:ind w:firstLine="640"/>
        <w:jc w:val="both"/>
      </w:pPr>
      <w:r>
        <w:rPr>
          <w:rFonts w:ascii="仿宋_GB2312" w:hAnsi="仿宋_GB2312" w:eastAsia="仿宋_GB2312"/>
          <w:b w:val="0"/>
          <w:sz w:val="32"/>
        </w:rPr>
        <w:t>五、《一般公共预算财政拨款支出决算表》</w:t>
      </w:r>
    </w:p>
    <w:p w14:paraId="70DD19A4">
      <w:pPr>
        <w:spacing w:line="240" w:lineRule="auto"/>
        <w:ind w:firstLine="640"/>
        <w:jc w:val="both"/>
      </w:pPr>
      <w:r>
        <w:rPr>
          <w:rFonts w:ascii="仿宋_GB2312" w:hAnsi="仿宋_GB2312" w:eastAsia="仿宋_GB2312"/>
          <w:b w:val="0"/>
          <w:sz w:val="32"/>
        </w:rPr>
        <w:t>六、《一般公共预算财政拨款基本支出决算表》</w:t>
      </w:r>
    </w:p>
    <w:p w14:paraId="43BE6414">
      <w:pPr>
        <w:spacing w:line="240" w:lineRule="auto"/>
        <w:ind w:firstLine="640"/>
        <w:jc w:val="both"/>
      </w:pPr>
      <w:r>
        <w:rPr>
          <w:rFonts w:ascii="仿宋_GB2312" w:hAnsi="仿宋_GB2312" w:eastAsia="仿宋_GB2312"/>
          <w:b w:val="0"/>
          <w:sz w:val="32"/>
        </w:rPr>
        <w:t>七、《政府性基金预算财政拨款收入支出决算表》</w:t>
      </w:r>
    </w:p>
    <w:p w14:paraId="20CD4BF5">
      <w:pPr>
        <w:spacing w:line="240" w:lineRule="auto"/>
        <w:ind w:firstLine="640"/>
        <w:jc w:val="both"/>
      </w:pPr>
      <w:r>
        <w:rPr>
          <w:rFonts w:ascii="仿宋_GB2312" w:hAnsi="仿宋_GB2312" w:eastAsia="仿宋_GB2312"/>
          <w:b w:val="0"/>
          <w:sz w:val="32"/>
        </w:rPr>
        <w:t>八、《国有资本经营预算财政拨款收入支出决算表》</w:t>
      </w:r>
    </w:p>
    <w:p w14:paraId="4FDD16C6">
      <w:pPr>
        <w:spacing w:line="240" w:lineRule="auto"/>
        <w:ind w:firstLine="640"/>
        <w:jc w:val="both"/>
      </w:pPr>
      <w:r>
        <w:rPr>
          <w:rFonts w:ascii="仿宋_GB2312" w:hAnsi="仿宋_GB2312" w:eastAsia="仿宋_GB2312"/>
          <w:b w:val="0"/>
          <w:sz w:val="32"/>
        </w:rPr>
        <w:t>九、《财政拨款“三公”经费支出决算表》</w:t>
      </w:r>
    </w:p>
    <w:p w14:paraId="3D51BBE9">
      <w:pPr>
        <w:spacing w:line="240" w:lineRule="auto"/>
        <w:ind w:firstLine="640"/>
        <w:jc w:val="both"/>
      </w:pPr>
    </w:p>
    <w:p w14:paraId="5D95784E">
      <w:pPr>
        <w:spacing w:line="240" w:lineRule="auto"/>
        <w:ind w:firstLine="640"/>
        <w:jc w:val="both"/>
      </w:pPr>
    </w:p>
    <w:p w14:paraId="550BDBDE">
      <w:pPr>
        <w:spacing w:line="240" w:lineRule="auto"/>
        <w:ind w:firstLine="640"/>
        <w:jc w:val="both"/>
      </w:pPr>
    </w:p>
    <w:p w14:paraId="28427B35">
      <w:pPr>
        <w:spacing w:line="240" w:lineRule="auto"/>
        <w:ind w:firstLine="640"/>
        <w:jc w:val="both"/>
      </w:pPr>
    </w:p>
    <w:p w14:paraId="3989965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C301362"/>
    <w:rsid w:val="3D5275AC"/>
    <w:rsid w:val="3EA7725F"/>
    <w:rsid w:val="3EC014A1"/>
    <w:rsid w:val="40834692"/>
    <w:rsid w:val="40C12138"/>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6680</Words>
  <Characters>7638</Characters>
  <Lines>0</Lines>
  <Paragraphs>0</Paragraphs>
  <TotalTime>5</TotalTime>
  <ScaleCrop>false</ScaleCrop>
  <LinksUpToDate>false</LinksUpToDate>
  <CharactersWithSpaces>7646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2025-11-06T03:58:55Z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