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63FBC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5C2BE9B">
      <w:r>
        <w:br w:type="page"/>
      </w:r>
    </w:p>
    <w:p w14:paraId="390CBB7E">
      <w:pPr>
        <w:spacing w:line="640" w:lineRule="exact"/>
        <w:jc w:val="center"/>
        <w:outlineLvl w:val="1"/>
      </w:pPr>
      <w:r>
        <w:rPr>
          <w:rFonts w:ascii="黑体" w:hAnsi="黑体" w:eastAsia="黑体"/>
          <w:sz w:val="32"/>
        </w:rPr>
        <w:t>第一部分 单位概况</w:t>
      </w:r>
    </w:p>
    <w:p w14:paraId="2F07D785">
      <w:pPr>
        <w:spacing w:line="640" w:lineRule="exact"/>
        <w:ind w:firstLine="640"/>
        <w:jc w:val="both"/>
        <w:outlineLvl w:val="2"/>
      </w:pPr>
      <w:r>
        <w:rPr>
          <w:rFonts w:ascii="黑体" w:hAnsi="黑体" w:eastAsia="黑体"/>
          <w:sz w:val="32"/>
        </w:rPr>
        <w:t>一、主要职能</w:t>
      </w:r>
    </w:p>
    <w:p w14:paraId="7DA9C4CF">
      <w:pPr>
        <w:spacing w:line="580" w:lineRule="exact"/>
        <w:ind w:firstLine="640"/>
        <w:jc w:val="both"/>
      </w:pPr>
      <w:r>
        <w:rPr>
          <w:rFonts w:ascii="仿宋_GB2312" w:hAnsi="仿宋_GB2312" w:eastAsia="仿宋_GB2312"/>
          <w:sz w:val="32"/>
        </w:rPr>
        <w:t>（一）幼儿教育，幼儿保育，促进幼儿全方面身心发展。</w:t>
      </w:r>
    </w:p>
    <w:p w14:paraId="72FF69ED">
      <w:pPr>
        <w:spacing w:line="580" w:lineRule="exact"/>
        <w:ind w:firstLine="640"/>
        <w:jc w:val="both"/>
      </w:pPr>
      <w:r>
        <w:rPr>
          <w:rFonts w:ascii="仿宋_GB2312" w:hAnsi="仿宋_GB2312" w:eastAsia="仿宋_GB2312"/>
          <w:sz w:val="32"/>
        </w:rPr>
        <w:t>（二）贯彻党的教育方针，按照保育和教育结合的原则，对幼儿实施德、智、体、美诸方面全面发展的教育，促进其身心和谐发展。</w:t>
      </w:r>
    </w:p>
    <w:p w14:paraId="7A32BEE4">
      <w:pPr>
        <w:spacing w:line="580" w:lineRule="exact"/>
        <w:ind w:firstLine="640"/>
        <w:jc w:val="both"/>
      </w:pPr>
      <w:r>
        <w:rPr>
          <w:rFonts w:ascii="仿宋_GB2312" w:hAnsi="仿宋_GB2312" w:eastAsia="仿宋_GB2312"/>
          <w:sz w:val="32"/>
        </w:rPr>
        <w:t>（三）围绕家庭及家庭教育开展活动，面向幼儿家长提供科学育儿宣传指导。</w:t>
      </w:r>
    </w:p>
    <w:p w14:paraId="532020EE">
      <w:pPr>
        <w:spacing w:line="580" w:lineRule="exact"/>
        <w:ind w:firstLine="640"/>
        <w:jc w:val="both"/>
      </w:pPr>
      <w:r>
        <w:rPr>
          <w:rFonts w:ascii="仿宋_GB2312" w:hAnsi="仿宋_GB2312" w:eastAsia="仿宋_GB2312"/>
          <w:sz w:val="32"/>
        </w:rPr>
        <w:t>（四）坚持四项基本原则，认真贯彻执行党的路线、方针和政策，坚持正确的办学方向。</w:t>
      </w:r>
    </w:p>
    <w:p w14:paraId="06A8D36E">
      <w:pPr>
        <w:spacing w:line="580" w:lineRule="exact"/>
        <w:ind w:firstLine="640"/>
        <w:jc w:val="both"/>
      </w:pPr>
      <w:r>
        <w:rPr>
          <w:rFonts w:ascii="仿宋_GB2312" w:hAnsi="仿宋_GB2312" w:eastAsia="仿宋_GB2312"/>
          <w:sz w:val="32"/>
        </w:rPr>
        <w:t>（五）组织、指导、协调国家通用语言教学推进工作。</w:t>
      </w:r>
    </w:p>
    <w:p w14:paraId="1B051576">
      <w:pPr>
        <w:spacing w:line="580" w:lineRule="exact"/>
        <w:ind w:firstLine="640"/>
        <w:jc w:val="both"/>
      </w:pPr>
      <w:r>
        <w:rPr>
          <w:rFonts w:ascii="仿宋_GB2312" w:hAnsi="仿宋_GB2312" w:eastAsia="仿宋_GB2312"/>
          <w:sz w:val="32"/>
        </w:rPr>
        <w:t>（六）开展安全教育，落实安全、保卫、消防管理工作。规范办学行为、依法治校和内部管理工作。</w:t>
      </w:r>
    </w:p>
    <w:p w14:paraId="31F5D5F3">
      <w:pPr>
        <w:spacing w:line="580" w:lineRule="exact"/>
        <w:ind w:firstLine="640"/>
        <w:jc w:val="both"/>
      </w:pPr>
      <w:r>
        <w:rPr>
          <w:rFonts w:ascii="仿宋_GB2312" w:hAnsi="仿宋_GB2312" w:eastAsia="仿宋_GB2312"/>
          <w:sz w:val="32"/>
        </w:rPr>
        <w:t>（七）组织实施教育信息化工作；统计、分析和发布教育基本信息。</w:t>
      </w:r>
    </w:p>
    <w:p w14:paraId="17BEB762">
      <w:pPr>
        <w:spacing w:line="580" w:lineRule="exact"/>
        <w:ind w:firstLine="640"/>
        <w:jc w:val="both"/>
      </w:pPr>
      <w:r>
        <w:rPr>
          <w:rFonts w:ascii="仿宋_GB2312" w:hAnsi="仿宋_GB2312" w:eastAsia="仿宋_GB2312"/>
          <w:sz w:val="32"/>
        </w:rPr>
        <w:t>（八）党建和教职工队伍建设工作，负责教师继续教育工作。负责对本单位教育教学业务的具体管理，负责教育教学管理及教研教改工作。</w:t>
      </w:r>
    </w:p>
    <w:p w14:paraId="6359F19F">
      <w:pPr>
        <w:spacing w:line="580" w:lineRule="exact"/>
        <w:ind w:firstLine="640"/>
        <w:jc w:val="both"/>
      </w:pPr>
      <w:r>
        <w:rPr>
          <w:rFonts w:ascii="仿宋_GB2312" w:hAnsi="仿宋_GB2312" w:eastAsia="仿宋_GB2312"/>
          <w:sz w:val="32"/>
        </w:rPr>
        <w:t>（九）认真完成普及学前教育的任务，严格执行学前教育教学大纲，保证完成学前教育、教学计划。</w:t>
      </w:r>
    </w:p>
    <w:p w14:paraId="04398494">
      <w:pPr>
        <w:spacing w:line="580" w:lineRule="exact"/>
        <w:ind w:firstLine="640"/>
        <w:jc w:val="both"/>
      </w:pPr>
      <w:r>
        <w:rPr>
          <w:rFonts w:ascii="仿宋_GB2312" w:hAnsi="仿宋_GB2312" w:eastAsia="仿宋_GB2312"/>
          <w:sz w:val="32"/>
        </w:rPr>
        <w:t>（十）开展以预防为主、防治结合的卫生保健工作，做好常见病、多发病的预防和矫治。</w:t>
      </w:r>
    </w:p>
    <w:p w14:paraId="2410B522">
      <w:pPr>
        <w:spacing w:line="580" w:lineRule="exact"/>
        <w:ind w:firstLine="640"/>
        <w:jc w:val="both"/>
      </w:pPr>
      <w:r>
        <w:rPr>
          <w:rFonts w:ascii="仿宋_GB2312" w:hAnsi="仿宋_GB2312" w:eastAsia="仿宋_GB2312"/>
          <w:sz w:val="32"/>
        </w:rPr>
        <w:t>（十一）积极、有步骤地创造条件改善园舍和教学、体育、卫生、生活等</w:t>
      </w:r>
      <w:r>
        <w:rPr>
          <w:rFonts w:hint="eastAsia" w:ascii="仿宋_GB2312" w:hAnsi="仿宋_GB2312" w:eastAsia="仿宋_GB2312"/>
          <w:sz w:val="32"/>
          <w:lang w:eastAsia="zh-CN"/>
        </w:rPr>
        <w:t>方面</w:t>
      </w:r>
      <w:r>
        <w:rPr>
          <w:rFonts w:ascii="仿宋_GB2312" w:hAnsi="仿宋_GB2312" w:eastAsia="仿宋_GB2312"/>
          <w:sz w:val="32"/>
        </w:rPr>
        <w:t>设备，切实加强幼儿园管理工作。</w:t>
      </w:r>
    </w:p>
    <w:p w14:paraId="6A858C2C">
      <w:pPr>
        <w:spacing w:line="580" w:lineRule="exact"/>
        <w:ind w:firstLine="640"/>
        <w:jc w:val="both"/>
      </w:pPr>
      <w:r>
        <w:rPr>
          <w:rFonts w:ascii="仿宋_GB2312" w:hAnsi="仿宋_GB2312" w:eastAsia="仿宋_GB2312"/>
          <w:sz w:val="32"/>
        </w:rPr>
        <w:t>（十二）组织教育教学、科学研究活动，保证教育教学质量。维护教职工利益，保障教职工合法权益，以教职工和幼儿的人生幸福和生命质量</w:t>
      </w:r>
      <w:r>
        <w:rPr>
          <w:rFonts w:hint="eastAsia" w:ascii="仿宋_GB2312" w:hAnsi="仿宋_GB2312" w:eastAsia="仿宋_GB2312"/>
          <w:sz w:val="32"/>
          <w:lang w:eastAsia="zh-CN"/>
        </w:rPr>
        <w:t>为</w:t>
      </w:r>
      <w:bookmarkStart w:id="0" w:name="_GoBack"/>
      <w:bookmarkEnd w:id="0"/>
      <w:r>
        <w:rPr>
          <w:rFonts w:ascii="仿宋_GB2312" w:hAnsi="仿宋_GB2312" w:eastAsia="仿宋_GB2312"/>
          <w:sz w:val="32"/>
        </w:rPr>
        <w:t>重点。</w:t>
      </w:r>
    </w:p>
    <w:p w14:paraId="0677862D">
      <w:pPr>
        <w:spacing w:line="580" w:lineRule="exact"/>
        <w:ind w:firstLine="640"/>
        <w:jc w:val="both"/>
      </w:pPr>
      <w:r>
        <w:rPr>
          <w:rFonts w:ascii="仿宋_GB2312" w:hAnsi="仿宋_GB2312" w:eastAsia="仿宋_GB2312"/>
          <w:sz w:val="32"/>
        </w:rPr>
        <w:t>（十三）承办区委、区人民政府、区教育局交办的其他事项。</w:t>
      </w:r>
    </w:p>
    <w:p w14:paraId="550CAEF2">
      <w:pPr>
        <w:spacing w:line="640" w:lineRule="exact"/>
        <w:ind w:firstLine="640"/>
        <w:jc w:val="both"/>
        <w:outlineLvl w:val="2"/>
      </w:pPr>
      <w:r>
        <w:rPr>
          <w:rFonts w:ascii="黑体" w:hAnsi="黑体" w:eastAsia="黑体"/>
          <w:sz w:val="32"/>
        </w:rPr>
        <w:t>二、机构设置及人员情况</w:t>
      </w:r>
    </w:p>
    <w:p w14:paraId="5174C98C">
      <w:pPr>
        <w:spacing w:line="580" w:lineRule="exact"/>
        <w:ind w:firstLine="640"/>
        <w:jc w:val="both"/>
      </w:pPr>
      <w:r>
        <w:rPr>
          <w:rFonts w:ascii="仿宋_GB2312" w:hAnsi="仿宋_GB2312" w:eastAsia="仿宋_GB2312"/>
          <w:sz w:val="32"/>
        </w:rPr>
        <w:t>乌鲁木齐市水磨沟区幼儿园2024年度，实有人数49人，其中：在职人员43人，减少13人；离休人员0人，增加0人；退休人员6人,增加0人。</w:t>
      </w:r>
    </w:p>
    <w:p w14:paraId="12DC212D">
      <w:pPr>
        <w:spacing w:line="580" w:lineRule="exact"/>
        <w:ind w:firstLine="640"/>
        <w:jc w:val="both"/>
      </w:pPr>
      <w:r>
        <w:rPr>
          <w:rFonts w:ascii="仿宋_GB2312" w:hAnsi="仿宋_GB2312" w:eastAsia="仿宋_GB2312"/>
          <w:sz w:val="32"/>
        </w:rPr>
        <w:t>乌鲁木齐市水磨沟区幼儿园无下属预算单位，下设5个科室，分别是：教研室、财务室、总务室、园长室、保健室。</w:t>
      </w:r>
    </w:p>
    <w:p w14:paraId="0F3A7CD8">
      <w:r>
        <w:br w:type="page"/>
      </w:r>
    </w:p>
    <w:p w14:paraId="3C6B34FF">
      <w:pPr>
        <w:spacing w:line="240" w:lineRule="auto"/>
        <w:jc w:val="center"/>
        <w:outlineLvl w:val="1"/>
      </w:pPr>
      <w:r>
        <w:rPr>
          <w:rFonts w:ascii="黑体" w:hAnsi="黑体" w:eastAsia="黑体"/>
          <w:sz w:val="32"/>
        </w:rPr>
        <w:t>第二部分 部门决算情况说明</w:t>
      </w:r>
    </w:p>
    <w:p w14:paraId="5A1DA04E">
      <w:pPr>
        <w:spacing w:line="640" w:lineRule="exact"/>
        <w:ind w:firstLine="640"/>
        <w:jc w:val="both"/>
        <w:outlineLvl w:val="2"/>
      </w:pPr>
      <w:r>
        <w:rPr>
          <w:rFonts w:ascii="黑体" w:hAnsi="黑体" w:eastAsia="黑体"/>
          <w:sz w:val="32"/>
        </w:rPr>
        <w:t>一、收入支出决算总体情况说明</w:t>
      </w:r>
    </w:p>
    <w:p w14:paraId="4A68CA8E">
      <w:pPr>
        <w:spacing w:line="580" w:lineRule="exact"/>
        <w:ind w:firstLine="640"/>
        <w:jc w:val="both"/>
      </w:pPr>
      <w:r>
        <w:rPr>
          <w:rFonts w:ascii="仿宋_GB2312" w:hAnsi="仿宋_GB2312" w:eastAsia="仿宋_GB2312"/>
          <w:b/>
          <w:sz w:val="32"/>
        </w:rPr>
        <w:t>2024年度收入总计620.57万元，</w:t>
      </w:r>
      <w:r>
        <w:rPr>
          <w:rFonts w:ascii="仿宋_GB2312" w:hAnsi="仿宋_GB2312" w:eastAsia="仿宋_GB2312"/>
          <w:b w:val="0"/>
          <w:sz w:val="32"/>
        </w:rPr>
        <w:t>其中：本年收入合计595.37万元，使用非财政拨款结余（含专用结余）0.00万元，年初结转和结余25.20万元。</w:t>
      </w:r>
    </w:p>
    <w:p w14:paraId="0E339138">
      <w:pPr>
        <w:spacing w:line="580" w:lineRule="exact"/>
        <w:ind w:firstLine="640"/>
        <w:jc w:val="both"/>
      </w:pPr>
      <w:r>
        <w:rPr>
          <w:rFonts w:ascii="仿宋_GB2312" w:hAnsi="仿宋_GB2312" w:eastAsia="仿宋_GB2312"/>
          <w:b/>
          <w:sz w:val="32"/>
        </w:rPr>
        <w:t>2024年度支出总计620.57万元，</w:t>
      </w:r>
      <w:r>
        <w:rPr>
          <w:rFonts w:ascii="仿宋_GB2312" w:hAnsi="仿宋_GB2312" w:eastAsia="仿宋_GB2312"/>
          <w:b w:val="0"/>
          <w:sz w:val="32"/>
        </w:rPr>
        <w:t>其中：本年支出合计600.24万元，结余分配0.00万元，年末结转和结余20.33万元。</w:t>
      </w:r>
    </w:p>
    <w:p w14:paraId="7D81E733">
      <w:pPr>
        <w:spacing w:line="580" w:lineRule="exact"/>
        <w:ind w:firstLine="640"/>
        <w:jc w:val="both"/>
      </w:pPr>
      <w:r>
        <w:rPr>
          <w:rFonts w:ascii="仿宋_GB2312" w:hAnsi="仿宋_GB2312" w:eastAsia="仿宋_GB2312"/>
          <w:b w:val="0"/>
          <w:sz w:val="32"/>
        </w:rPr>
        <w:t>收入支出总体与上年相比，减少1,185.50万元，下降65.64%，主要原因是：上年度11幼、12幼、21幼、29幼在本单位核算，本年独立核算，导致人员及公用经费较上年减少。</w:t>
      </w:r>
    </w:p>
    <w:p w14:paraId="21B705C5">
      <w:pPr>
        <w:spacing w:line="640" w:lineRule="exact"/>
        <w:ind w:firstLine="640"/>
        <w:jc w:val="both"/>
        <w:outlineLvl w:val="2"/>
      </w:pPr>
      <w:r>
        <w:rPr>
          <w:rFonts w:ascii="黑体" w:hAnsi="黑体" w:eastAsia="黑体"/>
          <w:sz w:val="32"/>
        </w:rPr>
        <w:t>二、收入决算情况说明</w:t>
      </w:r>
    </w:p>
    <w:p w14:paraId="4188B9EE">
      <w:pPr>
        <w:spacing w:line="580" w:lineRule="exact"/>
        <w:ind w:firstLine="640"/>
        <w:jc w:val="both"/>
      </w:pPr>
      <w:r>
        <w:rPr>
          <w:rFonts w:ascii="仿宋_GB2312" w:hAnsi="仿宋_GB2312" w:eastAsia="仿宋_GB2312"/>
          <w:b/>
          <w:sz w:val="32"/>
        </w:rPr>
        <w:t>本年收入595.37万元，</w:t>
      </w:r>
      <w:r>
        <w:rPr>
          <w:rFonts w:ascii="仿宋_GB2312" w:hAnsi="仿宋_GB2312" w:eastAsia="仿宋_GB2312"/>
          <w:b w:val="0"/>
          <w:sz w:val="32"/>
        </w:rPr>
        <w:t>其中：财政拨款收入595.33万元，占99.99%；上级补助收入0.00万元，占0.00%；事业收入0.00万元，占0.00%；经营收入0.00万元，占0.00%；附属单位上缴收入0.00万元，占0.00%；其他收入0.04万元，占0.007%。</w:t>
      </w:r>
    </w:p>
    <w:p w14:paraId="12E2976C">
      <w:pPr>
        <w:spacing w:line="640" w:lineRule="exact"/>
        <w:ind w:firstLine="640"/>
        <w:jc w:val="both"/>
        <w:outlineLvl w:val="2"/>
      </w:pPr>
      <w:r>
        <w:rPr>
          <w:rFonts w:ascii="黑体" w:hAnsi="黑体" w:eastAsia="黑体"/>
          <w:sz w:val="32"/>
        </w:rPr>
        <w:t>三、支出决算情况说明</w:t>
      </w:r>
    </w:p>
    <w:p w14:paraId="77FEDF59">
      <w:pPr>
        <w:spacing w:line="580" w:lineRule="exact"/>
        <w:ind w:firstLine="640"/>
        <w:jc w:val="both"/>
      </w:pPr>
      <w:r>
        <w:rPr>
          <w:rFonts w:ascii="仿宋_GB2312" w:hAnsi="仿宋_GB2312" w:eastAsia="仿宋_GB2312"/>
          <w:b/>
          <w:sz w:val="32"/>
        </w:rPr>
        <w:t>本年支出600.24万元，</w:t>
      </w:r>
      <w:r>
        <w:rPr>
          <w:rFonts w:ascii="仿宋_GB2312" w:hAnsi="仿宋_GB2312" w:eastAsia="仿宋_GB2312"/>
          <w:b w:val="0"/>
          <w:sz w:val="32"/>
        </w:rPr>
        <w:t>其中：基本支出550.57万元，占91.72%；项目支出49.68万元，占8.28%；上缴上级支出0.00万元，占0.00%；经营支出0.00万元，占0.00%；对附属单位补助支出0.00万元，占0.00%。</w:t>
      </w:r>
    </w:p>
    <w:p w14:paraId="24117C35">
      <w:pPr>
        <w:spacing w:line="640" w:lineRule="exact"/>
        <w:ind w:firstLine="640"/>
        <w:jc w:val="both"/>
        <w:outlineLvl w:val="2"/>
      </w:pPr>
      <w:r>
        <w:rPr>
          <w:rFonts w:ascii="黑体" w:hAnsi="黑体" w:eastAsia="黑体"/>
          <w:sz w:val="32"/>
        </w:rPr>
        <w:t>四、财政拨款收入支出决算总体情况说明</w:t>
      </w:r>
    </w:p>
    <w:p w14:paraId="4E926FA8">
      <w:pPr>
        <w:spacing w:line="580" w:lineRule="exact"/>
        <w:ind w:firstLine="640"/>
        <w:jc w:val="both"/>
      </w:pPr>
      <w:r>
        <w:rPr>
          <w:rFonts w:ascii="仿宋_GB2312" w:hAnsi="仿宋_GB2312" w:eastAsia="仿宋_GB2312"/>
          <w:b/>
          <w:sz w:val="32"/>
        </w:rPr>
        <w:t>2024年度财政拨款收入总计613.64万元，</w:t>
      </w:r>
      <w:r>
        <w:rPr>
          <w:rFonts w:ascii="仿宋_GB2312" w:hAnsi="仿宋_GB2312" w:eastAsia="仿宋_GB2312"/>
          <w:b w:val="0"/>
          <w:sz w:val="32"/>
        </w:rPr>
        <w:t>其中：年初财政拨款结转和结余18.31万元，本年财政拨款收入595.33万元。</w:t>
      </w:r>
      <w:r>
        <w:rPr>
          <w:rFonts w:ascii="仿宋_GB2312" w:hAnsi="仿宋_GB2312" w:eastAsia="仿宋_GB2312"/>
          <w:b/>
          <w:sz w:val="32"/>
        </w:rPr>
        <w:t>财政拨款支出总计613.64万元，</w:t>
      </w:r>
      <w:r>
        <w:rPr>
          <w:rFonts w:ascii="仿宋_GB2312" w:hAnsi="仿宋_GB2312" w:eastAsia="仿宋_GB2312"/>
          <w:b w:val="0"/>
          <w:sz w:val="32"/>
        </w:rPr>
        <w:t>其中：年末财政拨款结转和结余18.33万元，本年财政拨款支出595.31万元。</w:t>
      </w:r>
    </w:p>
    <w:p w14:paraId="5E8E8C1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减少1,171.59万元，下降65.63%，主要原因是：上年度11幼、12幼、21幼、29幼在本单位核算，本年独立核算，导致人员及公用经费较上年减少。</w:t>
      </w:r>
      <w:r>
        <w:rPr>
          <w:rFonts w:ascii="仿宋_GB2312" w:hAnsi="仿宋_GB2312" w:eastAsia="仿宋_GB2312"/>
          <w:b/>
          <w:sz w:val="32"/>
        </w:rPr>
        <w:t>与年初预算相比，</w:t>
      </w:r>
      <w:r>
        <w:rPr>
          <w:rFonts w:ascii="仿宋_GB2312" w:hAnsi="仿宋_GB2312" w:eastAsia="仿宋_GB2312"/>
          <w:b w:val="0"/>
          <w:sz w:val="32"/>
        </w:rPr>
        <w:t>年初预算数549.77万元，决算数613.64万元，预决算差异率11.62%，主要原因是：年中追加学前免费教育经费项目、2024年自治区教育项目经费，导致预决算存在差异。</w:t>
      </w:r>
    </w:p>
    <w:p w14:paraId="770C8368">
      <w:pPr>
        <w:spacing w:line="640" w:lineRule="exact"/>
        <w:ind w:firstLine="640"/>
        <w:jc w:val="both"/>
        <w:outlineLvl w:val="2"/>
      </w:pPr>
      <w:r>
        <w:rPr>
          <w:rFonts w:ascii="黑体" w:hAnsi="黑体" w:eastAsia="黑体"/>
          <w:sz w:val="32"/>
        </w:rPr>
        <w:t>五、一般公共预算财政拨款支出决算情况说明</w:t>
      </w:r>
    </w:p>
    <w:p w14:paraId="43403F8B">
      <w:pPr>
        <w:spacing w:line="640" w:lineRule="exact"/>
        <w:ind w:firstLine="640"/>
        <w:jc w:val="both"/>
        <w:outlineLvl w:val="3"/>
      </w:pPr>
      <w:r>
        <w:rPr>
          <w:rFonts w:ascii="楷体_GB2312" w:hAnsi="楷体_GB2312" w:eastAsia="楷体_GB2312"/>
          <w:b/>
          <w:sz w:val="32"/>
        </w:rPr>
        <w:t>（一）一般公共预算财政拨款支出决算总体情况</w:t>
      </w:r>
    </w:p>
    <w:p w14:paraId="1BC772E9">
      <w:pPr>
        <w:spacing w:line="580" w:lineRule="exact"/>
        <w:ind w:firstLine="640"/>
        <w:jc w:val="both"/>
      </w:pPr>
      <w:r>
        <w:rPr>
          <w:rFonts w:ascii="仿宋_GB2312" w:hAnsi="仿宋_GB2312" w:eastAsia="仿宋_GB2312"/>
          <w:b/>
          <w:sz w:val="32"/>
        </w:rPr>
        <w:t>2024年度一般公共预算财政拨款支出595.31万元，</w:t>
      </w:r>
      <w:r>
        <w:rPr>
          <w:rFonts w:ascii="仿宋_GB2312" w:hAnsi="仿宋_GB2312" w:eastAsia="仿宋_GB2312"/>
          <w:b w:val="0"/>
          <w:sz w:val="32"/>
        </w:rPr>
        <w:t>占本年支出合计的99.18%。</w:t>
      </w:r>
      <w:r>
        <w:rPr>
          <w:rFonts w:ascii="仿宋_GB2312" w:hAnsi="仿宋_GB2312" w:eastAsia="仿宋_GB2312"/>
          <w:b/>
          <w:sz w:val="32"/>
        </w:rPr>
        <w:t>与上年相比，</w:t>
      </w:r>
      <w:r>
        <w:rPr>
          <w:rFonts w:ascii="仿宋_GB2312" w:hAnsi="仿宋_GB2312" w:eastAsia="仿宋_GB2312"/>
          <w:b w:val="0"/>
          <w:sz w:val="32"/>
        </w:rPr>
        <w:t>减少1,171.61万元，下降66.31%，主要原因是：上年度11幼、12幼、21幼、29幼在本单位核算，本年独立核算，导致人员及公用经费较上年减少。</w:t>
      </w:r>
      <w:r>
        <w:rPr>
          <w:rFonts w:ascii="仿宋_GB2312" w:hAnsi="仿宋_GB2312" w:eastAsia="仿宋_GB2312"/>
          <w:b/>
          <w:sz w:val="32"/>
        </w:rPr>
        <w:t>与年初预算相比,</w:t>
      </w:r>
      <w:r>
        <w:rPr>
          <w:rFonts w:ascii="仿宋_GB2312" w:hAnsi="仿宋_GB2312" w:eastAsia="仿宋_GB2312"/>
          <w:b w:val="0"/>
          <w:sz w:val="32"/>
        </w:rPr>
        <w:t>年初预算数549.77万元，决算数595.31万元，预决算差异率8.28%，主要原因是：年中追加学前免费教育经费项目、2024年自治区教育项目经费，导致预决算存在差异。</w:t>
      </w:r>
    </w:p>
    <w:p w14:paraId="7B414E33">
      <w:pPr>
        <w:spacing w:line="640" w:lineRule="exact"/>
        <w:ind w:firstLine="640"/>
        <w:jc w:val="both"/>
        <w:outlineLvl w:val="3"/>
      </w:pPr>
      <w:r>
        <w:rPr>
          <w:rFonts w:ascii="楷体_GB2312" w:hAnsi="楷体_GB2312" w:eastAsia="楷体_GB2312"/>
          <w:b/>
          <w:sz w:val="32"/>
        </w:rPr>
        <w:t>（二）一般公共预算财政拨款支出决算结构情况</w:t>
      </w:r>
    </w:p>
    <w:p w14:paraId="7E9C9F7D">
      <w:pPr>
        <w:spacing w:line="580" w:lineRule="exact"/>
        <w:ind w:firstLine="640"/>
        <w:jc w:val="both"/>
      </w:pPr>
      <w:r>
        <w:rPr>
          <w:rFonts w:ascii="仿宋_GB2312" w:hAnsi="仿宋_GB2312" w:eastAsia="仿宋_GB2312"/>
          <w:b w:val="0"/>
          <w:sz w:val="32"/>
        </w:rPr>
        <w:t>1.教育支出(类)595.31万元,占100.00%。</w:t>
      </w:r>
    </w:p>
    <w:p w14:paraId="267942F9">
      <w:pPr>
        <w:spacing w:line="640" w:lineRule="exact"/>
        <w:ind w:firstLine="640"/>
        <w:jc w:val="both"/>
        <w:outlineLvl w:val="3"/>
      </w:pPr>
      <w:r>
        <w:rPr>
          <w:rFonts w:ascii="楷体_GB2312" w:hAnsi="楷体_GB2312" w:eastAsia="楷体_GB2312"/>
          <w:b/>
          <w:sz w:val="32"/>
        </w:rPr>
        <w:t>（三）一般公共预算财政拨款支出决算具体情况</w:t>
      </w:r>
    </w:p>
    <w:p w14:paraId="48256DC8">
      <w:pPr>
        <w:spacing w:line="580" w:lineRule="exact"/>
        <w:ind w:firstLine="640"/>
        <w:jc w:val="both"/>
      </w:pPr>
      <w:r>
        <w:rPr>
          <w:rFonts w:ascii="仿宋_GB2312" w:hAnsi="仿宋_GB2312" w:eastAsia="仿宋_GB2312"/>
          <w:b w:val="0"/>
          <w:sz w:val="32"/>
        </w:rPr>
        <w:t>1.教育支出(类)普通教育(款)学前教育(项):支出决算数为595.31万元，比上年决算减少1,171.32万元，下降66.30%,主要原因是：上年度11幼、12幼、21幼、29幼在本单位核算，本年独立核算，导致人员及公用经费较上年减少。</w:t>
      </w:r>
    </w:p>
    <w:p w14:paraId="3025F57B">
      <w:pPr>
        <w:spacing w:line="580" w:lineRule="exact"/>
        <w:ind w:firstLine="640"/>
        <w:jc w:val="both"/>
      </w:pPr>
      <w:r>
        <w:rPr>
          <w:rFonts w:ascii="仿宋_GB2312" w:hAnsi="仿宋_GB2312" w:eastAsia="仿宋_GB2312"/>
          <w:b w:val="0"/>
          <w:sz w:val="32"/>
        </w:rPr>
        <w:t>2.教育支出(类)其他教育支出(款)其他教育支出(项):支出决算数为0.00万元，比上年决算减少0.29万元，下降100.00%,主要原因是：本年减少2023年自治区教育项目资金。</w:t>
      </w:r>
    </w:p>
    <w:p w14:paraId="454A7D88">
      <w:pPr>
        <w:spacing w:line="640" w:lineRule="exact"/>
        <w:ind w:firstLine="640"/>
        <w:jc w:val="both"/>
        <w:outlineLvl w:val="2"/>
      </w:pPr>
      <w:r>
        <w:rPr>
          <w:rFonts w:ascii="黑体" w:hAnsi="黑体" w:eastAsia="黑体"/>
          <w:sz w:val="32"/>
        </w:rPr>
        <w:t>六、一般公共预算财政拨款基本支出决算情况说明</w:t>
      </w:r>
    </w:p>
    <w:p w14:paraId="49B5AB11">
      <w:pPr>
        <w:spacing w:line="580" w:lineRule="exact"/>
        <w:ind w:firstLine="640"/>
        <w:jc w:val="both"/>
      </w:pPr>
      <w:r>
        <w:rPr>
          <w:rFonts w:ascii="仿宋_GB2312" w:hAnsi="仿宋_GB2312" w:eastAsia="仿宋_GB2312"/>
          <w:b w:val="0"/>
          <w:sz w:val="32"/>
        </w:rPr>
        <w:t>2024年度一般公共预算财政拨款基本支出550.53万元，其中：</w:t>
      </w:r>
      <w:r>
        <w:rPr>
          <w:rFonts w:ascii="仿宋_GB2312" w:hAnsi="仿宋_GB2312" w:eastAsia="仿宋_GB2312"/>
          <w:b/>
          <w:sz w:val="32"/>
        </w:rPr>
        <w:t>人员经费509.17万元，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7CDC9D02">
      <w:pPr>
        <w:spacing w:line="580" w:lineRule="exact"/>
        <w:ind w:firstLine="640"/>
        <w:jc w:val="both"/>
      </w:pPr>
      <w:r>
        <w:rPr>
          <w:rFonts w:ascii="仿宋_GB2312" w:hAnsi="仿宋_GB2312" w:eastAsia="仿宋_GB2312"/>
          <w:b/>
          <w:sz w:val="32"/>
        </w:rPr>
        <w:t>公用经费41.36万元，</w:t>
      </w:r>
      <w:r>
        <w:rPr>
          <w:rFonts w:ascii="仿宋_GB2312" w:hAnsi="仿宋_GB2312" w:eastAsia="仿宋_GB2312"/>
          <w:b w:val="0"/>
          <w:sz w:val="32"/>
        </w:rPr>
        <w:t>包括：办公费、咨询费、电费、邮电费、取暖费、差旅费、维修（护）费、培训费、专用材料费、工会经费、其他交通费用。</w:t>
      </w:r>
    </w:p>
    <w:p w14:paraId="140DBC56">
      <w:pPr>
        <w:spacing w:line="640" w:lineRule="exact"/>
        <w:ind w:firstLine="640"/>
        <w:jc w:val="both"/>
        <w:outlineLvl w:val="2"/>
      </w:pPr>
      <w:r>
        <w:rPr>
          <w:rFonts w:ascii="黑体" w:hAnsi="黑体" w:eastAsia="黑体"/>
          <w:sz w:val="32"/>
        </w:rPr>
        <w:t>七、政府性基金预算财政拨款收入支出决算情况说明</w:t>
      </w:r>
    </w:p>
    <w:p w14:paraId="583418D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A9A50B0">
      <w:pPr>
        <w:spacing w:line="640" w:lineRule="exact"/>
        <w:ind w:firstLine="640"/>
        <w:jc w:val="both"/>
        <w:outlineLvl w:val="2"/>
      </w:pPr>
      <w:r>
        <w:rPr>
          <w:rFonts w:ascii="黑体" w:hAnsi="黑体" w:eastAsia="黑体"/>
          <w:sz w:val="32"/>
        </w:rPr>
        <w:t>八、国有资本经营预算财政拨款收入支出决算情况说明</w:t>
      </w:r>
    </w:p>
    <w:p w14:paraId="1478D7A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3FABA83">
      <w:pPr>
        <w:spacing w:line="640" w:lineRule="exact"/>
        <w:ind w:firstLine="640"/>
        <w:jc w:val="both"/>
        <w:outlineLvl w:val="2"/>
      </w:pPr>
      <w:r>
        <w:rPr>
          <w:rFonts w:ascii="黑体" w:hAnsi="黑体" w:eastAsia="黑体"/>
          <w:sz w:val="32"/>
        </w:rPr>
        <w:t>九、财政拨款“三公”经费支出决算情况说明</w:t>
      </w:r>
    </w:p>
    <w:p w14:paraId="04F56D4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54111CE">
      <w:pPr>
        <w:spacing w:line="580" w:lineRule="exact"/>
        <w:ind w:firstLine="640"/>
        <w:jc w:val="both"/>
      </w:pPr>
      <w:r>
        <w:rPr>
          <w:rFonts w:ascii="仿宋_GB2312" w:hAnsi="仿宋_GB2312" w:eastAsia="仿宋_GB2312"/>
          <w:b/>
          <w:sz w:val="32"/>
        </w:rPr>
        <w:t>具体情况如下：</w:t>
      </w:r>
    </w:p>
    <w:p w14:paraId="4B7410D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CE3377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车辆为校车，非公务用车，经费在其他交通费中列支。</w:t>
      </w:r>
    </w:p>
    <w:p w14:paraId="0709C17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228619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DFB98AA">
      <w:pPr>
        <w:spacing w:line="640" w:lineRule="exact"/>
        <w:ind w:firstLine="640"/>
        <w:jc w:val="both"/>
        <w:outlineLvl w:val="2"/>
      </w:pPr>
      <w:r>
        <w:rPr>
          <w:rFonts w:ascii="黑体" w:hAnsi="黑体" w:eastAsia="黑体"/>
          <w:sz w:val="32"/>
        </w:rPr>
        <w:t>十、其他重要事项的情况说明</w:t>
      </w:r>
    </w:p>
    <w:p w14:paraId="74337F4D">
      <w:pPr>
        <w:spacing w:line="640" w:lineRule="exact"/>
        <w:ind w:firstLine="640"/>
        <w:jc w:val="both"/>
        <w:outlineLvl w:val="3"/>
      </w:pPr>
      <w:r>
        <w:rPr>
          <w:rFonts w:ascii="楷体_GB2312" w:hAnsi="楷体_GB2312" w:eastAsia="楷体_GB2312"/>
          <w:b/>
          <w:sz w:val="32"/>
        </w:rPr>
        <w:t>（一）机关运行经费及公用经费支出情况</w:t>
      </w:r>
    </w:p>
    <w:p w14:paraId="31225FD2">
      <w:pPr>
        <w:spacing w:line="580" w:lineRule="exact"/>
        <w:ind w:firstLine="640"/>
        <w:jc w:val="both"/>
      </w:pPr>
      <w:r>
        <w:rPr>
          <w:rFonts w:ascii="仿宋_GB2312" w:hAnsi="仿宋_GB2312" w:eastAsia="仿宋_GB2312"/>
          <w:b w:val="0"/>
          <w:sz w:val="32"/>
        </w:rPr>
        <w:t>2024年度乌鲁木齐市水磨沟区幼儿园（事业单位）公用经费支出41.36万元，比上年增加6.83万元，增长19.78%，主要原因是：本年电费较上年增加，导致公用经费较上年增加。</w:t>
      </w:r>
    </w:p>
    <w:p w14:paraId="7841541C">
      <w:pPr>
        <w:spacing w:line="640" w:lineRule="exact"/>
        <w:ind w:firstLine="640"/>
        <w:jc w:val="both"/>
        <w:outlineLvl w:val="3"/>
      </w:pPr>
      <w:r>
        <w:rPr>
          <w:rFonts w:ascii="楷体_GB2312" w:hAnsi="楷体_GB2312" w:eastAsia="楷体_GB2312"/>
          <w:b/>
          <w:sz w:val="32"/>
        </w:rPr>
        <w:t>（二）政府采购情况</w:t>
      </w:r>
    </w:p>
    <w:p w14:paraId="5C6D9091">
      <w:pPr>
        <w:spacing w:line="580" w:lineRule="exact"/>
        <w:ind w:firstLine="640"/>
        <w:jc w:val="both"/>
      </w:pPr>
      <w:r>
        <w:rPr>
          <w:rFonts w:ascii="仿宋_GB2312" w:hAnsi="仿宋_GB2312" w:eastAsia="仿宋_GB2312"/>
          <w:b w:val="0"/>
          <w:sz w:val="32"/>
        </w:rPr>
        <w:t>2024年度政府采购支出总额1.05万元，其中：政府采购货物支出0.49万元、政府采购工程支出0.00万元、政府采购服务支出0.56万元。</w:t>
      </w:r>
    </w:p>
    <w:p w14:paraId="4F70BA8E">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240B07E7">
      <w:pPr>
        <w:spacing w:line="640" w:lineRule="exact"/>
        <w:ind w:firstLine="640"/>
        <w:jc w:val="both"/>
        <w:outlineLvl w:val="3"/>
      </w:pPr>
      <w:r>
        <w:rPr>
          <w:rFonts w:ascii="楷体_GB2312" w:hAnsi="楷体_GB2312" w:eastAsia="楷体_GB2312"/>
          <w:b/>
          <w:sz w:val="32"/>
        </w:rPr>
        <w:t>（三）国有资产占用情况说明</w:t>
      </w:r>
    </w:p>
    <w:p w14:paraId="11E5DF8A">
      <w:pPr>
        <w:spacing w:line="580" w:lineRule="exact"/>
        <w:ind w:firstLine="640"/>
        <w:jc w:val="both"/>
      </w:pPr>
      <w:r>
        <w:rPr>
          <w:rFonts w:ascii="仿宋_GB2312" w:hAnsi="仿宋_GB2312" w:eastAsia="仿宋_GB2312"/>
          <w:b w:val="0"/>
          <w:sz w:val="32"/>
        </w:rPr>
        <w:t>截至2024年12月31日，房屋0.00平方米，价值0.00万元。车辆2辆，价值43.00万元，其中：副部（省）级及以上领导用车0辆、主要负责人用车0辆、机要通信用车0辆、应急保障用车0辆、执法执勤用车0辆、特种专业技术用车0辆、离退休干部服务用车0辆、其他用车2辆，其他用车主要是：幼儿园校车。单价100万元（含）以上设备（不含车辆）0台（套）。</w:t>
      </w:r>
    </w:p>
    <w:p w14:paraId="446A10A4">
      <w:pPr>
        <w:spacing w:line="640" w:lineRule="exact"/>
        <w:ind w:firstLine="640"/>
        <w:jc w:val="both"/>
        <w:outlineLvl w:val="2"/>
      </w:pPr>
      <w:r>
        <w:rPr>
          <w:rFonts w:ascii="黑体" w:hAnsi="黑体" w:eastAsia="黑体"/>
          <w:sz w:val="32"/>
        </w:rPr>
        <w:t>十一、预算绩效的情况说明</w:t>
      </w:r>
    </w:p>
    <w:p w14:paraId="2C9F4F8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620.57万元，实际执行总额600.24万元；预算绩效评价项目3个，全年预算数93.86万元，全年执行数44.79万元。预算绩效管理取得的成效：1、强化制度保障，各项目预算资金申请及审批程序完整、资金到位及时、支付有序，严格按照财政局支付要求及本单位财务管理制度及内控制度的规定履行审批流程及支付程序，项目管理过程合规，整体项目预算支出进度达到预期目标。2、加强专项资金绩效管理，通过专项绩效评价工作的开展，进一步加强专项支出的绩效管理，完善业务和财务管理制度，健全和落实财务监控机制，有效提高专项资金的使用效益和效率，确保财政资金的使用绩效。3、科学安排项目预算，根据下一年度的工作计划，提前预算、规范操作，严格控制开支范围，节约成本，提高效率。发现的问题及原因：一是自评标准不明确、指标设置不合理。自评过程中，往往存在评价标准模糊、不明确的情况，导致自评结果缺乏客观性和公正性。有时绩效指标设置过于简单或复杂，难以全面反映单位的工作实际，影响了自评的准确性。二是主观因素与认知偏差。单位成员在自评时可能存在自我认知偏差，过高或过低评价自己的工作绩效，或沟通不畅，可能导致信息误解或遗漏，导致自评结果不客观。三是部门职能不明确，个别工作分工不清晰，且人员培训和绩效考核制度不够完善，考核方案部分内容和人员名单更新滞后。下一步改进措施：一是完善评价指标体系。在制定评价指标时，应充分考虑单位的实际情况和发展目标，确保指标的科学性和合理性。同时，还应根据单位的特点和需求，灵活调整指标的权重分配，以更准确地反映单位的绩效。二是确保评价过程的公正性和透明度。应建立明确的评价标准和程序，确保评价过程的公正性和客观性。同时，还应加强对评价人员的培训和监督，提高他们的评价能力和专业素养。此外，还可以通过公开评价过程和结果的方式，增加评价的透明度。三是进一步明确部门职能，明晰明确工作分工，进一步完善人员培训和绩效考核制度。具体附整体支出绩效自评表，项目支出绩效自评表和评价报告。</w:t>
      </w:r>
    </w:p>
    <w:p w14:paraId="57C7B983">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DB7CCDB">
        <w:tblPrEx>
          <w:tblCellMar>
            <w:top w:w="0" w:type="dxa"/>
            <w:left w:w="108" w:type="dxa"/>
            <w:bottom w:w="0" w:type="dxa"/>
            <w:right w:w="108" w:type="dxa"/>
          </w:tblCellMar>
        </w:tblPrEx>
        <w:tc>
          <w:tcPr>
            <w:tcW w:w="8840" w:type="dxa"/>
            <w:gridSpan w:val="8"/>
            <w:vAlign w:val="center"/>
          </w:tcPr>
          <w:p w14:paraId="4F132543">
            <w:pPr>
              <w:jc w:val="center"/>
            </w:pPr>
            <w:r>
              <w:rPr>
                <w:rFonts w:ascii="宋体" w:hAnsi="宋体" w:eastAsia="宋体"/>
                <w:sz w:val="24"/>
              </w:rPr>
              <w:t>单位整体支出绩效自评表</w:t>
            </w:r>
          </w:p>
        </w:tc>
      </w:tr>
      <w:tr w14:paraId="11F019D0">
        <w:tblPrEx>
          <w:tblCellMar>
            <w:top w:w="0" w:type="dxa"/>
            <w:left w:w="108" w:type="dxa"/>
            <w:bottom w:w="0" w:type="dxa"/>
            <w:right w:w="108" w:type="dxa"/>
          </w:tblCellMar>
        </w:tblPrEx>
        <w:tc>
          <w:tcPr>
            <w:tcW w:w="8840" w:type="dxa"/>
            <w:gridSpan w:val="8"/>
            <w:vAlign w:val="center"/>
          </w:tcPr>
          <w:p w14:paraId="72CD618F">
            <w:pPr>
              <w:jc w:val="center"/>
            </w:pPr>
            <w:r>
              <w:rPr>
                <w:rFonts w:ascii="宋体" w:hAnsi="宋体" w:eastAsia="宋体"/>
                <w:sz w:val="24"/>
              </w:rPr>
              <w:t>（2024年度）</w:t>
            </w:r>
          </w:p>
        </w:tc>
      </w:tr>
      <w:tr w14:paraId="117D960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161CF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9D3029">
            <w:pPr>
              <w:jc w:val="center"/>
            </w:pPr>
            <w:r>
              <w:rPr>
                <w:rFonts w:ascii="宋体" w:hAnsi="宋体" w:eastAsia="宋体"/>
                <w:sz w:val="16"/>
              </w:rPr>
              <w:t>乌鲁木齐市水磨沟区幼儿园</w:t>
            </w:r>
          </w:p>
        </w:tc>
      </w:tr>
      <w:tr w14:paraId="5E140DA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C592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C40E56">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5E3A6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D3046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71DB75">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B02C0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D78B1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109449">
            <w:pPr>
              <w:jc w:val="center"/>
            </w:pPr>
            <w:r>
              <w:rPr>
                <w:rFonts w:ascii="宋体" w:hAnsi="宋体" w:eastAsia="宋体"/>
                <w:sz w:val="16"/>
              </w:rPr>
              <w:t>得分</w:t>
            </w:r>
          </w:p>
        </w:tc>
      </w:tr>
      <w:tr w14:paraId="05EE45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18CE6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9F7CF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AAFD81">
            <w:pPr>
              <w:jc w:val="center"/>
            </w:pPr>
            <w:r>
              <w:rPr>
                <w:rFonts w:ascii="宋体" w:hAnsi="宋体" w:eastAsia="宋体"/>
                <w:sz w:val="16"/>
              </w:rPr>
              <w:t>549.78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05BD86">
            <w:pPr>
              <w:jc w:val="center"/>
            </w:pPr>
            <w:r>
              <w:rPr>
                <w:rFonts w:ascii="宋体" w:hAnsi="宋体" w:eastAsia="宋体"/>
                <w:sz w:val="16"/>
              </w:rPr>
              <w:t>620.57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354DF0">
            <w:pPr>
              <w:jc w:val="center"/>
            </w:pPr>
            <w:r>
              <w:rPr>
                <w:rFonts w:ascii="宋体" w:hAnsi="宋体" w:eastAsia="宋体"/>
                <w:sz w:val="16"/>
              </w:rPr>
              <w:t>600.24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0BA8A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7F3F83">
            <w:pPr>
              <w:jc w:val="center"/>
            </w:pPr>
            <w:r>
              <w:rPr>
                <w:rFonts w:ascii="宋体" w:hAnsi="宋体" w:eastAsia="宋体"/>
                <w:sz w:val="16"/>
              </w:rPr>
              <w:t>96.72%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789D19">
            <w:pPr>
              <w:jc w:val="center"/>
            </w:pPr>
            <w:r>
              <w:rPr>
                <w:rFonts w:ascii="宋体" w:hAnsi="宋体" w:eastAsia="宋体"/>
                <w:sz w:val="16"/>
              </w:rPr>
              <w:t>9.67</w:t>
            </w:r>
          </w:p>
        </w:tc>
      </w:tr>
      <w:tr w14:paraId="5353BB3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AE612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C45AAB">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2F42DB">
            <w:pPr>
              <w:jc w:val="center"/>
            </w:pPr>
            <w:r>
              <w:rPr>
                <w:rFonts w:ascii="宋体" w:hAnsi="宋体" w:eastAsia="宋体"/>
                <w:sz w:val="16"/>
              </w:rPr>
              <w:t>48.68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DC6D48">
            <w:pPr>
              <w:jc w:val="center"/>
            </w:pPr>
            <w:r>
              <w:rPr>
                <w:rFonts w:ascii="宋体" w:hAnsi="宋体" w:eastAsia="宋体"/>
                <w:sz w:val="16"/>
              </w:rPr>
              <w:t>20.76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86B858">
            <w:pPr>
              <w:jc w:val="center"/>
            </w:pPr>
            <w:r>
              <w:rPr>
                <w:rFonts w:ascii="宋体" w:hAnsi="宋体" w:eastAsia="宋体"/>
                <w:sz w:val="16"/>
              </w:rPr>
              <w:t>20.76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CE62C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880E5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417B5B">
            <w:pPr>
              <w:jc w:val="center"/>
            </w:pPr>
            <w:r>
              <w:rPr>
                <w:rFonts w:ascii="宋体" w:hAnsi="宋体" w:eastAsia="宋体"/>
                <w:sz w:val="16"/>
              </w:rPr>
              <w:t>-</w:t>
            </w:r>
          </w:p>
        </w:tc>
      </w:tr>
      <w:tr w14:paraId="48DC9DA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49689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A86156">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B8DE42">
            <w:pPr>
              <w:jc w:val="center"/>
            </w:pPr>
            <w:r>
              <w:rPr>
                <w:rFonts w:ascii="宋体" w:hAnsi="宋体" w:eastAsia="宋体"/>
                <w:sz w:val="16"/>
              </w:rPr>
              <w:t>489.54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2E89B3">
            <w:pPr>
              <w:jc w:val="center"/>
            </w:pPr>
            <w:r>
              <w:rPr>
                <w:rFonts w:ascii="宋体" w:hAnsi="宋体" w:eastAsia="宋体"/>
                <w:sz w:val="16"/>
              </w:rPr>
              <w:t>599.81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42F299">
            <w:pPr>
              <w:jc w:val="center"/>
            </w:pPr>
            <w:r>
              <w:rPr>
                <w:rFonts w:ascii="宋体" w:hAnsi="宋体" w:eastAsia="宋体"/>
                <w:sz w:val="16"/>
              </w:rPr>
              <w:t>579.48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C6FC5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5E20A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D05A4C">
            <w:pPr>
              <w:jc w:val="center"/>
            </w:pPr>
            <w:r>
              <w:rPr>
                <w:rFonts w:ascii="宋体" w:hAnsi="宋体" w:eastAsia="宋体"/>
                <w:sz w:val="16"/>
              </w:rPr>
              <w:t>-</w:t>
            </w:r>
          </w:p>
        </w:tc>
      </w:tr>
      <w:tr w14:paraId="1C5FD3F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CCCF7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972E2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621EA0">
            <w:pPr>
              <w:jc w:val="center"/>
            </w:pPr>
            <w:r>
              <w:rPr>
                <w:rFonts w:ascii="宋体" w:hAnsi="宋体" w:eastAsia="宋体"/>
                <w:sz w:val="16"/>
              </w:rPr>
              <w:t>11.56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72DE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B0D15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2841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4E6EA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6BF6BB">
            <w:pPr>
              <w:jc w:val="center"/>
            </w:pPr>
            <w:r>
              <w:rPr>
                <w:rFonts w:ascii="宋体" w:hAnsi="宋体" w:eastAsia="宋体"/>
                <w:sz w:val="16"/>
              </w:rPr>
              <w:t>-</w:t>
            </w:r>
          </w:p>
        </w:tc>
      </w:tr>
      <w:tr w14:paraId="14F674F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9D42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7F7046">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CBCCAE">
            <w:pPr>
              <w:jc w:val="center"/>
            </w:pPr>
            <w:r>
              <w:rPr>
                <w:rFonts w:ascii="宋体" w:hAnsi="宋体" w:eastAsia="宋体"/>
                <w:sz w:val="16"/>
              </w:rPr>
              <w:t>实际完成情况</w:t>
            </w:r>
          </w:p>
        </w:tc>
      </w:tr>
      <w:tr w14:paraId="40F9088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F26D07"/>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C7FCE2">
            <w:pPr>
              <w:jc w:val="both"/>
            </w:pPr>
            <w:r>
              <w:rPr>
                <w:rFonts w:ascii="宋体" w:hAnsi="宋体" w:eastAsia="宋体"/>
                <w:sz w:val="16"/>
              </w:rPr>
              <w:t>一、巩固发展更加公平而有质量的基础教育方面：①加强高素质专业化教师队伍建设，教师培训合格率达100%，区级及以上教研活动参与次数大于等于3次；②学籍管理、教学管理合规率大于90%等；③重大紧急信息报送及时率大于90%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幼儿保育、教育；②落实招生工作制度，严格学籍管理、教务管理情况；③完成深化教育评价改革、学生综合素质评价工作；④深入实施教育质量提升工程，大力发展</w:t>
            </w:r>
            <w:r>
              <w:rPr>
                <w:rFonts w:hint="eastAsia" w:ascii="宋体" w:hAnsi="宋体"/>
                <w:sz w:val="16"/>
                <w:lang w:eastAsia="zh-CN"/>
              </w:rPr>
              <w:t>学前教育</w:t>
            </w:r>
            <w:r>
              <w:rPr>
                <w:rFonts w:ascii="宋体" w:hAnsi="宋体" w:eastAsia="宋体"/>
                <w:sz w:val="16"/>
              </w:rPr>
              <w:t>，做优做强服务区域发展战略的学前教育，加强高素质专业化教师队伍建设，办好人民满意的教育。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三、教育教学环境管理方面：①开展精神文明建设，创建文明校园；②统筹发展和安全，落实安全生产工作责任，加强校园</w:t>
            </w:r>
            <w:r>
              <w:rPr>
                <w:rFonts w:hint="eastAsia" w:ascii="宋体" w:hAnsi="宋体"/>
                <w:sz w:val="16"/>
                <w:lang w:eastAsia="zh-CN"/>
              </w:rPr>
              <w:t>防范</w:t>
            </w:r>
            <w:r>
              <w:rPr>
                <w:rFonts w:ascii="宋体" w:hAnsi="宋体" w:eastAsia="宋体"/>
                <w:sz w:val="16"/>
              </w:rPr>
              <w:t>电信诈骗宣传教育，保障学校师生工作学习环境安全和生命财产安全；③严格审计、财务管理工作，进一步完善财务管理制度，保障幼儿园教育教学工作正常运转。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C0F05B">
            <w:pPr>
              <w:jc w:val="both"/>
            </w:pPr>
            <w:r>
              <w:rPr>
                <w:rFonts w:ascii="宋体" w:hAnsi="宋体" w:eastAsia="宋体"/>
                <w:sz w:val="16"/>
              </w:rPr>
              <w:t>1.完成区教研活动8次，提升了教职工专业素养。</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2.各项资金使用规范，流程合规，没有挪用、私占的现象。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3.学籍管理、教育管理合规，在册人数与学籍人数相对应。</w:t>
            </w:r>
          </w:p>
        </w:tc>
      </w:tr>
      <w:tr w14:paraId="0602C19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09C919">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1A0B7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7F646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498A7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F535BA">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6C0B0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3D56B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9AB73F">
            <w:pPr>
              <w:jc w:val="center"/>
            </w:pPr>
            <w:r>
              <w:rPr>
                <w:rFonts w:ascii="宋体" w:hAnsi="宋体" w:eastAsia="宋体"/>
                <w:sz w:val="16"/>
              </w:rPr>
              <w:t>得分</w:t>
            </w:r>
          </w:p>
        </w:tc>
      </w:tr>
      <w:tr w14:paraId="2B019EF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FEE3D">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1A2935">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0D0687">
            <w:pPr>
              <w:jc w:val="center"/>
            </w:pPr>
            <w:r>
              <w:rPr>
                <w:rFonts w:ascii="宋体" w:hAnsi="宋体" w:eastAsia="宋体"/>
                <w:sz w:val="16"/>
              </w:rPr>
              <w:t>学籍管理、教学管理合规率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73BF9">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7632BD">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07E45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EA85F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BBB65D">
            <w:pPr>
              <w:jc w:val="center"/>
            </w:pPr>
            <w:r>
              <w:rPr>
                <w:rFonts w:ascii="宋体" w:hAnsi="宋体" w:eastAsia="宋体"/>
                <w:sz w:val="16"/>
              </w:rPr>
              <w:t>30</w:t>
            </w:r>
          </w:p>
        </w:tc>
      </w:tr>
      <w:tr w14:paraId="7708EBE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CC429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3AD3E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0E2315">
            <w:pPr>
              <w:jc w:val="center"/>
            </w:pPr>
            <w:r>
              <w:rPr>
                <w:rFonts w:ascii="宋体" w:hAnsi="宋体" w:eastAsia="宋体"/>
                <w:sz w:val="16"/>
              </w:rPr>
              <w:t>区级教研活动参与次数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941AA4">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FFC2D1">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78C0B7">
            <w:pPr>
              <w:jc w:val="center"/>
            </w:pPr>
            <w:r>
              <w:rPr>
                <w:rFonts w:ascii="宋体" w:hAnsi="宋体" w:eastAsia="宋体"/>
                <w:sz w:val="16"/>
              </w:rPr>
              <w:t>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1E6B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802092">
            <w:pPr>
              <w:jc w:val="center"/>
            </w:pPr>
            <w:r>
              <w:rPr>
                <w:rFonts w:ascii="宋体" w:hAnsi="宋体" w:eastAsia="宋体"/>
                <w:sz w:val="16"/>
              </w:rPr>
              <w:t>30</w:t>
            </w:r>
          </w:p>
        </w:tc>
      </w:tr>
      <w:tr w14:paraId="668D8CF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F5738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A89FE">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21B0CB">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10036C">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D99ACE">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27478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13E36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CAAB6F">
            <w:pPr>
              <w:jc w:val="center"/>
            </w:pPr>
            <w:r>
              <w:rPr>
                <w:rFonts w:ascii="宋体" w:hAnsi="宋体" w:eastAsia="宋体"/>
                <w:sz w:val="16"/>
              </w:rPr>
              <w:t>30</w:t>
            </w:r>
          </w:p>
        </w:tc>
      </w:tr>
    </w:tbl>
    <w:p w14:paraId="2C002FFD">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02"/>
        <w:gridCol w:w="696"/>
        <w:gridCol w:w="602"/>
        <w:gridCol w:w="630"/>
        <w:gridCol w:w="612"/>
        <w:gridCol w:w="602"/>
        <w:gridCol w:w="612"/>
        <w:gridCol w:w="856"/>
        <w:gridCol w:w="696"/>
        <w:gridCol w:w="630"/>
        <w:gridCol w:w="697"/>
      </w:tblGrid>
      <w:tr w14:paraId="027F2FF7">
        <w:tblPrEx>
          <w:tblCellMar>
            <w:top w:w="0" w:type="dxa"/>
            <w:left w:w="108" w:type="dxa"/>
            <w:bottom w:w="0" w:type="dxa"/>
            <w:right w:w="108" w:type="dxa"/>
          </w:tblCellMar>
        </w:tblPrEx>
        <w:tc>
          <w:tcPr>
            <w:tcW w:w="8848" w:type="dxa"/>
            <w:gridSpan w:val="14"/>
            <w:vAlign w:val="center"/>
          </w:tcPr>
          <w:p w14:paraId="3FD7C9CF">
            <w:pPr>
              <w:jc w:val="center"/>
            </w:pPr>
            <w:r>
              <w:rPr>
                <w:rFonts w:ascii="宋体" w:hAnsi="宋体" w:eastAsia="宋体"/>
                <w:sz w:val="24"/>
              </w:rPr>
              <w:t>项目支出绩效自评表</w:t>
            </w:r>
          </w:p>
        </w:tc>
      </w:tr>
      <w:tr w14:paraId="36D7FB46">
        <w:tblPrEx>
          <w:tblCellMar>
            <w:top w:w="0" w:type="dxa"/>
            <w:left w:w="108" w:type="dxa"/>
            <w:bottom w:w="0" w:type="dxa"/>
            <w:right w:w="108" w:type="dxa"/>
          </w:tblCellMar>
        </w:tblPrEx>
        <w:tc>
          <w:tcPr>
            <w:tcW w:w="8848" w:type="dxa"/>
            <w:gridSpan w:val="14"/>
            <w:vAlign w:val="center"/>
          </w:tcPr>
          <w:p w14:paraId="41B4A3C5">
            <w:pPr>
              <w:jc w:val="center"/>
            </w:pPr>
            <w:r>
              <w:rPr>
                <w:rFonts w:ascii="宋体" w:hAnsi="宋体" w:eastAsia="宋体"/>
                <w:sz w:val="24"/>
              </w:rPr>
              <w:t>(2024年度)</w:t>
            </w:r>
          </w:p>
        </w:tc>
      </w:tr>
      <w:tr w14:paraId="062303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2B29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9CE6B5">
            <w:pPr>
              <w:jc w:val="center"/>
            </w:pPr>
            <w:r>
              <w:rPr>
                <w:rFonts w:ascii="宋体" w:hAnsi="宋体" w:eastAsia="宋体"/>
                <w:sz w:val="16"/>
              </w:rPr>
              <w:t>乌财科教</w:t>
            </w:r>
            <w:r>
              <w:rPr>
                <w:rFonts w:hint="eastAsia" w:ascii="宋体" w:hAnsi="宋体"/>
                <w:sz w:val="16"/>
                <w:lang w:eastAsia="zh-CN"/>
              </w:rPr>
              <w:t>〔2023〕169号</w:t>
            </w:r>
            <w:r>
              <w:rPr>
                <w:rFonts w:ascii="宋体" w:hAnsi="宋体" w:eastAsia="宋体"/>
                <w:sz w:val="16"/>
              </w:rPr>
              <w:t>关于提前下达2024年新疆西藏等地区教育特殊补助资金的通知</w:t>
            </w:r>
          </w:p>
        </w:tc>
      </w:tr>
      <w:tr w14:paraId="114169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36B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DBAEA0">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1CF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17CEA6">
            <w:pPr>
              <w:jc w:val="center"/>
            </w:pPr>
            <w:r>
              <w:rPr>
                <w:rFonts w:ascii="宋体" w:hAnsi="宋体" w:eastAsia="宋体"/>
                <w:sz w:val="16"/>
              </w:rPr>
              <w:t>乌鲁木齐市水磨沟区幼儿园</w:t>
            </w:r>
          </w:p>
        </w:tc>
      </w:tr>
      <w:tr w14:paraId="756E5D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017D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74AD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040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862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69E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8EB9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1B17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BD21">
            <w:pPr>
              <w:jc w:val="center"/>
            </w:pPr>
            <w:r>
              <w:rPr>
                <w:rFonts w:ascii="宋体" w:hAnsi="宋体" w:eastAsia="宋体"/>
                <w:sz w:val="16"/>
              </w:rPr>
              <w:t>得分</w:t>
            </w:r>
          </w:p>
        </w:tc>
      </w:tr>
      <w:tr w14:paraId="72117E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E4B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4C4C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35F84">
            <w:pPr>
              <w:jc w:val="center"/>
            </w:pPr>
            <w:r>
              <w:rPr>
                <w:rFonts w:ascii="宋体" w:hAnsi="宋体" w:eastAsia="宋体"/>
                <w:sz w:val="16"/>
              </w:rPr>
              <w:t>29.98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9B34D">
            <w:pPr>
              <w:jc w:val="center"/>
            </w:pPr>
            <w:r>
              <w:rPr>
                <w:rFonts w:ascii="宋体" w:hAnsi="宋体" w:eastAsia="宋体"/>
                <w:sz w:val="16"/>
              </w:rPr>
              <w:t>29.98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F774A">
            <w:pPr>
              <w:jc w:val="center"/>
            </w:pPr>
            <w:r>
              <w:rPr>
                <w:rFonts w:ascii="宋体" w:hAnsi="宋体" w:eastAsia="宋体"/>
                <w:sz w:val="16"/>
              </w:rPr>
              <w:t>7.06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D3A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2AA6B">
            <w:pPr>
              <w:jc w:val="center"/>
            </w:pPr>
            <w:r>
              <w:rPr>
                <w:rFonts w:ascii="宋体" w:hAnsi="宋体" w:eastAsia="宋体"/>
                <w:sz w:val="16"/>
              </w:rPr>
              <w:t>23.6%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20093">
            <w:pPr>
              <w:jc w:val="center"/>
            </w:pPr>
            <w:r>
              <w:rPr>
                <w:rFonts w:ascii="宋体" w:hAnsi="宋体" w:eastAsia="宋体"/>
                <w:sz w:val="16"/>
              </w:rPr>
              <w:t>2.3</w:t>
            </w:r>
            <w:r>
              <w:rPr>
                <w:rFonts w:hint="eastAsia" w:ascii="宋体" w:hAnsi="宋体"/>
                <w:sz w:val="16"/>
                <w:lang w:val="en-US" w:eastAsia="zh-CN"/>
              </w:rPr>
              <w:t>6</w:t>
            </w:r>
            <w:r>
              <w:rPr>
                <w:rFonts w:ascii="宋体" w:hAnsi="宋体" w:eastAsia="宋体"/>
                <w:sz w:val="16"/>
              </w:rPr>
              <w:t>分</w:t>
            </w:r>
          </w:p>
        </w:tc>
      </w:tr>
      <w:tr w14:paraId="0391FA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1D5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DE87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252D3">
            <w:pPr>
              <w:jc w:val="center"/>
            </w:pPr>
            <w:r>
              <w:rPr>
                <w:rFonts w:ascii="宋体" w:hAnsi="宋体" w:eastAsia="宋体"/>
                <w:sz w:val="16"/>
              </w:rPr>
              <w:t>29.98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36746">
            <w:pPr>
              <w:jc w:val="center"/>
            </w:pPr>
            <w:r>
              <w:rPr>
                <w:rFonts w:ascii="宋体" w:hAnsi="宋体" w:eastAsia="宋体"/>
                <w:sz w:val="16"/>
              </w:rPr>
              <w:t>29.98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155C2">
            <w:pPr>
              <w:jc w:val="center"/>
            </w:pPr>
            <w:r>
              <w:rPr>
                <w:rFonts w:ascii="宋体" w:hAnsi="宋体" w:eastAsia="宋体"/>
                <w:sz w:val="16"/>
              </w:rPr>
              <w:t>7.06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828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652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F8A4">
            <w:pPr>
              <w:jc w:val="center"/>
            </w:pPr>
            <w:r>
              <w:rPr>
                <w:rFonts w:ascii="宋体" w:hAnsi="宋体" w:eastAsia="宋体"/>
                <w:sz w:val="16"/>
              </w:rPr>
              <w:t>-</w:t>
            </w:r>
          </w:p>
        </w:tc>
      </w:tr>
      <w:tr w14:paraId="7B3441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257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1BC7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4F1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5F0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8FA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37C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19D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52A60">
            <w:pPr>
              <w:jc w:val="center"/>
            </w:pPr>
            <w:r>
              <w:rPr>
                <w:rFonts w:ascii="宋体" w:hAnsi="宋体" w:eastAsia="宋体"/>
                <w:sz w:val="16"/>
              </w:rPr>
              <w:t>-</w:t>
            </w:r>
          </w:p>
        </w:tc>
      </w:tr>
      <w:tr w14:paraId="0F2713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36147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AA0D5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9A1FF5">
            <w:pPr>
              <w:jc w:val="center"/>
            </w:pPr>
            <w:r>
              <w:rPr>
                <w:rFonts w:ascii="宋体" w:hAnsi="宋体" w:eastAsia="宋体"/>
                <w:sz w:val="16"/>
              </w:rPr>
              <w:t>总体目标完成情况</w:t>
            </w:r>
          </w:p>
        </w:tc>
      </w:tr>
      <w:tr w14:paraId="1C65A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A2CC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1291F1">
            <w:pPr>
              <w:jc w:val="both"/>
            </w:pPr>
            <w:r>
              <w:rPr>
                <w:rFonts w:ascii="宋体" w:hAnsi="宋体" w:eastAsia="宋体"/>
                <w:sz w:val="16"/>
              </w:rPr>
              <w:t>该资金用于支付幼儿伙食补助、读本费、园舍维修费、公用经费等。项目全面普及农村学前三年免费教育，围绕优先发展农村教育事业的目标，持续改善办园条件，提高农村基础教育质量。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F2362C">
            <w:pPr>
              <w:jc w:val="both"/>
            </w:pPr>
            <w:r>
              <w:rPr>
                <w:rFonts w:ascii="宋体" w:hAnsi="宋体" w:eastAsia="宋体"/>
                <w:sz w:val="16"/>
              </w:rPr>
              <w:t>该项目用于支付电费、电话费、保险费等，项目资金有结余。由于使用了上年结转资金支付了部分经费，导致该项目资金本年度未完全使用，通过该项目的实施也达到了提高幼儿园教学水平，保障幼儿园正常教育教学工作的开展，改善办学条件的目标。</w:t>
            </w:r>
          </w:p>
        </w:tc>
      </w:tr>
      <w:tr w14:paraId="584FF0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06DE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D0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DFA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D37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FDF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DDEE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4923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28F4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42A2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058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F6A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15B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D15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A019F">
            <w:pPr>
              <w:jc w:val="center"/>
            </w:pPr>
            <w:r>
              <w:rPr>
                <w:rFonts w:ascii="宋体" w:hAnsi="宋体" w:eastAsia="宋体"/>
                <w:sz w:val="16"/>
              </w:rPr>
              <w:t>偏差原因分析及改进措施</w:t>
            </w:r>
          </w:p>
        </w:tc>
      </w:tr>
      <w:tr w14:paraId="6FD9FD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B6E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8E99A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3D0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50FBF">
            <w:pPr>
              <w:jc w:val="center"/>
            </w:pPr>
            <w:r>
              <w:rPr>
                <w:rFonts w:ascii="宋体" w:hAnsi="宋体" w:eastAsia="宋体"/>
                <w:sz w:val="16"/>
              </w:rPr>
              <w:t>学前幼儿人数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749E">
            <w:pPr>
              <w:jc w:val="center"/>
            </w:pPr>
            <w:r>
              <w:rPr>
                <w:rFonts w:ascii="宋体" w:hAnsi="宋体" w:eastAsia="宋体"/>
                <w:sz w:val="16"/>
              </w:rPr>
              <w:t>=62人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78B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DFED2">
            <w:pPr>
              <w:jc w:val="center"/>
            </w:pPr>
            <w:r>
              <w:rPr>
                <w:rFonts w:ascii="宋体" w:hAnsi="宋体" w:eastAsia="宋体"/>
                <w:sz w:val="16"/>
              </w:rPr>
              <w:t>51人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B5F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9F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BC1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60E48">
            <w:pPr>
              <w:jc w:val="center"/>
            </w:pPr>
            <w:r>
              <w:rPr>
                <w:rFonts w:ascii="宋体" w:hAnsi="宋体" w:eastAsia="宋体"/>
                <w:sz w:val="16"/>
              </w:rPr>
              <w:t>=45人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5938">
            <w:pPr>
              <w:jc w:val="center"/>
            </w:pPr>
            <w:r>
              <w:rPr>
                <w:rFonts w:ascii="宋体" w:hAnsi="宋体" w:eastAsia="宋体"/>
                <w:sz w:val="16"/>
              </w:rPr>
              <w:t>72.58%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6262">
            <w:pPr>
              <w:jc w:val="center"/>
            </w:pPr>
            <w:r>
              <w:rPr>
                <w:rFonts w:ascii="宋体" w:hAnsi="宋体" w:eastAsia="宋体"/>
                <w:sz w:val="16"/>
              </w:rPr>
              <w:t>7.26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AB17">
            <w:pPr>
              <w:jc w:val="center"/>
            </w:pPr>
            <w:r>
              <w:rPr>
                <w:rFonts w:ascii="宋体" w:hAnsi="宋体" w:eastAsia="宋体"/>
                <w:sz w:val="16"/>
              </w:rPr>
              <w:t>本年在册幼儿人数减少，故存在偏差。</w:t>
            </w:r>
          </w:p>
        </w:tc>
      </w:tr>
      <w:tr w14:paraId="4A45D8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24B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59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F0E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B096">
            <w:pPr>
              <w:jc w:val="center"/>
            </w:pPr>
            <w:r>
              <w:rPr>
                <w:rFonts w:ascii="宋体" w:hAnsi="宋体" w:eastAsia="宋体"/>
                <w:sz w:val="16"/>
              </w:rPr>
              <w:t>园舍维修次数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CC4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B7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B753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7D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72E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BA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30F05">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2E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91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659E">
            <w:pPr>
              <w:jc w:val="center"/>
            </w:pPr>
            <w:r>
              <w:rPr>
                <w:rFonts w:ascii="宋体" w:hAnsi="宋体" w:eastAsia="宋体"/>
                <w:sz w:val="16"/>
              </w:rPr>
              <w:t>本年未开展维修工作，故该指标完成率为0%，偏差100%。</w:t>
            </w:r>
          </w:p>
        </w:tc>
      </w:tr>
      <w:tr w14:paraId="43D4B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AF0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9CF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ADE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C366">
            <w:pPr>
              <w:jc w:val="center"/>
            </w:pPr>
            <w:r>
              <w:rPr>
                <w:rFonts w:ascii="宋体" w:hAnsi="宋体" w:eastAsia="宋体"/>
                <w:sz w:val="16"/>
              </w:rPr>
              <w:t>园舍维修验收合格率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EC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218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2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77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19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26D1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297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64C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996A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720DA">
            <w:pPr>
              <w:jc w:val="center"/>
            </w:pPr>
            <w:r>
              <w:rPr>
                <w:rFonts w:ascii="宋体" w:hAnsi="宋体" w:eastAsia="宋体"/>
                <w:sz w:val="16"/>
              </w:rPr>
              <w:t>本年未开展维修工作，故该指标完成率为0%，偏差100%。</w:t>
            </w:r>
          </w:p>
        </w:tc>
      </w:tr>
      <w:tr w14:paraId="6B814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261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FB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401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F409">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62CB">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4A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8ABAF">
            <w:pPr>
              <w:jc w:val="center"/>
            </w:pPr>
            <w:r>
              <w:rPr>
                <w:rFonts w:ascii="宋体" w:hAnsi="宋体" w:eastAsia="宋体"/>
                <w:sz w:val="16"/>
              </w:rPr>
              <w:t>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86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AD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713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01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8F55">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0BB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0B42">
            <w:pPr>
              <w:jc w:val="center"/>
            </w:pPr>
            <w:r>
              <w:rPr>
                <w:rFonts w:ascii="宋体" w:hAnsi="宋体" w:eastAsia="宋体"/>
                <w:sz w:val="16"/>
              </w:rPr>
              <w:t>本年度资金能够及时支付，完成率高，存在偏差。</w:t>
            </w:r>
          </w:p>
        </w:tc>
      </w:tr>
      <w:tr w14:paraId="23D7FF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2D5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E75C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9C6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B8A9A">
            <w:pPr>
              <w:jc w:val="center"/>
            </w:pPr>
            <w:r>
              <w:rPr>
                <w:rFonts w:ascii="宋体" w:hAnsi="宋体" w:eastAsia="宋体"/>
                <w:sz w:val="16"/>
              </w:rPr>
              <w:t>伙食费人均支付标准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51B19">
            <w:pPr>
              <w:jc w:val="center"/>
            </w:pPr>
            <w:r>
              <w:rPr>
                <w:rFonts w:ascii="宋体" w:hAnsi="宋体" w:eastAsia="宋体"/>
                <w:sz w:val="16"/>
              </w:rPr>
              <w:t>=1450元/人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0781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6DFB2">
            <w:pPr>
              <w:jc w:val="center"/>
            </w:pPr>
            <w:r>
              <w:rPr>
                <w:rFonts w:ascii="宋体" w:hAnsi="宋体" w:eastAsia="宋体"/>
                <w:sz w:val="16"/>
              </w:rPr>
              <w:t>1020元/人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B9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77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2BB2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304B">
            <w:pPr>
              <w:jc w:val="center"/>
            </w:pPr>
            <w:r>
              <w:rPr>
                <w:rFonts w:ascii="宋体" w:hAnsi="宋体" w:eastAsia="宋体"/>
                <w:sz w:val="16"/>
              </w:rPr>
              <w:t>=0元/人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DB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CAD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154E">
            <w:pPr>
              <w:jc w:val="center"/>
            </w:pPr>
            <w:r>
              <w:rPr>
                <w:rFonts w:ascii="宋体" w:hAnsi="宋体" w:eastAsia="宋体"/>
                <w:sz w:val="16"/>
              </w:rPr>
              <w:t>因使用上年结转资金，本年资金未使用。</w:t>
            </w:r>
          </w:p>
        </w:tc>
      </w:tr>
      <w:tr w14:paraId="17F08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FC7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CE0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EE9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42E1B">
            <w:pPr>
              <w:jc w:val="center"/>
            </w:pPr>
            <w:r>
              <w:rPr>
                <w:rFonts w:ascii="宋体" w:hAnsi="宋体" w:eastAsia="宋体"/>
                <w:sz w:val="16"/>
              </w:rPr>
              <w:t>园舍维修成本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FD8C">
            <w:pPr>
              <w:jc w:val="center"/>
            </w:pPr>
            <w:r>
              <w:rPr>
                <w:rFonts w:ascii="宋体" w:hAnsi="宋体" w:eastAsia="宋体"/>
                <w:sz w:val="16"/>
              </w:rPr>
              <w:t>=69000元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D704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B6C9A">
            <w:pPr>
              <w:jc w:val="center"/>
            </w:pPr>
            <w:r>
              <w:rPr>
                <w:rFonts w:ascii="宋体" w:hAnsi="宋体" w:eastAsia="宋体"/>
                <w:sz w:val="16"/>
              </w:rPr>
              <w:t>46500元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2F4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3F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6B7AF">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EA54">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03B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6D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4C92F">
            <w:pPr>
              <w:jc w:val="center"/>
            </w:pPr>
            <w:r>
              <w:rPr>
                <w:rFonts w:ascii="宋体" w:hAnsi="宋体" w:eastAsia="宋体"/>
                <w:sz w:val="16"/>
              </w:rPr>
              <w:t>本年未开展维修工作，故该指标完成率为0%，偏差100%。</w:t>
            </w:r>
          </w:p>
        </w:tc>
      </w:tr>
      <w:tr w14:paraId="3B932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58D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27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285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F6A1">
            <w:pPr>
              <w:jc w:val="center"/>
            </w:pPr>
            <w:r>
              <w:rPr>
                <w:rFonts w:ascii="宋体" w:hAnsi="宋体" w:eastAsia="宋体"/>
                <w:sz w:val="16"/>
              </w:rPr>
              <w:t>书本费支付标准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5802">
            <w:pPr>
              <w:jc w:val="center"/>
            </w:pPr>
            <w:r>
              <w:rPr>
                <w:rFonts w:ascii="宋体" w:hAnsi="宋体" w:eastAsia="宋体"/>
                <w:sz w:val="16"/>
              </w:rPr>
              <w:t>=130元/人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2BF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7BB5B">
            <w:pPr>
              <w:jc w:val="center"/>
            </w:pPr>
            <w:r>
              <w:rPr>
                <w:rFonts w:ascii="宋体" w:hAnsi="宋体" w:eastAsia="宋体"/>
                <w:sz w:val="16"/>
              </w:rPr>
              <w:t>=130元/人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F2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461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12002">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5087">
            <w:pPr>
              <w:jc w:val="center"/>
            </w:pPr>
            <w:r>
              <w:rPr>
                <w:rFonts w:ascii="宋体" w:hAnsi="宋体" w:eastAsia="宋体"/>
                <w:sz w:val="16"/>
              </w:rPr>
              <w:t>=0元/人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F1A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3A7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AEBF0">
            <w:pPr>
              <w:jc w:val="center"/>
            </w:pPr>
            <w:r>
              <w:rPr>
                <w:rFonts w:ascii="宋体" w:hAnsi="宋体" w:eastAsia="宋体"/>
                <w:sz w:val="16"/>
              </w:rPr>
              <w:t>因使用上年结转资金，本年资金未使用。</w:t>
            </w:r>
          </w:p>
        </w:tc>
      </w:tr>
      <w:tr w14:paraId="4117EA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B56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352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8CE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38896">
            <w:pPr>
              <w:jc w:val="center"/>
            </w:pPr>
            <w:r>
              <w:rPr>
                <w:rFonts w:ascii="宋体" w:hAnsi="宋体" w:eastAsia="宋体"/>
                <w:sz w:val="16"/>
              </w:rPr>
              <w:t>保教费支付标准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AB2D5">
            <w:pPr>
              <w:jc w:val="center"/>
            </w:pPr>
            <w:r>
              <w:rPr>
                <w:rFonts w:ascii="宋体" w:hAnsi="宋体" w:eastAsia="宋体"/>
                <w:sz w:val="16"/>
              </w:rPr>
              <w:t>=2142元/人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107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D97E4">
            <w:pPr>
              <w:jc w:val="center"/>
            </w:pPr>
            <w:r>
              <w:rPr>
                <w:rFonts w:ascii="宋体" w:hAnsi="宋体" w:eastAsia="宋体"/>
                <w:sz w:val="16"/>
              </w:rPr>
              <w:t>=3618元/人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6E8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18B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DBBBE">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187B3">
            <w:pPr>
              <w:jc w:val="center"/>
            </w:pPr>
            <w:r>
              <w:rPr>
                <w:rFonts w:ascii="宋体" w:hAnsi="宋体" w:eastAsia="宋体"/>
                <w:sz w:val="16"/>
              </w:rPr>
              <w:t>=1568.89元/人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BE6B">
            <w:pPr>
              <w:jc w:val="center"/>
            </w:pPr>
            <w:r>
              <w:rPr>
                <w:rFonts w:ascii="宋体" w:hAnsi="宋体" w:eastAsia="宋体"/>
                <w:sz w:val="16"/>
              </w:rPr>
              <w:t>73.24%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145B">
            <w:pPr>
              <w:jc w:val="center"/>
            </w:pPr>
            <w:r>
              <w:rPr>
                <w:rFonts w:ascii="宋体" w:hAnsi="宋体" w:eastAsia="宋体"/>
                <w:sz w:val="16"/>
              </w:rPr>
              <w:t>3.66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17504">
            <w:pPr>
              <w:jc w:val="center"/>
            </w:pPr>
            <w:r>
              <w:rPr>
                <w:rFonts w:ascii="宋体" w:hAnsi="宋体" w:eastAsia="宋体"/>
                <w:sz w:val="16"/>
              </w:rPr>
              <w:t>未达到支付标准，故存在偏差。</w:t>
            </w:r>
          </w:p>
        </w:tc>
      </w:tr>
      <w:tr w14:paraId="4A85EC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DA3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9C2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4A7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F593C">
            <w:pPr>
              <w:jc w:val="center"/>
            </w:pPr>
            <w:r>
              <w:rPr>
                <w:rFonts w:ascii="宋体" w:hAnsi="宋体" w:eastAsia="宋体"/>
                <w:sz w:val="16"/>
              </w:rPr>
              <w:t>保障幼儿园教育教学工作正常运转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2382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47E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E5DB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0A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22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186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407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23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999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DB1C">
            <w:pPr>
              <w:jc w:val="center"/>
            </w:pPr>
          </w:p>
        </w:tc>
      </w:tr>
      <w:tr w14:paraId="356489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B631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1411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A3F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B154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6C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1CC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A46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6A7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E22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B8E50">
            <w:pPr>
              <w:jc w:val="center"/>
            </w:pPr>
            <w:r>
              <w:rPr>
                <w:rFonts w:ascii="宋体" w:hAnsi="宋体" w:eastAsia="宋体"/>
                <w:sz w:val="16"/>
              </w:rPr>
              <w:t>53.27分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17BE8"/>
        </w:tc>
      </w:tr>
    </w:tbl>
    <w:p w14:paraId="2363C02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96"/>
        <w:gridCol w:w="632"/>
        <w:gridCol w:w="632"/>
      </w:tblGrid>
      <w:tr w14:paraId="5514ED6A">
        <w:tc>
          <w:tcPr>
            <w:tcW w:w="8848" w:type="dxa"/>
            <w:gridSpan w:val="14"/>
            <w:vAlign w:val="center"/>
          </w:tcPr>
          <w:p w14:paraId="5C4FF83B">
            <w:pPr>
              <w:jc w:val="center"/>
            </w:pPr>
            <w:r>
              <w:rPr>
                <w:rFonts w:ascii="宋体" w:hAnsi="宋体" w:eastAsia="宋体"/>
                <w:sz w:val="24"/>
              </w:rPr>
              <w:t>项目支出绩效自评表</w:t>
            </w:r>
          </w:p>
        </w:tc>
      </w:tr>
      <w:tr w14:paraId="209871E9">
        <w:tblPrEx>
          <w:tblCellMar>
            <w:top w:w="0" w:type="dxa"/>
            <w:left w:w="108" w:type="dxa"/>
            <w:bottom w:w="0" w:type="dxa"/>
            <w:right w:w="108" w:type="dxa"/>
          </w:tblCellMar>
        </w:tblPrEx>
        <w:tc>
          <w:tcPr>
            <w:tcW w:w="8848" w:type="dxa"/>
            <w:gridSpan w:val="14"/>
            <w:vAlign w:val="center"/>
          </w:tcPr>
          <w:p w14:paraId="3007EF95">
            <w:pPr>
              <w:jc w:val="center"/>
            </w:pPr>
            <w:r>
              <w:rPr>
                <w:rFonts w:ascii="宋体" w:hAnsi="宋体" w:eastAsia="宋体"/>
                <w:sz w:val="24"/>
              </w:rPr>
              <w:t>(2024年度)</w:t>
            </w:r>
          </w:p>
        </w:tc>
      </w:tr>
      <w:tr w14:paraId="15F895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F8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B7D43F">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631B3B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522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05E4EC">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70B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B8DE56">
            <w:pPr>
              <w:jc w:val="center"/>
            </w:pPr>
            <w:r>
              <w:rPr>
                <w:rFonts w:ascii="宋体" w:hAnsi="宋体" w:eastAsia="宋体"/>
                <w:sz w:val="16"/>
              </w:rPr>
              <w:t>乌鲁木齐市水磨沟区幼儿园</w:t>
            </w:r>
          </w:p>
        </w:tc>
      </w:tr>
      <w:tr w14:paraId="227FF7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9C8EA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22BB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1A7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B73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538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26E3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ABE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E9995">
            <w:pPr>
              <w:jc w:val="center"/>
            </w:pPr>
            <w:r>
              <w:rPr>
                <w:rFonts w:ascii="宋体" w:hAnsi="宋体" w:eastAsia="宋体"/>
                <w:sz w:val="16"/>
              </w:rPr>
              <w:t>得分</w:t>
            </w:r>
          </w:p>
        </w:tc>
      </w:tr>
      <w:tr w14:paraId="3200C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B15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2C8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900B3">
            <w:pPr>
              <w:jc w:val="center"/>
            </w:pPr>
            <w:r>
              <w:rPr>
                <w:rFonts w:ascii="宋体" w:hAnsi="宋体" w:eastAsia="宋体"/>
                <w:sz w:val="16"/>
              </w:rPr>
              <w:t>13.71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0D401">
            <w:pPr>
              <w:jc w:val="center"/>
            </w:pPr>
            <w:r>
              <w:rPr>
                <w:rFonts w:ascii="宋体" w:hAnsi="宋体" w:eastAsia="宋体"/>
                <w:sz w:val="16"/>
              </w:rPr>
              <w:t>13.71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7A21B">
            <w:pPr>
              <w:jc w:val="center"/>
            </w:pPr>
            <w:r>
              <w:rPr>
                <w:rFonts w:ascii="宋体" w:hAnsi="宋体" w:eastAsia="宋体"/>
                <w:sz w:val="16"/>
              </w:rPr>
              <w:t>13.71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4A5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E78D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AB335">
            <w:pPr>
              <w:jc w:val="center"/>
            </w:pPr>
            <w:r>
              <w:rPr>
                <w:rFonts w:ascii="宋体" w:hAnsi="宋体" w:eastAsia="宋体"/>
                <w:sz w:val="16"/>
              </w:rPr>
              <w:t>10.00分</w:t>
            </w:r>
          </w:p>
        </w:tc>
      </w:tr>
      <w:tr w14:paraId="173760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75D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562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82748">
            <w:pPr>
              <w:jc w:val="center"/>
            </w:pPr>
            <w:r>
              <w:rPr>
                <w:rFonts w:ascii="宋体" w:hAnsi="宋体" w:eastAsia="宋体"/>
                <w:sz w:val="16"/>
              </w:rPr>
              <w:t>13.71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D1060">
            <w:pPr>
              <w:jc w:val="center"/>
            </w:pPr>
            <w:r>
              <w:rPr>
                <w:rFonts w:ascii="宋体" w:hAnsi="宋体" w:eastAsia="宋体"/>
                <w:sz w:val="16"/>
              </w:rPr>
              <w:t>13.71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CF93F">
            <w:pPr>
              <w:jc w:val="center"/>
            </w:pPr>
            <w:r>
              <w:rPr>
                <w:rFonts w:ascii="宋体" w:hAnsi="宋体" w:eastAsia="宋体"/>
                <w:sz w:val="16"/>
              </w:rPr>
              <w:t>13.71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7D5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0E1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EFD9">
            <w:pPr>
              <w:jc w:val="center"/>
            </w:pPr>
            <w:r>
              <w:rPr>
                <w:rFonts w:ascii="宋体" w:hAnsi="宋体" w:eastAsia="宋体"/>
                <w:sz w:val="16"/>
              </w:rPr>
              <w:t>-</w:t>
            </w:r>
          </w:p>
        </w:tc>
      </w:tr>
      <w:tr w14:paraId="633822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C2E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113D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AE8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E42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181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D24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3A5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F29AF">
            <w:pPr>
              <w:jc w:val="center"/>
            </w:pPr>
            <w:r>
              <w:rPr>
                <w:rFonts w:ascii="宋体" w:hAnsi="宋体" w:eastAsia="宋体"/>
                <w:sz w:val="16"/>
              </w:rPr>
              <w:t>-</w:t>
            </w:r>
          </w:p>
        </w:tc>
      </w:tr>
      <w:tr w14:paraId="251387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D4D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E9F30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AFB944">
            <w:pPr>
              <w:jc w:val="center"/>
            </w:pPr>
            <w:r>
              <w:rPr>
                <w:rFonts w:ascii="宋体" w:hAnsi="宋体" w:eastAsia="宋体"/>
                <w:sz w:val="16"/>
              </w:rPr>
              <w:t>总体目标完成情况</w:t>
            </w:r>
          </w:p>
        </w:tc>
      </w:tr>
      <w:tr w14:paraId="5BCFE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A48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9F4EBD">
            <w:pPr>
              <w:jc w:val="both"/>
            </w:pPr>
            <w:r>
              <w:rPr>
                <w:rFonts w:ascii="宋体" w:hAnsi="宋体" w:eastAsia="宋体"/>
                <w:sz w:val="16"/>
              </w:rPr>
              <w:t>本项目由人事局核定我园临聘教师人数，财政局根据人数补充自聘教师经费。该项目发放人数31人，本年度发放一次，每人每次发放补助金4347元。该项目具体用于提高临聘教师的工资待遇从而提高临聘教师的工资积极性，促进教育公平。保障临聘教师的基本生活需求，促进教育事业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D4A4BD">
            <w:pPr>
              <w:jc w:val="both"/>
            </w:pPr>
            <w:r>
              <w:rPr>
                <w:rFonts w:ascii="宋体" w:hAnsi="宋体" w:eastAsia="宋体"/>
                <w:sz w:val="16"/>
              </w:rPr>
              <w:t>截至评价期，该项目已落实发放单位自聘代课教师工资，发放资金为13.71万元，项目共计13.71万元，全额发放到代课教师手中。通过发放代课教师工资和社保，提高了代课教师工资待遇，提高了薪资水平，可以保障了教师的基本生活需求，缩小了他们与正式教师的待遇差距，促进了教育公平。</w:t>
            </w:r>
            <w:r>
              <w:rPr>
                <w:rFonts w:ascii="宋体" w:hAnsi="宋体" w:eastAsia="宋体"/>
                <w:sz w:val="16"/>
              </w:rPr>
              <w:br w:type="textWrapping"/>
            </w:r>
          </w:p>
        </w:tc>
      </w:tr>
      <w:tr w14:paraId="4A7102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7396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5265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DADF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09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6179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55B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D2BA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22FC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55D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1C7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6C7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9D3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C8E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E490">
            <w:pPr>
              <w:jc w:val="center"/>
            </w:pPr>
            <w:r>
              <w:rPr>
                <w:rFonts w:ascii="宋体" w:hAnsi="宋体" w:eastAsia="宋体"/>
                <w:sz w:val="16"/>
              </w:rPr>
              <w:t>偏差原因分析及改进措施</w:t>
            </w:r>
          </w:p>
        </w:tc>
      </w:tr>
      <w:tr w14:paraId="75CE76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3CB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AD833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52E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BA43">
            <w:pPr>
              <w:jc w:val="center"/>
            </w:pPr>
            <w:r>
              <w:rPr>
                <w:rFonts w:ascii="宋体" w:hAnsi="宋体" w:eastAsia="宋体"/>
                <w:sz w:val="16"/>
              </w:rPr>
              <w:t>自聘教师人数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858A0">
            <w:pPr>
              <w:jc w:val="center"/>
            </w:pPr>
            <w:r>
              <w:rPr>
                <w:rFonts w:ascii="宋体" w:hAnsi="宋体" w:eastAsia="宋体"/>
                <w:sz w:val="16"/>
              </w:rPr>
              <w:t>&gt;=31人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B56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E77A7">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6EF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CA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90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22F79">
            <w:pPr>
              <w:jc w:val="center"/>
            </w:pPr>
            <w:r>
              <w:rPr>
                <w:rFonts w:ascii="宋体" w:hAnsi="宋体" w:eastAsia="宋体"/>
                <w:sz w:val="16"/>
              </w:rPr>
              <w: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2AFF">
            <w:pPr>
              <w:jc w:val="center"/>
            </w:pPr>
            <w:r>
              <w:rPr>
                <w:rFonts w:ascii="宋体" w:hAnsi="宋体" w:eastAsia="宋体"/>
                <w:sz w:val="16"/>
              </w:rPr>
              <w:t>83.87%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434C">
            <w:pPr>
              <w:jc w:val="center"/>
            </w:pPr>
            <w:r>
              <w:rPr>
                <w:rFonts w:ascii="宋体" w:hAnsi="宋体" w:eastAsia="宋体"/>
                <w:sz w:val="16"/>
              </w:rPr>
              <w:t>6.71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43DCE">
            <w:pPr>
              <w:jc w:val="center"/>
            </w:pPr>
            <w:r>
              <w:rPr>
                <w:rFonts w:ascii="宋体" w:hAnsi="宋体" w:eastAsia="宋体"/>
                <w:sz w:val="16"/>
              </w:rPr>
              <w:t>因该项目经费较少，使用其他经费支出</w:t>
            </w:r>
          </w:p>
        </w:tc>
      </w:tr>
      <w:tr w14:paraId="2A60EF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EE0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D22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5D7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72C1">
            <w:pPr>
              <w:jc w:val="center"/>
            </w:pPr>
            <w:r>
              <w:rPr>
                <w:rFonts w:ascii="宋体" w:hAnsi="宋体" w:eastAsia="宋体"/>
                <w:sz w:val="16"/>
              </w:rPr>
              <w:t>发放工资次数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C53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213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CE58">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62CD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53A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3D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65E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03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5AE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C215">
            <w:pPr>
              <w:jc w:val="center"/>
            </w:pPr>
          </w:p>
        </w:tc>
      </w:tr>
      <w:tr w14:paraId="41959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597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39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247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0695">
            <w:pPr>
              <w:jc w:val="center"/>
            </w:pPr>
            <w:r>
              <w:rPr>
                <w:rFonts w:ascii="宋体" w:hAnsi="宋体" w:eastAsia="宋体"/>
                <w:sz w:val="16"/>
              </w:rPr>
              <w:t>社保缴纳次数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607B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B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6DA3">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89E8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D4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0BB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4AC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D0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F17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787D6">
            <w:pPr>
              <w:jc w:val="center"/>
            </w:pPr>
          </w:p>
        </w:tc>
      </w:tr>
      <w:tr w14:paraId="114DF7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E08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BFC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F4F0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5AC9F">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2B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0EB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9101">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02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61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9DB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6F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A5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1B2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26A5">
            <w:pPr>
              <w:jc w:val="center"/>
            </w:pPr>
          </w:p>
        </w:tc>
      </w:tr>
      <w:tr w14:paraId="22EF8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10A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95E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539D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96A90">
            <w:pPr>
              <w:jc w:val="center"/>
            </w:pPr>
            <w:r>
              <w:rPr>
                <w:rFonts w:ascii="宋体" w:hAnsi="宋体" w:eastAsia="宋体"/>
                <w:sz w:val="16"/>
              </w:rPr>
              <w:t>资金到位及时性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AFD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177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E717F">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38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BA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94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11F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73F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0AE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00CA8">
            <w:pPr>
              <w:jc w:val="center"/>
            </w:pPr>
          </w:p>
        </w:tc>
      </w:tr>
      <w:tr w14:paraId="5EEE7B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7DA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A7E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55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38012">
            <w:pPr>
              <w:jc w:val="center"/>
            </w:pPr>
            <w:r>
              <w:rPr>
                <w:rFonts w:ascii="宋体" w:hAnsi="宋体" w:eastAsia="宋体"/>
                <w:sz w:val="16"/>
              </w:rPr>
              <w:t>工资和社保发放人均标准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6317">
            <w:pPr>
              <w:jc w:val="center"/>
            </w:pPr>
            <w:r>
              <w:rPr>
                <w:rFonts w:ascii="宋体" w:hAnsi="宋体" w:eastAsia="宋体"/>
                <w:sz w:val="16"/>
              </w:rPr>
              <w:t>&lt;=4347元/人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08C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AB7C9">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B5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4D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1C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A4E4">
            <w:pPr>
              <w:jc w:val="center"/>
            </w:pPr>
            <w:r>
              <w:rPr>
                <w:rFonts w:ascii="宋体" w:hAnsi="宋体" w:eastAsia="宋体"/>
                <w:sz w:val="16"/>
              </w:rPr>
              <w:t>=5273元/人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8E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C6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EFF4">
            <w:pPr>
              <w:jc w:val="center"/>
            </w:pPr>
            <w:r>
              <w:rPr>
                <w:rFonts w:ascii="宋体" w:hAnsi="宋体" w:eastAsia="宋体"/>
                <w:sz w:val="16"/>
              </w:rPr>
              <w:t>因该项目经费较少，使用其他经费支出</w:t>
            </w:r>
          </w:p>
        </w:tc>
      </w:tr>
      <w:tr w14:paraId="59EAB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043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28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7627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FFF0D">
            <w:pPr>
              <w:jc w:val="center"/>
            </w:pPr>
            <w:r>
              <w:rPr>
                <w:rFonts w:ascii="宋体" w:hAnsi="宋体" w:eastAsia="宋体"/>
                <w:sz w:val="16"/>
              </w:rPr>
              <w:t>提高幼儿园教育教学水平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CE8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778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5B4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9120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BA9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37D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AD6FA">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D4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B344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2FBD">
            <w:pPr>
              <w:jc w:val="center"/>
            </w:pPr>
          </w:p>
        </w:tc>
      </w:tr>
      <w:tr w14:paraId="51C7C81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771BF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855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641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269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56B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653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0F5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D76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757D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7314">
            <w:pPr>
              <w:jc w:val="center"/>
            </w:pPr>
            <w:r>
              <w:rPr>
                <w:rFonts w:ascii="宋体" w:hAnsi="宋体" w:eastAsia="宋体"/>
                <w:sz w:val="16"/>
              </w:rPr>
              <w:t>78.71分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C40210"/>
        </w:tc>
      </w:tr>
    </w:tbl>
    <w:p w14:paraId="4EECFC3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2E0FD22F">
        <w:tblPrEx>
          <w:tblCellMar>
            <w:top w:w="0" w:type="dxa"/>
            <w:left w:w="108" w:type="dxa"/>
            <w:bottom w:w="0" w:type="dxa"/>
            <w:right w:w="108" w:type="dxa"/>
          </w:tblCellMar>
        </w:tblPrEx>
        <w:tc>
          <w:tcPr>
            <w:tcW w:w="8848" w:type="dxa"/>
            <w:gridSpan w:val="14"/>
            <w:vAlign w:val="center"/>
          </w:tcPr>
          <w:p w14:paraId="63C66237">
            <w:pPr>
              <w:jc w:val="center"/>
            </w:pPr>
            <w:r>
              <w:rPr>
                <w:rFonts w:ascii="宋体" w:hAnsi="宋体" w:eastAsia="宋体"/>
                <w:sz w:val="24"/>
              </w:rPr>
              <w:t>项目支出绩效自评表</w:t>
            </w:r>
          </w:p>
        </w:tc>
      </w:tr>
      <w:tr w14:paraId="32A10D94">
        <w:tblPrEx>
          <w:tblCellMar>
            <w:top w:w="0" w:type="dxa"/>
            <w:left w:w="108" w:type="dxa"/>
            <w:bottom w:w="0" w:type="dxa"/>
            <w:right w:w="108" w:type="dxa"/>
          </w:tblCellMar>
        </w:tblPrEx>
        <w:tc>
          <w:tcPr>
            <w:tcW w:w="8848" w:type="dxa"/>
            <w:gridSpan w:val="14"/>
            <w:vAlign w:val="center"/>
          </w:tcPr>
          <w:p w14:paraId="588DF11B">
            <w:pPr>
              <w:jc w:val="center"/>
            </w:pPr>
            <w:r>
              <w:rPr>
                <w:rFonts w:ascii="宋体" w:hAnsi="宋体" w:eastAsia="宋体"/>
                <w:sz w:val="24"/>
              </w:rPr>
              <w:t>(2024年度)</w:t>
            </w:r>
          </w:p>
        </w:tc>
      </w:tr>
      <w:tr w14:paraId="0F8B4F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4E9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BAB415">
            <w:pPr>
              <w:jc w:val="center"/>
            </w:pPr>
            <w:r>
              <w:rPr>
                <w:rFonts w:ascii="宋体" w:hAnsi="宋体" w:eastAsia="宋体"/>
                <w:sz w:val="16"/>
              </w:rPr>
              <w:t>学前免费教育经费</w:t>
            </w:r>
          </w:p>
        </w:tc>
      </w:tr>
      <w:tr w14:paraId="7362B3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158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5C4EE4">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34C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241BA6">
            <w:pPr>
              <w:jc w:val="center"/>
            </w:pPr>
            <w:r>
              <w:rPr>
                <w:rFonts w:ascii="宋体" w:hAnsi="宋体" w:eastAsia="宋体"/>
                <w:sz w:val="16"/>
              </w:rPr>
              <w:t>乌鲁木齐市水磨沟区幼儿园</w:t>
            </w:r>
          </w:p>
        </w:tc>
      </w:tr>
      <w:tr w14:paraId="3CD87E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73FD6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EAF9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043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AFFB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600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BEDE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60B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042B3">
            <w:pPr>
              <w:jc w:val="center"/>
            </w:pPr>
            <w:r>
              <w:rPr>
                <w:rFonts w:ascii="宋体" w:hAnsi="宋体" w:eastAsia="宋体"/>
                <w:sz w:val="16"/>
              </w:rPr>
              <w:t>得分</w:t>
            </w:r>
          </w:p>
        </w:tc>
      </w:tr>
      <w:tr w14:paraId="383DA1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951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287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28B0C">
            <w:pPr>
              <w:jc w:val="center"/>
            </w:pPr>
            <w:r>
              <w:rPr>
                <w:rFonts w:ascii="宋体" w:hAnsi="宋体" w:eastAsia="宋体"/>
                <w:sz w:val="16"/>
              </w:rPr>
              <w:t>50.17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BCA73">
            <w:pPr>
              <w:jc w:val="center"/>
            </w:pPr>
            <w:r>
              <w:rPr>
                <w:rFonts w:ascii="宋体" w:hAnsi="宋体" w:eastAsia="宋体"/>
                <w:sz w:val="16"/>
              </w:rPr>
              <w:t>50.17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A2D58">
            <w:pPr>
              <w:jc w:val="center"/>
            </w:pPr>
            <w:r>
              <w:rPr>
                <w:rFonts w:ascii="宋体" w:hAnsi="宋体" w:eastAsia="宋体"/>
                <w:sz w:val="16"/>
              </w:rPr>
              <w:t>24.02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94D7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D5123">
            <w:pPr>
              <w:jc w:val="center"/>
            </w:pPr>
            <w:r>
              <w:rPr>
                <w:rFonts w:ascii="宋体" w:hAnsi="宋体" w:eastAsia="宋体"/>
                <w:sz w:val="16"/>
              </w:rPr>
              <w:t>47.9%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2C0DE">
            <w:pPr>
              <w:jc w:val="center"/>
            </w:pPr>
            <w:r>
              <w:rPr>
                <w:rFonts w:ascii="宋体" w:hAnsi="宋体" w:eastAsia="宋体"/>
                <w:sz w:val="16"/>
              </w:rPr>
              <w:t>4.79分</w:t>
            </w:r>
          </w:p>
        </w:tc>
      </w:tr>
      <w:tr w14:paraId="16A40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24F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4FB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CFAED">
            <w:pPr>
              <w:jc w:val="center"/>
            </w:pPr>
            <w:r>
              <w:rPr>
                <w:rFonts w:ascii="宋体" w:hAnsi="宋体" w:eastAsia="宋体"/>
                <w:sz w:val="16"/>
              </w:rPr>
              <w:t>50.17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F5FCB">
            <w:pPr>
              <w:jc w:val="center"/>
            </w:pPr>
            <w:r>
              <w:rPr>
                <w:rFonts w:ascii="宋体" w:hAnsi="宋体" w:eastAsia="宋体"/>
                <w:sz w:val="16"/>
              </w:rPr>
              <w:t>50.17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6163D">
            <w:pPr>
              <w:jc w:val="center"/>
            </w:pPr>
            <w:r>
              <w:rPr>
                <w:rFonts w:ascii="宋体" w:hAnsi="宋体" w:eastAsia="宋体"/>
                <w:sz w:val="16"/>
              </w:rPr>
              <w:t>24.02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08D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F33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34EF">
            <w:pPr>
              <w:jc w:val="center"/>
            </w:pPr>
            <w:r>
              <w:rPr>
                <w:rFonts w:ascii="宋体" w:hAnsi="宋体" w:eastAsia="宋体"/>
                <w:sz w:val="16"/>
              </w:rPr>
              <w:t>-</w:t>
            </w:r>
          </w:p>
        </w:tc>
      </w:tr>
      <w:tr w14:paraId="76032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BCE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342F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9D7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6EE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F27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C0D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34F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9DAD">
            <w:pPr>
              <w:jc w:val="center"/>
            </w:pPr>
            <w:r>
              <w:rPr>
                <w:rFonts w:ascii="宋体" w:hAnsi="宋体" w:eastAsia="宋体"/>
                <w:sz w:val="16"/>
              </w:rPr>
              <w:t>-</w:t>
            </w:r>
          </w:p>
        </w:tc>
      </w:tr>
      <w:tr w14:paraId="6B9C04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0B3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C7529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8F7C73">
            <w:pPr>
              <w:jc w:val="center"/>
            </w:pPr>
            <w:r>
              <w:rPr>
                <w:rFonts w:ascii="宋体" w:hAnsi="宋体" w:eastAsia="宋体"/>
                <w:sz w:val="16"/>
              </w:rPr>
              <w:t>总体目标完成情况</w:t>
            </w:r>
          </w:p>
        </w:tc>
      </w:tr>
      <w:tr w14:paraId="4BCEE9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12AD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B95E7E">
            <w:pPr>
              <w:jc w:val="both"/>
            </w:pPr>
            <w:r>
              <w:rPr>
                <w:rFonts w:ascii="宋体" w:hAnsi="宋体" w:eastAsia="宋体"/>
                <w:sz w:val="16"/>
              </w:rPr>
              <w:t>本项目按照教育年报数据核定我园幼儿人数，财政局根据人数补充学前教育经费50.17万元。该项目具体用于项目资金用于保障人员工资及公用，园内维修及文化建设改造项目使用；全面帮助幼儿园提升教育教学质量，改善幼儿园办学管理水平，切实推进新疆学前教育事业发展，促进教育公平。保障学前教育需求，促进教育事业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A49758">
            <w:pPr>
              <w:jc w:val="both"/>
            </w:pPr>
            <w:r>
              <w:rPr>
                <w:rFonts w:ascii="宋体" w:hAnsi="宋体" w:eastAsia="宋体"/>
                <w:sz w:val="16"/>
              </w:rPr>
              <w:t>截至评价期，该项目实际使用资金为24.02万元，项目共计50.17万元，该项目用于项目资金用于保障日常公用，园内维修及文化建设改造项目使用；全面帮助幼儿园提升教育教学质量，改善幼儿园办学管理水平，减轻幼儿家庭经济负担，切实推进新疆学前教育事业发展，促进教育公平。保障学前教育需求，促进教育事业的发展。</w:t>
            </w:r>
          </w:p>
        </w:tc>
      </w:tr>
      <w:tr w14:paraId="405B5F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5B37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AFA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13B1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4E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281E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91AD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C2E3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07CB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433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6B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155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DA5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998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777C8">
            <w:pPr>
              <w:jc w:val="center"/>
            </w:pPr>
            <w:r>
              <w:rPr>
                <w:rFonts w:ascii="宋体" w:hAnsi="宋体" w:eastAsia="宋体"/>
                <w:sz w:val="16"/>
              </w:rPr>
              <w:t>偏差原因分析及改进措施</w:t>
            </w:r>
          </w:p>
        </w:tc>
      </w:tr>
      <w:tr w14:paraId="03F399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30C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4CB6A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EB1ED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28E9">
            <w:pPr>
              <w:jc w:val="center"/>
            </w:pPr>
            <w:r>
              <w:rPr>
                <w:rFonts w:ascii="宋体" w:hAnsi="宋体" w:eastAsia="宋体"/>
                <w:sz w:val="16"/>
              </w:rPr>
              <w:t>补助政策受益学生人数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7A459">
            <w:pPr>
              <w:jc w:val="center"/>
            </w:pPr>
            <w:r>
              <w:rPr>
                <w:rFonts w:ascii="宋体" w:hAnsi="宋体" w:eastAsia="宋体"/>
                <w:sz w:val="16"/>
              </w:rPr>
              <w:t>&gt;=655人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8522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E67B">
            <w:pPr>
              <w:jc w:val="center"/>
            </w:pPr>
            <w:r>
              <w:rPr>
                <w:rFonts w:ascii="宋体" w:hAnsi="宋体" w:eastAsia="宋体"/>
                <w:sz w:val="16"/>
              </w:rPr>
              <w:t>660人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DF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5CD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4C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7D1C">
            <w:pPr>
              <w:jc w:val="center"/>
            </w:pPr>
            <w:r>
              <w:rPr>
                <w:rFonts w:ascii="宋体" w:hAnsi="宋体" w:eastAsia="宋体"/>
                <w:sz w:val="16"/>
              </w:rPr>
              <w:t>=926人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44A7">
            <w:pPr>
              <w:jc w:val="center"/>
            </w:pPr>
            <w:r>
              <w:rPr>
                <w:rFonts w:ascii="宋体" w:hAnsi="宋体" w:eastAsia="宋体"/>
                <w:sz w:val="16"/>
              </w:rPr>
              <w:t>141.37%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47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1C60E">
            <w:pPr>
              <w:jc w:val="center"/>
            </w:pPr>
            <w:r>
              <w:rPr>
                <w:rFonts w:ascii="宋体" w:hAnsi="宋体" w:eastAsia="宋体"/>
                <w:sz w:val="16"/>
              </w:rPr>
              <w:t>因38幼扩班，幼儿人数增加。</w:t>
            </w:r>
          </w:p>
        </w:tc>
      </w:tr>
      <w:tr w14:paraId="26FC00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A03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A3E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407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B4608">
            <w:pPr>
              <w:jc w:val="center"/>
            </w:pPr>
            <w:r>
              <w:rPr>
                <w:rFonts w:ascii="宋体" w:hAnsi="宋体" w:eastAsia="宋体"/>
                <w:sz w:val="16"/>
              </w:rPr>
              <w:t>日常购买物品支出类别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F672F">
            <w:pPr>
              <w:jc w:val="center"/>
            </w:pPr>
            <w:r>
              <w:rPr>
                <w:rFonts w:ascii="宋体" w:hAnsi="宋体" w:eastAsia="宋体"/>
                <w:sz w:val="16"/>
              </w:rPr>
              <w: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74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C4F13">
            <w:pPr>
              <w:jc w:val="center"/>
            </w:pPr>
            <w:r>
              <w:rPr>
                <w:rFonts w:ascii="宋体" w:hAnsi="宋体" w:eastAsia="宋体"/>
                <w:sz w:val="16"/>
              </w:rPr>
              <w: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74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01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3D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176AE">
            <w:pPr>
              <w:jc w:val="center"/>
            </w:pPr>
            <w:r>
              <w:rPr>
                <w:rFonts w:ascii="宋体" w:hAnsi="宋体" w:eastAsia="宋体"/>
                <w:sz w:val="16"/>
              </w:rPr>
              <w:t>=1类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70CF">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EC2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5911">
            <w:pPr>
              <w:jc w:val="center"/>
            </w:pPr>
            <w:r>
              <w:rPr>
                <w:rFonts w:ascii="宋体" w:hAnsi="宋体" w:eastAsia="宋体"/>
                <w:sz w:val="16"/>
              </w:rPr>
              <w:t>因资金紧张，采购类别较少。</w:t>
            </w:r>
          </w:p>
        </w:tc>
      </w:tr>
      <w:tr w14:paraId="7456A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E68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FD5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6EA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087B2">
            <w:pPr>
              <w:jc w:val="center"/>
            </w:pPr>
            <w:r>
              <w:rPr>
                <w:rFonts w:ascii="宋体" w:hAnsi="宋体" w:eastAsia="宋体"/>
                <w:sz w:val="16"/>
              </w:rPr>
              <w:t>符合补助政策幼儿覆盖率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E7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7D4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04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8F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54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56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22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CF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7D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89634">
            <w:pPr>
              <w:jc w:val="center"/>
            </w:pPr>
          </w:p>
        </w:tc>
      </w:tr>
      <w:tr w14:paraId="5EADD6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495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D92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F45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DD3C">
            <w:pPr>
              <w:jc w:val="center"/>
            </w:pPr>
            <w:r>
              <w:rPr>
                <w:rFonts w:ascii="宋体" w:hAnsi="宋体" w:eastAsia="宋体"/>
                <w:sz w:val="16"/>
              </w:rPr>
              <w:t>购买物品质量合格率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984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66B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B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630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78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5A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E73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1E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DEE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34EF">
            <w:pPr>
              <w:jc w:val="center"/>
            </w:pPr>
          </w:p>
        </w:tc>
      </w:tr>
      <w:tr w14:paraId="706C17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640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D21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05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AD20">
            <w:pPr>
              <w:jc w:val="center"/>
            </w:pPr>
            <w:r>
              <w:rPr>
                <w:rFonts w:ascii="宋体" w:hAnsi="宋体" w:eastAsia="宋体"/>
                <w:sz w:val="16"/>
              </w:rPr>
              <w:t>资金拨付及时性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534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BC4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E12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3D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61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1B1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B6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652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59D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BA409">
            <w:pPr>
              <w:jc w:val="center"/>
            </w:pPr>
          </w:p>
        </w:tc>
      </w:tr>
      <w:tr w14:paraId="033523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D9B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9374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D67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50BD">
            <w:pPr>
              <w:jc w:val="center"/>
            </w:pPr>
            <w:r>
              <w:rPr>
                <w:rFonts w:ascii="宋体" w:hAnsi="宋体" w:eastAsia="宋体"/>
                <w:sz w:val="16"/>
              </w:rPr>
              <w:t>提高幼儿园教学水平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C15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34B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D82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6F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507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81A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21E89">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0F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8E6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11B93">
            <w:pPr>
              <w:jc w:val="center"/>
            </w:pPr>
          </w:p>
        </w:tc>
      </w:tr>
      <w:tr w14:paraId="23426C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4DF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47A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E94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3B3BC">
            <w:pPr>
              <w:jc w:val="center"/>
            </w:pPr>
            <w:r>
              <w:rPr>
                <w:rFonts w:ascii="宋体" w:hAnsi="宋体" w:eastAsia="宋体"/>
                <w:sz w:val="16"/>
              </w:rPr>
              <w:t>减轻幼儿家庭经济负担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D5F7">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2E93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995EC">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747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95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3027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0390">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65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FF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F38C1">
            <w:pPr>
              <w:jc w:val="center"/>
            </w:pPr>
          </w:p>
        </w:tc>
      </w:tr>
      <w:tr w14:paraId="6D9E4D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E2D7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D94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EB3D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1212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F9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234C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D71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1A8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DAF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76FB3">
            <w:pPr>
              <w:jc w:val="center"/>
            </w:pPr>
            <w:r>
              <w:rPr>
                <w:rFonts w:ascii="宋体" w:hAnsi="宋体" w:eastAsia="宋体"/>
                <w:sz w:val="16"/>
              </w:rPr>
              <w:t>89.79分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A3DEE"/>
        </w:tc>
      </w:tr>
    </w:tbl>
    <w:p w14:paraId="1E5D542E">
      <w:r>
        <w:br w:type="page"/>
      </w:r>
    </w:p>
    <w:p w14:paraId="1975F486">
      <w:pPr>
        <w:spacing w:line="640" w:lineRule="exact"/>
        <w:ind w:firstLine="640"/>
        <w:jc w:val="both"/>
        <w:outlineLvl w:val="2"/>
      </w:pPr>
      <w:r>
        <w:rPr>
          <w:rFonts w:ascii="黑体" w:hAnsi="黑体" w:eastAsia="黑体"/>
          <w:sz w:val="32"/>
        </w:rPr>
        <w:t>十二、其他需说明的事项</w:t>
      </w:r>
    </w:p>
    <w:p w14:paraId="763016E0">
      <w:pPr>
        <w:spacing w:line="580" w:lineRule="exact"/>
        <w:ind w:firstLine="640"/>
        <w:jc w:val="both"/>
      </w:pPr>
      <w:r>
        <w:rPr>
          <w:rFonts w:ascii="仿宋_GB2312" w:hAnsi="仿宋_GB2312" w:eastAsia="仿宋_GB2312"/>
          <w:b w:val="0"/>
          <w:sz w:val="32"/>
        </w:rPr>
        <w:t>本年度本单位政府采购为大型企业采购，故授予中小企业合同金额为0.00万元。</w:t>
      </w:r>
    </w:p>
    <w:p w14:paraId="0C39655B">
      <w:r>
        <w:br w:type="page"/>
      </w:r>
    </w:p>
    <w:p w14:paraId="519022E6">
      <w:pPr>
        <w:spacing w:line="240" w:lineRule="auto"/>
        <w:jc w:val="center"/>
        <w:outlineLvl w:val="1"/>
      </w:pPr>
      <w:r>
        <w:rPr>
          <w:rFonts w:ascii="黑体" w:hAnsi="黑体" w:eastAsia="黑体"/>
          <w:sz w:val="32"/>
        </w:rPr>
        <w:t>第三部分 专业名词解释</w:t>
      </w:r>
    </w:p>
    <w:p w14:paraId="5D3D8D8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A4D7AA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522C4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98ACD9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41F445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D0FD61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A4AD5A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B3E148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CF273F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6FDC39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7CDA3D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F175D7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5A55A1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8ECBF0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C59D1B7">
      <w:r>
        <w:br w:type="page"/>
      </w:r>
    </w:p>
    <w:p w14:paraId="1781D942">
      <w:pPr>
        <w:spacing w:line="240" w:lineRule="auto"/>
        <w:jc w:val="center"/>
        <w:outlineLvl w:val="1"/>
      </w:pPr>
      <w:r>
        <w:rPr>
          <w:rFonts w:ascii="黑体" w:hAnsi="黑体" w:eastAsia="黑体"/>
          <w:sz w:val="32"/>
        </w:rPr>
        <w:t>第四部分 部门决算报表（见附表）</w:t>
      </w:r>
    </w:p>
    <w:p w14:paraId="514EFC41">
      <w:pPr>
        <w:spacing w:line="240" w:lineRule="auto"/>
        <w:ind w:firstLine="640"/>
        <w:jc w:val="both"/>
      </w:pPr>
      <w:r>
        <w:rPr>
          <w:rFonts w:ascii="仿宋_GB2312" w:hAnsi="仿宋_GB2312" w:eastAsia="仿宋_GB2312"/>
          <w:b w:val="0"/>
          <w:sz w:val="32"/>
        </w:rPr>
        <w:t>一、《收入支出决算总表》</w:t>
      </w:r>
    </w:p>
    <w:p w14:paraId="01D92E1F">
      <w:pPr>
        <w:spacing w:line="240" w:lineRule="auto"/>
        <w:ind w:firstLine="640"/>
        <w:jc w:val="both"/>
      </w:pPr>
      <w:r>
        <w:rPr>
          <w:rFonts w:ascii="仿宋_GB2312" w:hAnsi="仿宋_GB2312" w:eastAsia="仿宋_GB2312"/>
          <w:b w:val="0"/>
          <w:sz w:val="32"/>
        </w:rPr>
        <w:t>二、《收入决算表》</w:t>
      </w:r>
    </w:p>
    <w:p w14:paraId="279910A2">
      <w:pPr>
        <w:spacing w:line="240" w:lineRule="auto"/>
        <w:ind w:firstLine="640"/>
        <w:jc w:val="both"/>
      </w:pPr>
      <w:r>
        <w:rPr>
          <w:rFonts w:ascii="仿宋_GB2312" w:hAnsi="仿宋_GB2312" w:eastAsia="仿宋_GB2312"/>
          <w:b w:val="0"/>
          <w:sz w:val="32"/>
        </w:rPr>
        <w:t>三、《支出决算表》</w:t>
      </w:r>
    </w:p>
    <w:p w14:paraId="1F8EB365">
      <w:pPr>
        <w:spacing w:line="240" w:lineRule="auto"/>
        <w:ind w:firstLine="640"/>
        <w:jc w:val="both"/>
      </w:pPr>
      <w:r>
        <w:rPr>
          <w:rFonts w:ascii="仿宋_GB2312" w:hAnsi="仿宋_GB2312" w:eastAsia="仿宋_GB2312"/>
          <w:b w:val="0"/>
          <w:sz w:val="32"/>
        </w:rPr>
        <w:t>四、《财政拨款收入支出决算总表》</w:t>
      </w:r>
    </w:p>
    <w:p w14:paraId="161F9433">
      <w:pPr>
        <w:spacing w:line="240" w:lineRule="auto"/>
        <w:ind w:firstLine="640"/>
        <w:jc w:val="both"/>
      </w:pPr>
      <w:r>
        <w:rPr>
          <w:rFonts w:ascii="仿宋_GB2312" w:hAnsi="仿宋_GB2312" w:eastAsia="仿宋_GB2312"/>
          <w:b w:val="0"/>
          <w:sz w:val="32"/>
        </w:rPr>
        <w:t>五、《一般公共预算财政拨款支出决算表》</w:t>
      </w:r>
    </w:p>
    <w:p w14:paraId="5B6935DF">
      <w:pPr>
        <w:spacing w:line="240" w:lineRule="auto"/>
        <w:ind w:firstLine="640"/>
        <w:jc w:val="both"/>
      </w:pPr>
      <w:r>
        <w:rPr>
          <w:rFonts w:ascii="仿宋_GB2312" w:hAnsi="仿宋_GB2312" w:eastAsia="仿宋_GB2312"/>
          <w:b w:val="0"/>
          <w:sz w:val="32"/>
        </w:rPr>
        <w:t>六、《一般公共预算财政拨款基本支出决算表》</w:t>
      </w:r>
    </w:p>
    <w:p w14:paraId="0861C327">
      <w:pPr>
        <w:spacing w:line="240" w:lineRule="auto"/>
        <w:ind w:firstLine="640"/>
        <w:jc w:val="both"/>
      </w:pPr>
      <w:r>
        <w:rPr>
          <w:rFonts w:ascii="仿宋_GB2312" w:hAnsi="仿宋_GB2312" w:eastAsia="仿宋_GB2312"/>
          <w:b w:val="0"/>
          <w:sz w:val="32"/>
        </w:rPr>
        <w:t>七、《政府性基金预算财政拨款收入支出决算表》</w:t>
      </w:r>
    </w:p>
    <w:p w14:paraId="6ECA8F48">
      <w:pPr>
        <w:spacing w:line="240" w:lineRule="auto"/>
        <w:ind w:firstLine="640"/>
        <w:jc w:val="both"/>
      </w:pPr>
      <w:r>
        <w:rPr>
          <w:rFonts w:ascii="仿宋_GB2312" w:hAnsi="仿宋_GB2312" w:eastAsia="仿宋_GB2312"/>
          <w:b w:val="0"/>
          <w:sz w:val="32"/>
        </w:rPr>
        <w:t>八、《国有资本经营预算财政拨款收入支出决算表》</w:t>
      </w:r>
    </w:p>
    <w:p w14:paraId="502F96A4">
      <w:pPr>
        <w:spacing w:line="240" w:lineRule="auto"/>
        <w:ind w:firstLine="640"/>
        <w:jc w:val="both"/>
      </w:pPr>
      <w:r>
        <w:rPr>
          <w:rFonts w:ascii="仿宋_GB2312" w:hAnsi="仿宋_GB2312" w:eastAsia="仿宋_GB2312"/>
          <w:b w:val="0"/>
          <w:sz w:val="32"/>
        </w:rPr>
        <w:t>九、《财政拨款“三公”经费支出决算表》</w:t>
      </w:r>
    </w:p>
    <w:p w14:paraId="1265081E">
      <w:pPr>
        <w:spacing w:line="240" w:lineRule="auto"/>
        <w:ind w:firstLine="640"/>
        <w:jc w:val="both"/>
      </w:pPr>
    </w:p>
    <w:p w14:paraId="0232AC28">
      <w:pPr>
        <w:spacing w:line="240" w:lineRule="auto"/>
        <w:ind w:firstLine="640"/>
        <w:jc w:val="both"/>
      </w:pPr>
    </w:p>
    <w:p w14:paraId="73CF52CD">
      <w:pPr>
        <w:spacing w:line="240" w:lineRule="auto"/>
        <w:ind w:firstLine="640"/>
        <w:jc w:val="both"/>
      </w:pPr>
    </w:p>
    <w:p w14:paraId="4582DC96">
      <w:pPr>
        <w:spacing w:line="240" w:lineRule="auto"/>
        <w:ind w:firstLine="640"/>
        <w:jc w:val="both"/>
      </w:pPr>
    </w:p>
    <w:p w14:paraId="10B2D90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8A068D-C02F-4EEA-8057-024BC980B4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AB60C6A-E13F-458E-81E7-D6BFA5587459}"/>
  </w:font>
  <w:font w:name="仿宋_GB2312">
    <w:panose1 w:val="02010609030101010101"/>
    <w:charset w:val="86"/>
    <w:family w:val="modern"/>
    <w:pitch w:val="default"/>
    <w:sig w:usb0="00000001" w:usb1="080E0000" w:usb2="00000000" w:usb3="00000000" w:csb0="00040000" w:csb1="00000000"/>
    <w:embedRegular r:id="rId3" w:fontKey="{BD10A58B-5E94-43B3-B1C3-AC51B740AB87}"/>
  </w:font>
  <w:font w:name="楷体_GB2312">
    <w:panose1 w:val="02010609030101010101"/>
    <w:charset w:val="86"/>
    <w:family w:val="auto"/>
    <w:pitch w:val="default"/>
    <w:sig w:usb0="00000001" w:usb1="080E0000" w:usb2="00000000" w:usb3="00000000" w:csb0="00040000" w:csb1="00000000"/>
    <w:embedRegular r:id="rId4" w:fontKey="{EAAB6455-ADC5-4374-A08E-00DBF96F94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0E57CD4"/>
    <w:rsid w:val="613409CB"/>
    <w:rsid w:val="61A46A97"/>
    <w:rsid w:val="62DD7D21"/>
    <w:rsid w:val="65D97752"/>
    <w:rsid w:val="664C500C"/>
    <w:rsid w:val="67D111AB"/>
    <w:rsid w:val="68DB0208"/>
    <w:rsid w:val="68DF36D5"/>
    <w:rsid w:val="69846A0E"/>
    <w:rsid w:val="69AD798C"/>
    <w:rsid w:val="6AB608B6"/>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4689</Words>
  <Characters>5261</Characters>
  <Lines>0</Lines>
  <Paragraphs>0</Paragraphs>
  <TotalTime>10</TotalTime>
  <ScaleCrop>false</ScaleCrop>
  <LinksUpToDate>false</LinksUpToDate>
  <CharactersWithSpaces>5269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