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BC08C"/>
    <w:p w14:paraId="409AFF4A">
      <w:pPr>
        <w:wordWrap w:val="0"/>
        <w:spacing w:before="0" w:after="0" w:line="196" w:lineRule="auto"/>
        <w:ind w:firstLine="20"/>
        <w:jc w:val="both"/>
        <w:rPr>
          <w:sz w:val="50"/>
        </w:rPr>
      </w:pPr>
      <w:r>
        <w:rPr>
          <w:rFonts w:hint="eastAsia" w:ascii="宋体" w:hAnsi="宋体" w:eastAsia="宋体"/>
          <w:b/>
          <w:color w:val="000000"/>
          <w:sz w:val="50"/>
        </w:rPr>
        <w:t>水磨沟区王家梁停保场自建房改造补偿</w:t>
      </w:r>
      <w:r>
        <w:drawing>
          <wp:anchor distT="0" distB="0" distL="114300" distR="114300" simplePos="0" relativeHeight="251659264" behindDoc="1" locked="0" layoutInCell="1" allowOverlap="1">
            <wp:simplePos x="0" y="0"/>
            <wp:positionH relativeFrom="page">
              <wp:posOffset>3327400</wp:posOffset>
            </wp:positionH>
            <wp:positionV relativeFrom="page">
              <wp:posOffset>4533900</wp:posOffset>
            </wp:positionV>
            <wp:extent cx="1562100" cy="1612900"/>
            <wp:effectExtent l="0" t="0" r="2540" b="4445"/>
            <wp:wrapNone/>
            <wp:docPr id="2" name="ST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MP"/>
                    <pic:cNvPicPr>
                      <a:picLocks noChangeAspect="1"/>
                    </pic:cNvPicPr>
                  </pic:nvPicPr>
                  <pic:blipFill>
                    <a:blip r:embed="rId36">
                      <a:extLst>
                        <a:ext uri="{28A0092B-C50C-407E-A947-70E740481C1C}">
                          <a14:useLocalDpi xmlns:a14="http://schemas.microsoft.com/office/drawing/2010/main" val="0"/>
                        </a:ext>
                      </a:extLst>
                    </a:blip>
                    <a:stretch>
                      <a:fillRect/>
                    </a:stretch>
                  </pic:blipFill>
                  <pic:spPr>
                    <a:xfrm>
                      <a:off x="0" y="0"/>
                      <a:ext cx="1562100" cy="1612900"/>
                    </a:xfrm>
                    <a:prstGeom prst="rect">
                      <a:avLst/>
                    </a:prstGeom>
                  </pic:spPr>
                </pic:pic>
              </a:graphicData>
            </a:graphic>
          </wp:anchor>
        </w:drawing>
      </w:r>
    </w:p>
    <w:p w14:paraId="708FA1F9">
      <w:pPr>
        <w:wordWrap w:val="0"/>
        <w:spacing w:before="0" w:after="0" w:line="196" w:lineRule="auto"/>
        <w:ind w:firstLine="1220"/>
        <w:jc w:val="both"/>
        <w:rPr>
          <w:sz w:val="51"/>
        </w:rPr>
      </w:pPr>
      <w:r>
        <w:rPr>
          <w:rFonts w:hint="eastAsia" w:ascii="宋体" w:hAnsi="宋体" w:eastAsia="宋体"/>
          <w:b/>
          <w:color w:val="000000"/>
          <w:sz w:val="51"/>
        </w:rPr>
        <w:t>资金项目支出绩效评价报告</w:t>
      </w:r>
    </w:p>
    <w:p w14:paraId="61BD4438">
      <w:pPr>
        <w:wordWrap w:val="0"/>
        <w:spacing w:before="0" w:after="0" w:line="240" w:lineRule="auto"/>
        <w:ind w:firstLine="0"/>
        <w:jc w:val="both"/>
        <w:rPr>
          <w:rFonts w:hint="eastAsia" w:ascii="宋体" w:hAnsi="宋体" w:eastAsia="宋体"/>
          <w:color w:val="000000"/>
          <w:sz w:val="21"/>
        </w:rPr>
      </w:pPr>
    </w:p>
    <w:p w14:paraId="762C810E">
      <w:pPr>
        <w:wordWrap w:val="0"/>
        <w:spacing w:before="0" w:after="0" w:line="240" w:lineRule="auto"/>
        <w:ind w:firstLine="0"/>
        <w:jc w:val="both"/>
        <w:rPr>
          <w:rFonts w:hint="eastAsia" w:ascii="宋体" w:hAnsi="宋体" w:eastAsia="宋体"/>
          <w:color w:val="000000"/>
          <w:sz w:val="21"/>
        </w:rPr>
      </w:pPr>
    </w:p>
    <w:p w14:paraId="02422868">
      <w:pPr>
        <w:wordWrap w:val="0"/>
        <w:spacing w:before="0" w:after="0" w:line="239" w:lineRule="auto"/>
        <w:ind w:firstLine="3160"/>
        <w:jc w:val="both"/>
        <w:rPr>
          <w:sz w:val="39"/>
        </w:rPr>
      </w:pPr>
      <w:r>
        <w:rPr>
          <w:rFonts w:hint="eastAsia" w:ascii="Calibri" w:hAnsi="Calibri" w:eastAsia="Calibri"/>
          <w:color w:val="000000"/>
          <w:sz w:val="39"/>
        </w:rPr>
        <w:t>（2024</w:t>
      </w:r>
      <w:r>
        <w:rPr>
          <w:rFonts w:hint="eastAsia" w:ascii="宋体" w:hAnsi="宋体" w:eastAsia="宋体"/>
          <w:color w:val="000000"/>
          <w:sz w:val="39"/>
        </w:rPr>
        <w:t>年度</w:t>
      </w:r>
      <w:r>
        <w:rPr>
          <w:rFonts w:hint="eastAsia" w:ascii="Calibri" w:hAnsi="Calibri" w:eastAsia="Calibri"/>
          <w:color w:val="000000"/>
          <w:sz w:val="39"/>
        </w:rPr>
        <w:t>）</w:t>
      </w:r>
    </w:p>
    <w:p w14:paraId="27641EC8">
      <w:pPr>
        <w:wordWrap w:val="0"/>
        <w:spacing w:before="0" w:after="0" w:line="240" w:lineRule="auto"/>
        <w:ind w:firstLine="0"/>
        <w:jc w:val="both"/>
        <w:rPr>
          <w:rFonts w:hint="eastAsia" w:ascii="宋体" w:hAnsi="宋体" w:eastAsia="宋体"/>
          <w:color w:val="000000"/>
          <w:sz w:val="21"/>
        </w:rPr>
      </w:pPr>
    </w:p>
    <w:p w14:paraId="568E16F4">
      <w:pPr>
        <w:wordWrap w:val="0"/>
        <w:spacing w:before="0" w:after="0" w:line="240" w:lineRule="auto"/>
        <w:ind w:firstLine="0"/>
        <w:jc w:val="both"/>
        <w:rPr>
          <w:rFonts w:hint="eastAsia" w:ascii="宋体" w:hAnsi="宋体" w:eastAsia="宋体"/>
          <w:color w:val="000000"/>
          <w:sz w:val="21"/>
        </w:rPr>
      </w:pPr>
    </w:p>
    <w:p w14:paraId="2D87BE4E">
      <w:pPr>
        <w:wordWrap w:val="0"/>
        <w:spacing w:before="0" w:after="0" w:line="240" w:lineRule="auto"/>
        <w:ind w:firstLine="0"/>
        <w:jc w:val="both"/>
        <w:rPr>
          <w:rFonts w:hint="eastAsia" w:ascii="宋体" w:hAnsi="宋体" w:eastAsia="宋体"/>
          <w:color w:val="000000"/>
          <w:sz w:val="21"/>
        </w:rPr>
      </w:pPr>
    </w:p>
    <w:p w14:paraId="51C21A8D">
      <w:pPr>
        <w:wordWrap w:val="0"/>
        <w:spacing w:before="0" w:after="0" w:line="240" w:lineRule="auto"/>
        <w:ind w:firstLine="0"/>
        <w:jc w:val="both"/>
        <w:rPr>
          <w:rFonts w:hint="eastAsia" w:ascii="宋体" w:hAnsi="宋体" w:eastAsia="宋体"/>
          <w:color w:val="000000"/>
          <w:sz w:val="21"/>
        </w:rPr>
      </w:pPr>
    </w:p>
    <w:p w14:paraId="442CA3A3">
      <w:pPr>
        <w:wordWrap w:val="0"/>
        <w:spacing w:before="0" w:after="0" w:line="240" w:lineRule="auto"/>
        <w:ind w:firstLine="0"/>
        <w:jc w:val="both"/>
        <w:rPr>
          <w:rFonts w:hint="eastAsia" w:ascii="宋体" w:hAnsi="宋体" w:eastAsia="宋体"/>
          <w:color w:val="000000"/>
          <w:sz w:val="21"/>
        </w:rPr>
      </w:pPr>
    </w:p>
    <w:p w14:paraId="77AB4925">
      <w:pPr>
        <w:wordWrap w:val="0"/>
        <w:spacing w:before="0" w:after="0" w:line="302" w:lineRule="auto"/>
        <w:ind w:left="240" w:right="40" w:firstLine="0"/>
        <w:jc w:val="both"/>
        <w:rPr>
          <w:sz w:val="39"/>
        </w:rPr>
      </w:pPr>
      <w:r>
        <w:rPr>
          <w:rFonts w:hint="eastAsia" w:ascii="宋体" w:hAnsi="宋体" w:eastAsia="宋体"/>
          <w:color w:val="000000"/>
          <w:sz w:val="39"/>
        </w:rPr>
        <w:t>项目名称：水磨沟区王家梁停保场自建房改造补偿资金项目</w:t>
      </w:r>
    </w:p>
    <w:p w14:paraId="5B1C3F78">
      <w:pPr>
        <w:wordWrap w:val="0"/>
        <w:spacing w:before="0" w:after="0" w:line="240" w:lineRule="auto"/>
        <w:ind w:firstLine="0"/>
        <w:jc w:val="both"/>
        <w:rPr>
          <w:rFonts w:hint="eastAsia" w:ascii="宋体" w:hAnsi="宋体" w:eastAsia="宋体"/>
          <w:color w:val="000000"/>
          <w:sz w:val="21"/>
        </w:rPr>
      </w:pPr>
    </w:p>
    <w:p w14:paraId="143AF41B">
      <w:pPr>
        <w:wordWrap w:val="0"/>
        <w:spacing w:before="0" w:after="0" w:line="302" w:lineRule="auto"/>
        <w:ind w:left="240" w:right="40" w:firstLine="0"/>
        <w:jc w:val="both"/>
        <w:rPr>
          <w:sz w:val="39"/>
        </w:rPr>
      </w:pPr>
      <w:r>
        <w:rPr>
          <w:rFonts w:hint="eastAsia" w:ascii="宋体" w:hAnsi="宋体" w:eastAsia="宋体"/>
          <w:color w:val="000000"/>
          <w:sz w:val="39"/>
        </w:rPr>
        <w:t>实施单位（公章）：乌鲁木齐市水磨沟区房屋征收与补偿管理办公室（乌鲁木齐市水磨沟区土地征收管理办公室）</w:t>
      </w:r>
    </w:p>
    <w:p w14:paraId="40312969">
      <w:pPr>
        <w:wordWrap w:val="0"/>
        <w:spacing w:before="0" w:after="0" w:line="240" w:lineRule="auto"/>
        <w:ind w:firstLine="0"/>
        <w:jc w:val="both"/>
        <w:rPr>
          <w:rFonts w:hint="eastAsia" w:ascii="宋体" w:hAnsi="宋体" w:eastAsia="宋体"/>
          <w:color w:val="000000"/>
          <w:sz w:val="21"/>
        </w:rPr>
      </w:pPr>
    </w:p>
    <w:p w14:paraId="48CCFB16">
      <w:pPr>
        <w:wordWrap w:val="0"/>
        <w:spacing w:before="0" w:after="0" w:line="302" w:lineRule="auto"/>
        <w:ind w:left="260" w:right="40" w:hanging="20"/>
        <w:jc w:val="both"/>
        <w:rPr>
          <w:sz w:val="39"/>
        </w:rPr>
      </w:pPr>
      <w:r>
        <w:drawing>
          <wp:anchor distT="0" distB="0" distL="114300" distR="114300" simplePos="0" relativeHeight="251660288" behindDoc="1" locked="0" layoutInCell="1" allowOverlap="1">
            <wp:simplePos x="0" y="0"/>
            <wp:positionH relativeFrom="page">
              <wp:posOffset>3514090</wp:posOffset>
            </wp:positionH>
            <wp:positionV relativeFrom="page">
              <wp:posOffset>7085330</wp:posOffset>
            </wp:positionV>
            <wp:extent cx="723900" cy="749300"/>
            <wp:effectExtent l="0" t="0" r="2540" b="4445"/>
            <wp:wrapNone/>
            <wp:docPr id="3" name="ST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AMP"/>
                    <pic:cNvPicPr>
                      <a:picLocks noChangeAspect="1"/>
                    </pic:cNvPicPr>
                  </pic:nvPicPr>
                  <pic:blipFill>
                    <a:blip r:embed="rId37">
                      <a:extLst>
                        <a:ext uri="{28A0092B-C50C-407E-A947-70E740481C1C}">
                          <a14:useLocalDpi xmlns:a14="http://schemas.microsoft.com/office/drawing/2010/main" val="0"/>
                        </a:ext>
                      </a:extLst>
                    </a:blip>
                    <a:stretch>
                      <a:fillRect/>
                    </a:stretch>
                  </pic:blipFill>
                  <pic:spPr>
                    <a:xfrm>
                      <a:off x="0" y="0"/>
                      <a:ext cx="723900" cy="749300"/>
                    </a:xfrm>
                    <a:prstGeom prst="rect">
                      <a:avLst/>
                    </a:prstGeom>
                  </pic:spPr>
                </pic:pic>
              </a:graphicData>
            </a:graphic>
          </wp:anchor>
        </w:drawing>
      </w:r>
      <w:r>
        <w:rPr>
          <w:rFonts w:hint="eastAsia" w:ascii="宋体" w:hAnsi="宋体" w:eastAsia="宋体"/>
          <w:color w:val="000000"/>
          <w:sz w:val="39"/>
        </w:rPr>
        <w:t>主管部门（公章）：乌鲁木齐市水磨沟区房屋征收与补偿管理办公室（乌鲁木齐市水磨沟区土地征收管理办公室）</w:t>
      </w:r>
    </w:p>
    <w:p w14:paraId="5AE4CA74">
      <w:pPr>
        <w:wordWrap w:val="0"/>
        <w:spacing w:before="0" w:after="0" w:line="240" w:lineRule="auto"/>
        <w:ind w:firstLine="0"/>
        <w:jc w:val="both"/>
        <w:rPr>
          <w:rFonts w:hint="eastAsia" w:ascii="宋体" w:hAnsi="宋体" w:eastAsia="宋体"/>
          <w:color w:val="000000"/>
          <w:sz w:val="21"/>
        </w:rPr>
      </w:pPr>
    </w:p>
    <w:p w14:paraId="621FCBC7">
      <w:pPr>
        <w:wordWrap w:val="0"/>
        <w:spacing w:before="0" w:after="0" w:line="215" w:lineRule="auto"/>
        <w:ind w:firstLine="240"/>
        <w:jc w:val="both"/>
        <w:rPr>
          <w:sz w:val="39"/>
        </w:rPr>
      </w:pPr>
      <w:r>
        <w:rPr>
          <w:rFonts w:hint="eastAsia" w:ascii="宋体" w:hAnsi="宋体" w:eastAsia="宋体"/>
          <w:color w:val="000000"/>
          <w:sz w:val="39"/>
        </w:rPr>
        <w:t>项目负责人（签章）：</w:t>
      </w:r>
    </w:p>
    <w:p w14:paraId="786BFC99">
      <w:pPr>
        <w:wordWrap w:val="0"/>
        <w:spacing w:before="0" w:after="0" w:line="240" w:lineRule="auto"/>
        <w:ind w:firstLine="0"/>
        <w:jc w:val="both"/>
        <w:rPr>
          <w:rFonts w:hint="eastAsia" w:ascii="宋体" w:hAnsi="宋体" w:eastAsia="宋体"/>
          <w:color w:val="000000"/>
          <w:sz w:val="21"/>
        </w:rPr>
      </w:pPr>
    </w:p>
    <w:p w14:paraId="65F6D1A9">
      <w:pPr>
        <w:wordWrap w:val="0"/>
        <w:spacing w:before="0" w:after="0" w:line="220" w:lineRule="auto"/>
        <w:ind w:firstLine="240"/>
        <w:jc w:val="both"/>
        <w:rPr>
          <w:sz w:val="39"/>
        </w:rPr>
        <w:sectPr>
          <w:type w:val="continuous"/>
          <w:pgSz w:w="11900" w:h="16840"/>
          <w:pgMar w:top="1680" w:right="1680" w:bottom="2880" w:left="1680" w:header="840" w:footer="1440" w:gutter="0"/>
          <w:cols w:space="720" w:num="1"/>
        </w:sectPr>
      </w:pPr>
      <w:r>
        <w:rPr>
          <w:rFonts w:hint="eastAsia" w:ascii="宋体" w:hAnsi="宋体" w:eastAsia="宋体"/>
          <w:color w:val="000000"/>
          <w:sz w:val="39"/>
        </w:rPr>
        <w:t>填报时间：</w:t>
      </w:r>
      <w:r>
        <w:rPr>
          <w:rFonts w:hint="eastAsia" w:ascii="Calibri" w:hAnsi="Calibri" w:eastAsia="Calibri"/>
          <w:color w:val="000000"/>
          <w:sz w:val="39"/>
        </w:rPr>
        <w:t>2025</w:t>
      </w:r>
      <w:r>
        <w:rPr>
          <w:rFonts w:hint="eastAsia" w:ascii="宋体" w:hAnsi="宋体" w:eastAsia="宋体"/>
          <w:color w:val="000000"/>
          <w:sz w:val="39"/>
        </w:rPr>
        <w:t>年</w:t>
      </w:r>
      <w:r>
        <w:rPr>
          <w:rFonts w:hint="eastAsia" w:ascii="Calibri" w:hAnsi="Calibri" w:eastAsia="Calibri"/>
          <w:color w:val="000000"/>
          <w:sz w:val="39"/>
        </w:rPr>
        <w:t>4</w:t>
      </w:r>
      <w:r>
        <w:rPr>
          <w:rFonts w:hint="eastAsia" w:ascii="宋体" w:hAnsi="宋体" w:eastAsia="宋体"/>
          <w:color w:val="000000"/>
          <w:sz w:val="39"/>
        </w:rPr>
        <w:t>月</w:t>
      </w:r>
      <w:r>
        <w:rPr>
          <w:rFonts w:hint="eastAsia" w:ascii="Calibri" w:hAnsi="Calibri" w:eastAsia="Calibri"/>
          <w:color w:val="000000"/>
          <w:sz w:val="39"/>
        </w:rPr>
        <w:t>2</w:t>
      </w:r>
      <w:r>
        <w:rPr>
          <w:rFonts w:hint="eastAsia" w:ascii="宋体" w:hAnsi="宋体" w:eastAsia="宋体"/>
          <w:color w:val="000000"/>
          <w:sz w:val="39"/>
        </w:rPr>
        <w:t>日</w:t>
      </w:r>
    </w:p>
    <w:p w14:paraId="48927FA7">
      <w:pPr>
        <w:wordWrap w:val="0"/>
        <w:spacing w:before="0" w:after="0" w:line="192" w:lineRule="auto"/>
        <w:ind w:firstLine="720"/>
        <w:jc w:val="both"/>
        <w:rPr>
          <w:sz w:val="36"/>
        </w:rPr>
      </w:pPr>
      <w:r>
        <w:rPr>
          <w:rFonts w:hint="eastAsia" w:ascii="宋体" w:hAnsi="宋体" w:eastAsia="宋体"/>
          <w:b/>
          <w:color w:val="000000"/>
          <w:sz w:val="36"/>
        </w:rPr>
        <w:t>一、基本情况</w:t>
      </w:r>
    </w:p>
    <w:p w14:paraId="1AD186B2">
      <w:pPr>
        <w:wordWrap w:val="0"/>
        <w:spacing w:before="0" w:after="0" w:line="240" w:lineRule="auto"/>
        <w:ind w:firstLine="840"/>
        <w:jc w:val="both"/>
        <w:rPr>
          <w:sz w:val="36"/>
        </w:rPr>
      </w:pPr>
      <w:r>
        <w:rPr>
          <w:rFonts w:hint="eastAsia" w:ascii="宋体" w:hAnsi="宋体" w:eastAsia="宋体"/>
          <w:b/>
          <w:color w:val="000000"/>
          <w:sz w:val="36"/>
        </w:rPr>
        <w:t>（一）项目概况</w:t>
      </w:r>
    </w:p>
    <w:p w14:paraId="16AC86CD">
      <w:pPr>
        <w:wordWrap w:val="0"/>
        <w:spacing w:before="133" w:after="0" w:line="240" w:lineRule="auto"/>
        <w:ind w:firstLine="720"/>
        <w:jc w:val="both"/>
        <w:rPr>
          <w:sz w:val="36"/>
        </w:rPr>
      </w:pPr>
      <w:r>
        <w:rPr>
          <w:rFonts w:hint="eastAsia" w:ascii="Calibri" w:hAnsi="Calibri" w:eastAsia="Calibri"/>
          <w:b/>
          <w:color w:val="000000"/>
          <w:sz w:val="36"/>
        </w:rPr>
        <w:t>1</w:t>
      </w:r>
      <w:r>
        <w:rPr>
          <w:rFonts w:hint="eastAsia" w:ascii="宋体" w:hAnsi="宋体" w:eastAsia="宋体"/>
          <w:b/>
          <w:color w:val="000000"/>
          <w:sz w:val="36"/>
        </w:rPr>
        <w:t>．项目背景</w:t>
      </w:r>
    </w:p>
    <w:p w14:paraId="14AC0F68">
      <w:pPr>
        <w:wordWrap w:val="0"/>
        <w:spacing w:before="59" w:after="0" w:line="276" w:lineRule="auto"/>
        <w:ind w:left="20" w:right="140" w:firstLine="700"/>
        <w:jc w:val="both"/>
        <w:rPr>
          <w:sz w:val="36"/>
        </w:rPr>
      </w:pPr>
      <w:r>
        <w:rPr>
          <w:rFonts w:hint="eastAsia" w:ascii="宋体" w:hAnsi="宋体" w:eastAsia="宋体"/>
          <w:color w:val="000000"/>
          <w:sz w:val="36"/>
        </w:rPr>
        <w:t>经市建成区自建房改造工作专班办公室初审，并报请市建成区自建房改造工作专班批准，将王家梁公交停保场改造项目纳入乌鲁木齐市建成区自建房改造项目。</w:t>
      </w:r>
    </w:p>
    <w:p w14:paraId="3894FB9D">
      <w:pPr>
        <w:wordWrap w:val="0"/>
        <w:spacing w:before="177" w:after="0" w:line="276" w:lineRule="auto"/>
        <w:ind w:left="20" w:right="140" w:firstLine="700"/>
        <w:jc w:val="both"/>
        <w:rPr>
          <w:sz w:val="36"/>
        </w:rPr>
      </w:pPr>
      <w:r>
        <w:rPr>
          <w:rFonts w:hint="eastAsia" w:ascii="宋体" w:hAnsi="宋体" w:eastAsia="宋体"/>
          <w:color w:val="000000"/>
          <w:sz w:val="36"/>
        </w:rPr>
        <w:t>项目主要内容：项目改造范围：东临锦峰巷、南近南湖北路东四巷、西到南湖北路、北至南湖北路东五巷。项目占地面积约</w:t>
      </w:r>
      <w:r>
        <w:rPr>
          <w:rFonts w:hint="eastAsia" w:ascii="Calibri" w:hAnsi="Calibri" w:eastAsia="Calibri"/>
          <w:color w:val="000000"/>
          <w:sz w:val="36"/>
        </w:rPr>
        <w:t>88</w:t>
      </w:r>
      <w:r>
        <w:rPr>
          <w:rFonts w:hint="eastAsia" w:ascii="宋体" w:hAnsi="宋体" w:eastAsia="宋体"/>
          <w:color w:val="000000"/>
          <w:sz w:val="36"/>
        </w:rPr>
        <w:t>亩，范围内涉及乌鲁木齐市公交珍宝巴士有限公司公交停保场及</w:t>
      </w:r>
      <w:r>
        <w:rPr>
          <w:rFonts w:hint="eastAsia" w:ascii="Calibri" w:hAnsi="Calibri" w:eastAsia="Calibri"/>
          <w:color w:val="000000"/>
          <w:sz w:val="36"/>
        </w:rPr>
        <w:t>20</w:t>
      </w:r>
      <w:r>
        <w:rPr>
          <w:rFonts w:hint="eastAsia" w:ascii="宋体" w:hAnsi="宋体" w:eastAsia="宋体"/>
          <w:color w:val="000000"/>
          <w:sz w:val="36"/>
        </w:rPr>
        <w:t>栋自建房。该项目已与三家征收户签订征收补偿协议，分别为：与乌鲁木齐市公交珍宝巴士有限公司签订协议金额</w:t>
      </w:r>
      <w:r>
        <w:rPr>
          <w:rFonts w:hint="eastAsia" w:ascii="Calibri" w:hAnsi="Calibri" w:eastAsia="Calibri"/>
          <w:color w:val="000000"/>
          <w:sz w:val="36"/>
        </w:rPr>
        <w:t>79975178</w:t>
      </w:r>
      <w:r>
        <w:rPr>
          <w:rFonts w:hint="eastAsia" w:ascii="宋体" w:hAnsi="宋体" w:eastAsia="宋体"/>
          <w:color w:val="000000"/>
          <w:sz w:val="36"/>
        </w:rPr>
        <w:t>元；与乌鲁木齐市公共交通集团有限公司签订协议金额</w:t>
      </w:r>
      <w:r>
        <w:rPr>
          <w:rFonts w:hint="eastAsia" w:ascii="Calibri" w:hAnsi="Calibri" w:eastAsia="Calibri"/>
          <w:color w:val="000000"/>
          <w:sz w:val="36"/>
        </w:rPr>
        <w:t>1543082</w:t>
      </w:r>
      <w:r>
        <w:rPr>
          <w:rFonts w:hint="eastAsia" w:ascii="宋体" w:hAnsi="宋体" w:eastAsia="宋体"/>
          <w:color w:val="000000"/>
          <w:sz w:val="36"/>
        </w:rPr>
        <w:t>元；与新疆新捷燃气有限公司签订协议金额</w:t>
      </w:r>
      <w:r>
        <w:rPr>
          <w:rFonts w:hint="eastAsia" w:ascii="Calibri" w:hAnsi="Calibri" w:eastAsia="Calibri"/>
          <w:color w:val="000000"/>
          <w:sz w:val="36"/>
        </w:rPr>
        <w:t>508256</w:t>
      </w:r>
      <w:r>
        <w:rPr>
          <w:rFonts w:hint="eastAsia" w:ascii="宋体" w:hAnsi="宋体" w:eastAsia="宋体"/>
          <w:color w:val="000000"/>
          <w:sz w:val="36"/>
        </w:rPr>
        <w:t>元</w:t>
      </w:r>
      <w:r>
        <w:rPr>
          <w:rFonts w:hint="eastAsia" w:ascii="Calibri" w:hAnsi="Calibri" w:eastAsia="Calibri"/>
          <w:color w:val="000000"/>
          <w:sz w:val="36"/>
        </w:rPr>
        <w:t>。</w:t>
      </w:r>
    </w:p>
    <w:p w14:paraId="135D2E42">
      <w:pPr>
        <w:wordWrap w:val="0"/>
        <w:spacing w:before="0" w:after="0" w:line="276" w:lineRule="auto"/>
        <w:ind w:left="20" w:right="140" w:firstLine="700"/>
        <w:jc w:val="both"/>
        <w:rPr>
          <w:sz w:val="36"/>
        </w:rPr>
      </w:pPr>
      <w:r>
        <w:rPr>
          <w:rFonts w:hint="eastAsia" w:ascii="宋体" w:hAnsi="宋体" w:eastAsia="宋体"/>
          <w:color w:val="000000"/>
          <w:sz w:val="36"/>
        </w:rPr>
        <w:t>项目实施情况：完成了总金额为</w:t>
      </w:r>
      <w:r>
        <w:rPr>
          <w:rFonts w:hint="eastAsia" w:ascii="Calibri" w:hAnsi="Calibri" w:eastAsia="Calibri"/>
          <w:color w:val="000000"/>
          <w:sz w:val="36"/>
        </w:rPr>
        <w:t>82026516</w:t>
      </w:r>
      <w:r>
        <w:rPr>
          <w:rFonts w:hint="eastAsia" w:ascii="宋体" w:hAnsi="宋体" w:eastAsia="宋体"/>
          <w:color w:val="000000"/>
          <w:sz w:val="36"/>
        </w:rPr>
        <w:t>元的三笔征收补偿款支付，其中：向乌鲁木齐市公交珍宝巴士有限公司支付金额</w:t>
      </w:r>
      <w:r>
        <w:rPr>
          <w:rFonts w:hint="eastAsia" w:ascii="Calibri" w:hAnsi="Calibri" w:eastAsia="Calibri"/>
          <w:color w:val="000000"/>
          <w:sz w:val="36"/>
        </w:rPr>
        <w:t>79975178</w:t>
      </w:r>
      <w:r>
        <w:rPr>
          <w:rFonts w:hint="eastAsia" w:ascii="宋体" w:hAnsi="宋体" w:eastAsia="宋体"/>
          <w:color w:val="000000"/>
          <w:sz w:val="36"/>
        </w:rPr>
        <w:t>元，向乌鲁木齐市公共交通集团有限公司支付金额</w:t>
      </w:r>
      <w:r>
        <w:rPr>
          <w:rFonts w:hint="eastAsia" w:ascii="Calibri" w:hAnsi="Calibri" w:eastAsia="Calibri"/>
          <w:color w:val="000000"/>
          <w:sz w:val="36"/>
        </w:rPr>
        <w:t>1543082</w:t>
      </w:r>
      <w:r>
        <w:rPr>
          <w:rFonts w:hint="eastAsia" w:ascii="宋体" w:hAnsi="宋体" w:eastAsia="宋体"/>
          <w:color w:val="000000"/>
          <w:sz w:val="36"/>
        </w:rPr>
        <w:t>元，向新疆新捷燃气有限公司支付金额</w:t>
      </w:r>
      <w:r>
        <w:rPr>
          <w:rFonts w:hint="eastAsia" w:ascii="Calibri" w:hAnsi="Calibri" w:eastAsia="Calibri"/>
          <w:color w:val="000000"/>
          <w:sz w:val="36"/>
        </w:rPr>
        <w:t>508256</w:t>
      </w:r>
      <w:r>
        <w:rPr>
          <w:rFonts w:hint="eastAsia" w:ascii="宋体" w:hAnsi="宋体" w:eastAsia="宋体"/>
          <w:color w:val="000000"/>
          <w:sz w:val="36"/>
        </w:rPr>
        <w:t>元。有效避免了涉访涉诉事件的发生，持续深化维护社会稳定，稳步促进社会和谐发展，大力推进市自建房改造项目落地，改善人居环境，提高居民幸福感。</w:t>
      </w:r>
    </w:p>
    <w:p w14:paraId="6DA6590C">
      <w:pPr>
        <w:wordWrap w:val="0"/>
        <w:spacing w:before="0" w:after="0" w:line="240" w:lineRule="auto"/>
        <w:ind w:firstLine="0"/>
        <w:jc w:val="both"/>
        <w:rPr>
          <w:rFonts w:hint="eastAsia" w:ascii="宋体" w:hAnsi="宋体" w:eastAsia="宋体"/>
          <w:color w:val="000000"/>
          <w:sz w:val="21"/>
        </w:rPr>
      </w:pPr>
    </w:p>
    <w:p w14:paraId="01DD007D">
      <w:pPr>
        <w:wordWrap w:val="0"/>
        <w:spacing w:before="0" w:after="0" w:line="192" w:lineRule="auto"/>
        <w:ind w:firstLine="720"/>
        <w:jc w:val="both"/>
        <w:rPr>
          <w:sz w:val="36"/>
        </w:rPr>
      </w:pPr>
      <w:r>
        <w:rPr>
          <w:rFonts w:hint="eastAsia" w:ascii="Calibri" w:hAnsi="Calibri" w:eastAsia="Calibri"/>
          <w:b/>
          <w:color w:val="000000"/>
          <w:sz w:val="36"/>
        </w:rPr>
        <w:t>3</w:t>
      </w:r>
      <w:r>
        <w:rPr>
          <w:rFonts w:hint="eastAsia" w:ascii="宋体" w:hAnsi="宋体" w:eastAsia="宋体"/>
          <w:b/>
          <w:color w:val="000000"/>
          <w:sz w:val="36"/>
        </w:rPr>
        <w:t>．资金投入和使用情况</w:t>
      </w:r>
    </w:p>
    <w:p w14:paraId="76B53541">
      <w:pPr>
        <w:wordWrap w:val="0"/>
        <w:spacing w:before="0" w:after="0" w:line="240" w:lineRule="auto"/>
        <w:ind w:firstLine="0"/>
        <w:jc w:val="both"/>
        <w:rPr>
          <w:rFonts w:hint="eastAsia" w:ascii="宋体" w:hAnsi="宋体" w:eastAsia="宋体"/>
          <w:color w:val="000000"/>
          <w:sz w:val="21"/>
        </w:rPr>
      </w:pPr>
    </w:p>
    <w:p w14:paraId="41755BFB">
      <w:pPr>
        <w:wordWrap w:val="0"/>
        <w:spacing w:before="0" w:after="0" w:line="192" w:lineRule="auto"/>
        <w:ind w:firstLine="840"/>
        <w:jc w:val="both"/>
        <w:rPr>
          <w:sz w:val="36"/>
        </w:rPr>
        <w:sectPr>
          <w:headerReference r:id="rId3" w:type="default"/>
          <w:footerReference r:id="rId4" w:type="default"/>
          <w:type w:val="continuous"/>
          <w:pgSz w:w="11901" w:h="16841"/>
          <w:pgMar w:top="1920" w:right="1440" w:bottom="1680" w:left="1440" w:header="960" w:footer="840" w:gutter="0"/>
          <w:cols w:space="720" w:num="1"/>
        </w:sectPr>
      </w:pPr>
      <w:r>
        <w:rPr>
          <w:rFonts w:hint="eastAsia" w:ascii="宋体" w:hAnsi="宋体" w:eastAsia="宋体"/>
          <w:color w:val="000000"/>
          <w:sz w:val="36"/>
        </w:rPr>
        <w:t>（</w:t>
      </w:r>
      <w:r>
        <w:rPr>
          <w:rFonts w:hint="eastAsia" w:ascii="Calibri" w:hAnsi="Calibri" w:eastAsia="Calibri"/>
          <w:color w:val="000000"/>
          <w:sz w:val="36"/>
        </w:rPr>
        <w:t>1</w:t>
      </w:r>
      <w:r>
        <w:rPr>
          <w:rFonts w:hint="eastAsia" w:ascii="宋体" w:hAnsi="宋体" w:eastAsia="宋体"/>
          <w:color w:val="000000"/>
          <w:sz w:val="36"/>
        </w:rPr>
        <w:t>）资金投入情况</w:t>
      </w:r>
    </w:p>
    <w:p w14:paraId="1FFFDFB9">
      <w:pPr>
        <w:wordWrap w:val="0"/>
        <w:spacing w:before="0" w:after="0" w:line="254" w:lineRule="auto"/>
        <w:ind w:left="20" w:right="180" w:firstLine="700"/>
        <w:jc w:val="both"/>
        <w:rPr>
          <w:sz w:val="36"/>
        </w:rPr>
      </w:pPr>
      <w:r>
        <w:rPr>
          <w:rFonts w:hint="eastAsia" w:ascii="宋体" w:hAnsi="宋体" w:eastAsia="宋体"/>
          <w:color w:val="000000"/>
          <w:sz w:val="36"/>
        </w:rPr>
        <w:t>该项目年初预算数</w:t>
      </w:r>
      <w:r>
        <w:rPr>
          <w:rFonts w:hint="eastAsia" w:ascii="Calibri" w:hAnsi="Calibri" w:eastAsia="Calibri"/>
          <w:color w:val="000000"/>
          <w:sz w:val="36"/>
        </w:rPr>
        <w:t>8202</w:t>
      </w:r>
      <w:r>
        <w:rPr>
          <w:rFonts w:hint="eastAsia" w:ascii="宋体" w:hAnsi="宋体" w:eastAsia="宋体"/>
          <w:color w:val="000000"/>
          <w:sz w:val="36"/>
        </w:rPr>
        <w:t>.</w:t>
      </w:r>
      <w:r>
        <w:rPr>
          <w:rFonts w:hint="eastAsia" w:ascii="Calibri" w:hAnsi="Calibri" w:eastAsia="Calibri"/>
          <w:color w:val="000000"/>
          <w:sz w:val="36"/>
        </w:rPr>
        <w:t>65</w:t>
      </w:r>
      <w:r>
        <w:rPr>
          <w:rFonts w:hint="eastAsia" w:ascii="宋体" w:hAnsi="宋体" w:eastAsia="宋体"/>
          <w:color w:val="000000"/>
          <w:sz w:val="36"/>
        </w:rPr>
        <w:t>万元，无年中追加追减，全年预算数</w:t>
      </w:r>
      <w:r>
        <w:rPr>
          <w:rFonts w:hint="eastAsia" w:ascii="Calibri" w:hAnsi="Calibri" w:eastAsia="Calibri"/>
          <w:color w:val="000000"/>
          <w:sz w:val="36"/>
        </w:rPr>
        <w:t>8202</w:t>
      </w:r>
      <w:r>
        <w:rPr>
          <w:rFonts w:hint="eastAsia" w:ascii="宋体" w:hAnsi="宋体" w:eastAsia="宋体"/>
          <w:color w:val="000000"/>
          <w:sz w:val="36"/>
        </w:rPr>
        <w:t>.</w:t>
      </w:r>
      <w:r>
        <w:rPr>
          <w:rFonts w:hint="eastAsia" w:ascii="Calibri" w:hAnsi="Calibri" w:eastAsia="Calibri"/>
          <w:color w:val="000000"/>
          <w:sz w:val="36"/>
        </w:rPr>
        <w:t>65</w:t>
      </w:r>
      <w:r>
        <w:rPr>
          <w:rFonts w:hint="eastAsia" w:ascii="宋体" w:hAnsi="宋体" w:eastAsia="宋体"/>
          <w:color w:val="000000"/>
          <w:sz w:val="36"/>
        </w:rPr>
        <w:t>万元，实际总投入</w:t>
      </w:r>
      <w:r>
        <w:rPr>
          <w:rFonts w:hint="eastAsia" w:ascii="Calibri" w:hAnsi="Calibri" w:eastAsia="Calibri"/>
          <w:color w:val="000000"/>
          <w:sz w:val="36"/>
        </w:rPr>
        <w:t>8202</w:t>
      </w:r>
      <w:r>
        <w:rPr>
          <w:rFonts w:hint="eastAsia" w:ascii="宋体" w:hAnsi="宋体" w:eastAsia="宋体"/>
          <w:color w:val="000000"/>
          <w:sz w:val="36"/>
        </w:rPr>
        <w:t>.</w:t>
      </w:r>
      <w:r>
        <w:rPr>
          <w:rFonts w:hint="eastAsia" w:ascii="Calibri" w:hAnsi="Calibri" w:eastAsia="Calibri"/>
          <w:color w:val="000000"/>
          <w:sz w:val="36"/>
        </w:rPr>
        <w:t>65</w:t>
      </w:r>
      <w:r>
        <w:rPr>
          <w:rFonts w:hint="eastAsia" w:ascii="宋体" w:hAnsi="宋体" w:eastAsia="宋体"/>
          <w:color w:val="000000"/>
          <w:sz w:val="36"/>
        </w:rPr>
        <w:t>万元，其中：向乌鲁木齐市公交珍宝巴士有限公司支付金额</w:t>
      </w:r>
      <w:r>
        <w:rPr>
          <w:rFonts w:hint="eastAsia" w:ascii="Calibri" w:hAnsi="Calibri" w:eastAsia="Calibri"/>
          <w:color w:val="000000"/>
          <w:sz w:val="36"/>
        </w:rPr>
        <w:t>79975178</w:t>
      </w:r>
      <w:r>
        <w:rPr>
          <w:rFonts w:hint="eastAsia" w:ascii="宋体" w:hAnsi="宋体" w:eastAsia="宋体"/>
          <w:color w:val="000000"/>
          <w:sz w:val="36"/>
        </w:rPr>
        <w:t>元，向乌鲁木齐市公共交通集团有限公司支付金额</w:t>
      </w:r>
      <w:r>
        <w:rPr>
          <w:rFonts w:hint="eastAsia" w:ascii="Calibri" w:hAnsi="Calibri" w:eastAsia="Calibri"/>
          <w:color w:val="000000"/>
          <w:sz w:val="36"/>
        </w:rPr>
        <w:t>1543082</w:t>
      </w:r>
      <w:r>
        <w:rPr>
          <w:rFonts w:hint="eastAsia" w:ascii="宋体" w:hAnsi="宋体" w:eastAsia="宋体"/>
          <w:color w:val="000000"/>
          <w:sz w:val="36"/>
        </w:rPr>
        <w:t>元，向新疆新捷燃气有限公司支付金额</w:t>
      </w:r>
      <w:r>
        <w:rPr>
          <w:rFonts w:hint="eastAsia" w:ascii="Calibri" w:hAnsi="Calibri" w:eastAsia="Calibri"/>
          <w:color w:val="000000"/>
          <w:sz w:val="36"/>
        </w:rPr>
        <w:t>508256</w:t>
      </w:r>
      <w:r>
        <w:rPr>
          <w:rFonts w:hint="eastAsia" w:ascii="宋体" w:hAnsi="宋体" w:eastAsia="宋体"/>
          <w:color w:val="000000"/>
          <w:sz w:val="36"/>
        </w:rPr>
        <w:t>元。该项目资金已全部落实到位，资金来源为财政拨款。</w:t>
      </w:r>
    </w:p>
    <w:p w14:paraId="5116D17F">
      <w:pPr>
        <w:wordWrap w:val="0"/>
        <w:spacing w:before="0" w:after="0" w:line="240" w:lineRule="auto"/>
        <w:ind w:firstLine="0"/>
        <w:jc w:val="both"/>
        <w:rPr>
          <w:rFonts w:hint="eastAsia" w:ascii="宋体" w:hAnsi="宋体" w:eastAsia="宋体"/>
          <w:color w:val="000000"/>
          <w:sz w:val="21"/>
        </w:rPr>
      </w:pPr>
    </w:p>
    <w:p w14:paraId="4066C1D8">
      <w:pPr>
        <w:wordWrap w:val="0"/>
        <w:spacing w:before="0" w:after="0" w:line="192" w:lineRule="auto"/>
        <w:ind w:firstLine="840"/>
        <w:jc w:val="both"/>
        <w:rPr>
          <w:sz w:val="36"/>
        </w:rPr>
      </w:pPr>
      <w:r>
        <w:rPr>
          <w:rFonts w:hint="eastAsia" w:ascii="宋体" w:hAnsi="宋体" w:eastAsia="宋体"/>
          <w:color w:val="000000"/>
          <w:sz w:val="36"/>
        </w:rPr>
        <w:t>（</w:t>
      </w:r>
      <w:r>
        <w:rPr>
          <w:rFonts w:hint="eastAsia" w:ascii="Calibri" w:hAnsi="Calibri" w:eastAsia="Calibri"/>
          <w:color w:val="000000"/>
          <w:sz w:val="36"/>
        </w:rPr>
        <w:t>2</w:t>
      </w:r>
      <w:r>
        <w:rPr>
          <w:rFonts w:hint="eastAsia" w:ascii="宋体" w:hAnsi="宋体" w:eastAsia="宋体"/>
          <w:color w:val="000000"/>
          <w:sz w:val="36"/>
        </w:rPr>
        <w:t>）资金使用情况</w:t>
      </w:r>
    </w:p>
    <w:p w14:paraId="4F1475E6">
      <w:pPr>
        <w:wordWrap w:val="0"/>
        <w:spacing w:before="0" w:after="0" w:line="240" w:lineRule="auto"/>
        <w:ind w:firstLine="0"/>
        <w:jc w:val="both"/>
        <w:rPr>
          <w:rFonts w:hint="eastAsia" w:ascii="宋体" w:hAnsi="宋体" w:eastAsia="宋体"/>
          <w:color w:val="000000"/>
          <w:sz w:val="21"/>
        </w:rPr>
      </w:pPr>
    </w:p>
    <w:p w14:paraId="64892E8D">
      <w:pPr>
        <w:wordWrap w:val="0"/>
        <w:spacing w:before="0" w:after="0" w:line="254" w:lineRule="auto"/>
        <w:ind w:left="20" w:right="180" w:firstLine="700"/>
        <w:jc w:val="both"/>
        <w:rPr>
          <w:sz w:val="36"/>
        </w:rPr>
      </w:pPr>
      <w:r>
        <w:rPr>
          <w:rFonts w:hint="eastAsia" w:ascii="宋体" w:hAnsi="宋体" w:eastAsia="宋体"/>
          <w:color w:val="000000"/>
          <w:sz w:val="36"/>
        </w:rPr>
        <w:t>该项目年初预算数</w:t>
      </w:r>
      <w:r>
        <w:rPr>
          <w:rFonts w:hint="eastAsia" w:ascii="Calibri" w:hAnsi="Calibri" w:eastAsia="Calibri"/>
          <w:color w:val="000000"/>
          <w:sz w:val="36"/>
        </w:rPr>
        <w:t>8202</w:t>
      </w:r>
      <w:r>
        <w:rPr>
          <w:rFonts w:hint="eastAsia" w:ascii="宋体" w:hAnsi="宋体" w:eastAsia="宋体"/>
          <w:color w:val="000000"/>
          <w:sz w:val="36"/>
        </w:rPr>
        <w:t>.</w:t>
      </w:r>
      <w:r>
        <w:rPr>
          <w:rFonts w:hint="eastAsia" w:ascii="Calibri" w:hAnsi="Calibri" w:eastAsia="Calibri"/>
          <w:color w:val="000000"/>
          <w:sz w:val="36"/>
        </w:rPr>
        <w:t>65</w:t>
      </w:r>
      <w:r>
        <w:rPr>
          <w:rFonts w:hint="eastAsia" w:ascii="宋体" w:hAnsi="宋体" w:eastAsia="宋体"/>
          <w:color w:val="000000"/>
          <w:sz w:val="36"/>
        </w:rPr>
        <w:t>万元，全年预算数</w:t>
      </w:r>
      <w:r>
        <w:rPr>
          <w:rFonts w:hint="eastAsia" w:ascii="Calibri" w:hAnsi="Calibri" w:eastAsia="Calibri"/>
          <w:color w:val="000000"/>
          <w:sz w:val="36"/>
        </w:rPr>
        <w:t>8202</w:t>
      </w:r>
      <w:r>
        <w:rPr>
          <w:rFonts w:hint="eastAsia" w:ascii="宋体" w:hAnsi="宋体" w:eastAsia="宋体"/>
          <w:color w:val="000000"/>
          <w:sz w:val="36"/>
        </w:rPr>
        <w:t>.</w:t>
      </w:r>
      <w:r>
        <w:rPr>
          <w:rFonts w:hint="eastAsia" w:ascii="Calibri" w:hAnsi="Calibri" w:eastAsia="Calibri"/>
          <w:color w:val="000000"/>
          <w:sz w:val="36"/>
        </w:rPr>
        <w:t>65</w:t>
      </w:r>
      <w:r>
        <w:rPr>
          <w:rFonts w:hint="eastAsia" w:ascii="宋体" w:hAnsi="宋体" w:eastAsia="宋体"/>
          <w:color w:val="000000"/>
          <w:sz w:val="36"/>
        </w:rPr>
        <w:t>万元，无年中追加追减，全年执行数</w:t>
      </w:r>
      <w:r>
        <w:rPr>
          <w:rFonts w:hint="eastAsia" w:ascii="Calibri" w:hAnsi="Calibri" w:eastAsia="Calibri"/>
          <w:color w:val="000000"/>
          <w:sz w:val="36"/>
        </w:rPr>
        <w:t>8202</w:t>
      </w:r>
      <w:r>
        <w:rPr>
          <w:rFonts w:hint="eastAsia" w:ascii="宋体" w:hAnsi="宋体" w:eastAsia="宋体"/>
          <w:color w:val="000000"/>
          <w:sz w:val="36"/>
        </w:rPr>
        <w:t>.</w:t>
      </w:r>
      <w:r>
        <w:rPr>
          <w:rFonts w:hint="eastAsia" w:ascii="Calibri" w:hAnsi="Calibri" w:eastAsia="Calibri"/>
          <w:color w:val="000000"/>
          <w:sz w:val="36"/>
        </w:rPr>
        <w:t>65</w:t>
      </w:r>
      <w:r>
        <w:rPr>
          <w:rFonts w:hint="eastAsia" w:ascii="宋体" w:hAnsi="宋体" w:eastAsia="宋体"/>
          <w:color w:val="000000"/>
          <w:sz w:val="36"/>
        </w:rPr>
        <w:t>万元，预算执行率为</w:t>
      </w:r>
      <w:r>
        <w:rPr>
          <w:rFonts w:hint="eastAsia" w:ascii="Calibri" w:hAnsi="Calibri" w:eastAsia="Calibri"/>
          <w:color w:val="000000"/>
          <w:sz w:val="36"/>
        </w:rPr>
        <w:t>100</w:t>
      </w:r>
      <w:r>
        <w:rPr>
          <w:rFonts w:hint="eastAsia" w:ascii="宋体" w:hAnsi="宋体" w:eastAsia="宋体"/>
          <w:color w:val="000000"/>
          <w:sz w:val="36"/>
        </w:rPr>
        <w:t>％，主要用于：支付征收补偿款。其中：向乌鲁木齐市公交珍宝巴士有限公司支付金额</w:t>
      </w:r>
      <w:r>
        <w:rPr>
          <w:rFonts w:hint="eastAsia" w:ascii="Calibri" w:hAnsi="Calibri" w:eastAsia="Calibri"/>
          <w:color w:val="000000"/>
          <w:sz w:val="36"/>
        </w:rPr>
        <w:t>79975178</w:t>
      </w:r>
      <w:r>
        <w:rPr>
          <w:rFonts w:hint="eastAsia" w:ascii="宋体" w:hAnsi="宋体" w:eastAsia="宋体"/>
          <w:color w:val="000000"/>
          <w:sz w:val="36"/>
        </w:rPr>
        <w:t>元，向乌鲁木齐市公共交通集团有限公司支付金额</w:t>
      </w:r>
      <w:r>
        <w:rPr>
          <w:rFonts w:hint="eastAsia" w:ascii="Calibri" w:hAnsi="Calibri" w:eastAsia="Calibri"/>
          <w:color w:val="000000"/>
          <w:sz w:val="36"/>
        </w:rPr>
        <w:t>1543082</w:t>
      </w:r>
      <w:r>
        <w:rPr>
          <w:rFonts w:hint="eastAsia" w:ascii="宋体" w:hAnsi="宋体" w:eastAsia="宋体"/>
          <w:color w:val="000000"/>
          <w:sz w:val="36"/>
        </w:rPr>
        <w:t>元，向新疆新捷燃气有限公司支付金额</w:t>
      </w:r>
      <w:r>
        <w:rPr>
          <w:rFonts w:hint="eastAsia" w:ascii="Calibri" w:hAnsi="Calibri" w:eastAsia="Calibri"/>
          <w:color w:val="000000"/>
          <w:sz w:val="36"/>
        </w:rPr>
        <w:t>508256</w:t>
      </w:r>
      <w:r>
        <w:rPr>
          <w:rFonts w:hint="eastAsia" w:ascii="宋体" w:hAnsi="宋体" w:eastAsia="宋体"/>
          <w:color w:val="000000"/>
          <w:sz w:val="36"/>
        </w:rPr>
        <w:t>元。</w:t>
      </w:r>
    </w:p>
    <w:p w14:paraId="07AB13C0">
      <w:pPr>
        <w:wordWrap w:val="0"/>
        <w:spacing w:before="0" w:after="0" w:line="240" w:lineRule="auto"/>
        <w:ind w:firstLine="0"/>
        <w:jc w:val="both"/>
        <w:rPr>
          <w:rFonts w:hint="eastAsia" w:ascii="宋体" w:hAnsi="宋体" w:eastAsia="宋体"/>
          <w:color w:val="000000"/>
          <w:sz w:val="21"/>
        </w:rPr>
      </w:pPr>
    </w:p>
    <w:p w14:paraId="396AF73A">
      <w:pPr>
        <w:wordWrap w:val="0"/>
        <w:spacing w:before="0" w:after="0" w:line="192" w:lineRule="auto"/>
        <w:ind w:firstLine="840"/>
        <w:jc w:val="both"/>
        <w:rPr>
          <w:sz w:val="36"/>
        </w:rPr>
      </w:pPr>
      <w:r>
        <w:rPr>
          <w:rFonts w:hint="eastAsia" w:ascii="宋体" w:hAnsi="宋体" w:eastAsia="宋体"/>
          <w:b/>
          <w:color w:val="000000"/>
          <w:sz w:val="36"/>
        </w:rPr>
        <w:t>（二）项目绩效目标</w:t>
      </w:r>
    </w:p>
    <w:p w14:paraId="350DFA05">
      <w:pPr>
        <w:wordWrap w:val="0"/>
        <w:spacing w:before="0" w:after="0" w:line="240" w:lineRule="auto"/>
        <w:ind w:firstLine="720"/>
        <w:jc w:val="both"/>
        <w:rPr>
          <w:sz w:val="36"/>
        </w:rPr>
      </w:pPr>
      <w:r>
        <w:rPr>
          <w:rFonts w:hint="eastAsia" w:ascii="Calibri" w:hAnsi="Calibri" w:eastAsia="Calibri"/>
          <w:b/>
          <w:color w:val="000000"/>
          <w:sz w:val="36"/>
        </w:rPr>
        <w:t>1</w:t>
      </w:r>
      <w:r>
        <w:rPr>
          <w:rFonts w:hint="eastAsia" w:ascii="宋体" w:hAnsi="宋体" w:eastAsia="宋体"/>
          <w:b/>
          <w:color w:val="000000"/>
          <w:sz w:val="36"/>
        </w:rPr>
        <w:t>．总体目标</w:t>
      </w:r>
    </w:p>
    <w:p w14:paraId="5CBE78E1">
      <w:pPr>
        <w:wordWrap w:val="0"/>
        <w:spacing w:before="0" w:after="0" w:line="254" w:lineRule="auto"/>
        <w:ind w:left="20" w:right="180" w:firstLine="700"/>
        <w:jc w:val="both"/>
        <w:rPr>
          <w:sz w:val="36"/>
        </w:rPr>
      </w:pPr>
      <w:r>
        <w:rPr>
          <w:rFonts w:hint="eastAsia" w:ascii="宋体" w:hAnsi="宋体" w:eastAsia="宋体"/>
          <w:color w:val="000000"/>
          <w:sz w:val="36"/>
        </w:rPr>
        <w:t>完成总金额为</w:t>
      </w:r>
      <w:r>
        <w:rPr>
          <w:rFonts w:hint="eastAsia" w:ascii="Calibri" w:hAnsi="Calibri" w:eastAsia="Calibri"/>
          <w:color w:val="000000"/>
          <w:sz w:val="36"/>
        </w:rPr>
        <w:t>82026516</w:t>
      </w:r>
      <w:r>
        <w:rPr>
          <w:rFonts w:hint="eastAsia" w:ascii="宋体" w:hAnsi="宋体" w:eastAsia="宋体"/>
          <w:color w:val="000000"/>
          <w:sz w:val="36"/>
        </w:rPr>
        <w:t>元的三笔征收补偿款支付，其中：向乌鲁木齐市公交珍宝巴士有限公司支付金额</w:t>
      </w:r>
      <w:r>
        <w:rPr>
          <w:rFonts w:hint="eastAsia" w:ascii="Calibri" w:hAnsi="Calibri" w:eastAsia="Calibri"/>
          <w:color w:val="000000"/>
          <w:sz w:val="36"/>
        </w:rPr>
        <w:t>79975178</w:t>
      </w:r>
      <w:r>
        <w:rPr>
          <w:rFonts w:hint="eastAsia" w:ascii="宋体" w:hAnsi="宋体" w:eastAsia="宋体"/>
          <w:color w:val="000000"/>
          <w:sz w:val="36"/>
        </w:rPr>
        <w:t>元，向乌鲁木齐市公共交通集团有限公司支付金额</w:t>
      </w:r>
      <w:r>
        <w:rPr>
          <w:rFonts w:hint="eastAsia" w:ascii="Calibri" w:hAnsi="Calibri" w:eastAsia="Calibri"/>
          <w:color w:val="000000"/>
          <w:sz w:val="36"/>
        </w:rPr>
        <w:t>1543082</w:t>
      </w:r>
      <w:r>
        <w:rPr>
          <w:rFonts w:hint="eastAsia" w:ascii="宋体" w:hAnsi="宋体" w:eastAsia="宋体"/>
          <w:color w:val="000000"/>
          <w:sz w:val="36"/>
        </w:rPr>
        <w:t>元，向新疆新捷燃气有限公司支付金额</w:t>
      </w:r>
      <w:r>
        <w:rPr>
          <w:rFonts w:hint="eastAsia" w:ascii="Calibri" w:hAnsi="Calibri" w:eastAsia="Calibri"/>
          <w:color w:val="000000"/>
          <w:sz w:val="36"/>
        </w:rPr>
        <w:t>508256</w:t>
      </w:r>
      <w:r>
        <w:rPr>
          <w:rFonts w:hint="eastAsia" w:ascii="宋体" w:hAnsi="宋体" w:eastAsia="宋体"/>
          <w:color w:val="000000"/>
          <w:sz w:val="36"/>
        </w:rPr>
        <w:t>元。避免涉访涉诉事件的发生，有效维护社会稳定，促进社会和谐发展，推进市自建房改造项目落地，改善人居环境，提高居民幸福感。</w:t>
      </w:r>
    </w:p>
    <w:p w14:paraId="298F28A0">
      <w:pPr>
        <w:wordWrap w:val="0"/>
        <w:spacing w:before="0" w:after="0" w:line="240" w:lineRule="auto"/>
        <w:ind w:firstLine="0"/>
        <w:jc w:val="both"/>
        <w:rPr>
          <w:rFonts w:hint="eastAsia" w:ascii="宋体" w:hAnsi="宋体" w:eastAsia="宋体"/>
          <w:color w:val="000000"/>
          <w:sz w:val="21"/>
        </w:rPr>
      </w:pPr>
    </w:p>
    <w:p w14:paraId="7F8C4924">
      <w:pPr>
        <w:wordWrap w:val="0"/>
        <w:spacing w:before="0" w:after="0" w:line="192" w:lineRule="auto"/>
        <w:ind w:firstLine="720"/>
        <w:jc w:val="both"/>
        <w:rPr>
          <w:sz w:val="36"/>
        </w:rPr>
      </w:pPr>
      <w:r>
        <w:rPr>
          <w:rFonts w:hint="eastAsia" w:ascii="Calibri" w:hAnsi="Calibri" w:eastAsia="Calibri"/>
          <w:b/>
          <w:color w:val="000000"/>
          <w:sz w:val="36"/>
        </w:rPr>
        <w:t>2</w:t>
      </w:r>
      <w:r>
        <w:rPr>
          <w:rFonts w:hint="eastAsia" w:ascii="宋体" w:hAnsi="宋体" w:eastAsia="宋体"/>
          <w:b/>
          <w:color w:val="000000"/>
          <w:sz w:val="36"/>
        </w:rPr>
        <w:t>．阶段性目标</w:t>
      </w:r>
    </w:p>
    <w:p w14:paraId="4E044C3A">
      <w:pPr>
        <w:wordWrap w:val="0"/>
        <w:spacing w:before="158" w:after="0" w:line="239" w:lineRule="auto"/>
        <w:ind w:firstLine="720"/>
        <w:jc w:val="both"/>
        <w:rPr>
          <w:sz w:val="33"/>
        </w:rPr>
        <w:sectPr>
          <w:headerReference r:id="rId5" w:type="default"/>
          <w:footerReference r:id="rId6" w:type="default"/>
          <w:type w:val="continuous"/>
          <w:pgSz w:w="11900" w:h="16840"/>
          <w:pgMar w:top="1200" w:right="1440" w:bottom="1920" w:left="1440" w:header="600" w:footer="960" w:gutter="0"/>
          <w:cols w:space="720" w:num="1"/>
        </w:sectPr>
      </w:pPr>
      <w:r>
        <w:rPr>
          <w:rFonts w:hint="eastAsia" w:ascii="宋体" w:hAnsi="宋体" w:eastAsia="宋体"/>
          <w:color w:val="000000"/>
          <w:sz w:val="33"/>
        </w:rPr>
        <w:t>该项目为一次性支付项目，因此无具体阶段性目标。在衍</w:t>
      </w:r>
    </w:p>
    <w:p w14:paraId="7AB05BF5">
      <w:pPr>
        <w:wordWrap w:val="0"/>
        <w:spacing w:before="0" w:after="0" w:line="249" w:lineRule="auto"/>
        <w:ind w:left="40" w:right="280" w:firstLine="0"/>
        <w:jc w:val="both"/>
        <w:rPr>
          <w:sz w:val="36"/>
        </w:rPr>
      </w:pPr>
      <w:r>
        <w:rPr>
          <w:rFonts w:hint="eastAsia" w:ascii="宋体" w:hAnsi="宋体" w:eastAsia="宋体"/>
          <w:color w:val="000000"/>
          <w:sz w:val="36"/>
        </w:rPr>
        <w:t>生效益上阶段性地避免涉访涉诉事件的发生，有效维护社会稳定，促进社会和谐发展，推进市自建房改造项目落地，改善人居环境，提高居民幸福感。</w:t>
      </w:r>
    </w:p>
    <w:p w14:paraId="5FEC54C3">
      <w:pPr>
        <w:wordWrap w:val="0"/>
        <w:spacing w:before="0" w:after="0" w:line="240" w:lineRule="auto"/>
        <w:ind w:firstLine="0"/>
        <w:jc w:val="both"/>
        <w:rPr>
          <w:rFonts w:hint="eastAsia" w:ascii="宋体" w:hAnsi="宋体" w:eastAsia="宋体"/>
          <w:color w:val="000000"/>
          <w:sz w:val="21"/>
        </w:rPr>
      </w:pPr>
    </w:p>
    <w:p w14:paraId="415FCA16">
      <w:pPr>
        <w:wordWrap w:val="0"/>
        <w:spacing w:before="0" w:after="0" w:line="240" w:lineRule="auto"/>
        <w:ind w:firstLine="0"/>
        <w:jc w:val="both"/>
        <w:rPr>
          <w:rFonts w:hint="eastAsia" w:ascii="宋体" w:hAnsi="宋体" w:eastAsia="宋体"/>
          <w:color w:val="000000"/>
          <w:sz w:val="21"/>
        </w:rPr>
      </w:pPr>
    </w:p>
    <w:p w14:paraId="4AB04B8C">
      <w:pPr>
        <w:wordWrap w:val="0"/>
        <w:spacing w:before="0" w:after="0" w:line="240" w:lineRule="auto"/>
        <w:ind w:firstLine="0"/>
        <w:jc w:val="both"/>
        <w:rPr>
          <w:rFonts w:hint="eastAsia" w:ascii="宋体" w:hAnsi="宋体" w:eastAsia="宋体"/>
          <w:color w:val="000000"/>
          <w:sz w:val="21"/>
        </w:rPr>
      </w:pPr>
    </w:p>
    <w:p w14:paraId="70C6EA1C">
      <w:pPr>
        <w:wordWrap w:val="0"/>
        <w:spacing w:before="0" w:after="0" w:line="192" w:lineRule="auto"/>
        <w:ind w:firstLine="720"/>
        <w:jc w:val="both"/>
        <w:rPr>
          <w:sz w:val="36"/>
        </w:rPr>
      </w:pPr>
      <w:r>
        <w:rPr>
          <w:rFonts w:hint="eastAsia" w:ascii="宋体" w:hAnsi="宋体" w:eastAsia="宋体"/>
          <w:b/>
          <w:color w:val="000000"/>
          <w:sz w:val="36"/>
        </w:rPr>
        <w:t>二、绩效评价工作开展情况</w:t>
      </w:r>
    </w:p>
    <w:p w14:paraId="38B5C1A9">
      <w:pPr>
        <w:wordWrap w:val="0"/>
        <w:spacing w:before="0" w:after="0" w:line="240" w:lineRule="auto"/>
        <w:ind w:firstLine="860"/>
        <w:jc w:val="both"/>
        <w:rPr>
          <w:sz w:val="36"/>
        </w:rPr>
      </w:pPr>
      <w:r>
        <w:rPr>
          <w:rFonts w:hint="eastAsia" w:ascii="宋体" w:hAnsi="宋体" w:eastAsia="宋体"/>
          <w:b/>
          <w:color w:val="000000"/>
          <w:sz w:val="36"/>
        </w:rPr>
        <w:t>（一）绩效评价目的、对象和范围</w:t>
      </w:r>
    </w:p>
    <w:p w14:paraId="62AADD1A">
      <w:pPr>
        <w:wordWrap w:val="0"/>
        <w:spacing w:before="113" w:after="0" w:line="240" w:lineRule="auto"/>
        <w:ind w:firstLine="720"/>
        <w:jc w:val="both"/>
        <w:rPr>
          <w:sz w:val="36"/>
        </w:rPr>
      </w:pPr>
      <w:r>
        <w:rPr>
          <w:rFonts w:hint="eastAsia" w:ascii="Calibri" w:hAnsi="Calibri" w:eastAsia="Calibri"/>
          <w:b/>
          <w:color w:val="000000"/>
          <w:sz w:val="36"/>
        </w:rPr>
        <w:t>1</w:t>
      </w:r>
      <w:r>
        <w:rPr>
          <w:rFonts w:hint="eastAsia" w:ascii="宋体" w:hAnsi="宋体" w:eastAsia="宋体"/>
          <w:b/>
          <w:color w:val="000000"/>
          <w:sz w:val="36"/>
        </w:rPr>
        <w:t>．绩效评价的目的</w:t>
      </w:r>
    </w:p>
    <w:p w14:paraId="20687602">
      <w:pPr>
        <w:wordWrap w:val="0"/>
        <w:spacing w:before="0" w:after="0" w:line="249" w:lineRule="auto"/>
        <w:ind w:left="40" w:right="100" w:firstLine="680"/>
        <w:jc w:val="both"/>
        <w:rPr>
          <w:sz w:val="36"/>
        </w:rPr>
      </w:pPr>
      <w:r>
        <w:rPr>
          <w:rFonts w:hint="eastAsia" w:ascii="宋体" w:hAnsi="宋体" w:eastAsia="宋体"/>
          <w:color w:val="000000"/>
          <w:sz w:val="36"/>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BBAF654">
      <w:pPr>
        <w:wordWrap w:val="0"/>
        <w:spacing w:before="0" w:after="0" w:line="249" w:lineRule="auto"/>
        <w:ind w:left="40" w:right="280" w:firstLine="820"/>
        <w:jc w:val="both"/>
        <w:rPr>
          <w:sz w:val="36"/>
        </w:rPr>
      </w:pPr>
      <w:r>
        <w:rPr>
          <w:rFonts w:hint="eastAsia" w:ascii="宋体" w:hAnsi="宋体" w:eastAsia="宋体"/>
          <w:color w:val="000000"/>
          <w:sz w:val="36"/>
        </w:rPr>
        <w:t>（</w:t>
      </w:r>
      <w:r>
        <w:rPr>
          <w:rFonts w:hint="eastAsia" w:ascii="Calibri" w:hAnsi="Calibri" w:eastAsia="Calibri"/>
          <w:color w:val="000000"/>
          <w:sz w:val="36"/>
        </w:rPr>
        <w:t>1</w:t>
      </w:r>
      <w:r>
        <w:rPr>
          <w:rFonts w:hint="eastAsia" w:ascii="宋体" w:hAnsi="宋体" w:eastAsia="宋体"/>
          <w:color w:val="000000"/>
          <w:sz w:val="36"/>
        </w:rPr>
        <w:t>）项目在实施前向项目负责人提供财政支出绩效方面的资金管理信息，促进项目支出严格按照资金管理规定进行。</w:t>
      </w:r>
    </w:p>
    <w:p w14:paraId="0741E9DF">
      <w:pPr>
        <w:wordWrap w:val="0"/>
        <w:spacing w:before="178" w:after="0" w:line="239" w:lineRule="auto"/>
        <w:ind w:firstLine="860"/>
        <w:jc w:val="both"/>
        <w:rPr>
          <w:sz w:val="33"/>
        </w:rPr>
      </w:pPr>
      <w:r>
        <w:rPr>
          <w:rFonts w:hint="eastAsia" w:ascii="宋体" w:hAnsi="宋体" w:eastAsia="宋体"/>
          <w:color w:val="000000"/>
          <w:sz w:val="33"/>
        </w:rPr>
        <w:t>（</w:t>
      </w:r>
      <w:r>
        <w:rPr>
          <w:rFonts w:hint="eastAsia" w:ascii="Calibri" w:hAnsi="Calibri" w:eastAsia="Calibri"/>
          <w:color w:val="000000"/>
          <w:sz w:val="33"/>
        </w:rPr>
        <w:t>2</w:t>
      </w:r>
      <w:r>
        <w:rPr>
          <w:rFonts w:hint="eastAsia" w:ascii="宋体" w:hAnsi="宋体" w:eastAsia="宋体"/>
          <w:color w:val="000000"/>
          <w:sz w:val="33"/>
        </w:rPr>
        <w:t>）项目绩效管理财政支出运行提供及时、有效的信息。</w:t>
      </w:r>
    </w:p>
    <w:p w14:paraId="143852E4">
      <w:pPr>
        <w:wordWrap w:val="0"/>
        <w:spacing w:before="0" w:after="0" w:line="249" w:lineRule="auto"/>
        <w:ind w:left="40" w:right="100" w:firstLine="680"/>
        <w:jc w:val="both"/>
        <w:rPr>
          <w:sz w:val="36"/>
        </w:rPr>
      </w:pPr>
      <w:r>
        <w:rPr>
          <w:rFonts w:hint="eastAsia" w:ascii="宋体" w:hAnsi="宋体" w:eastAsia="宋体"/>
          <w:color w:val="000000"/>
          <w:sz w:val="36"/>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349CE03">
      <w:pPr>
        <w:wordWrap w:val="0"/>
        <w:spacing w:before="98" w:after="0" w:line="240" w:lineRule="auto"/>
        <w:ind w:firstLine="720"/>
        <w:jc w:val="both"/>
        <w:rPr>
          <w:sz w:val="36"/>
        </w:rPr>
        <w:sectPr>
          <w:headerReference r:id="rId7" w:type="default"/>
          <w:footerReference r:id="rId8" w:type="default"/>
          <w:type w:val="continuous"/>
          <w:pgSz w:w="11901" w:h="16841"/>
          <w:pgMar w:top="1440" w:right="1440" w:bottom="1680" w:left="1440" w:header="720" w:footer="840" w:gutter="0"/>
          <w:cols w:space="720" w:num="1"/>
        </w:sectPr>
      </w:pPr>
      <w:r>
        <w:rPr>
          <w:rFonts w:hint="eastAsia" w:ascii="Calibri" w:hAnsi="Calibri" w:eastAsia="Calibri"/>
          <w:color w:val="000000"/>
          <w:sz w:val="36"/>
        </w:rPr>
        <w:t>2</w:t>
      </w:r>
      <w:r>
        <w:rPr>
          <w:rFonts w:hint="eastAsia" w:ascii="宋体" w:hAnsi="宋体" w:eastAsia="宋体"/>
          <w:color w:val="000000"/>
          <w:sz w:val="36"/>
        </w:rPr>
        <w:t>．绩效评价的对象</w:t>
      </w:r>
    </w:p>
    <w:p w14:paraId="13CA7C3F">
      <w:pPr>
        <w:wordWrap w:val="0"/>
        <w:spacing w:before="0" w:after="0" w:line="259" w:lineRule="auto"/>
        <w:ind w:left="20" w:right="160" w:firstLine="680"/>
        <w:jc w:val="both"/>
        <w:rPr>
          <w:sz w:val="36"/>
        </w:rPr>
      </w:pPr>
      <w:r>
        <w:rPr>
          <w:rFonts w:hint="eastAsia" w:ascii="宋体" w:hAnsi="宋体" w:eastAsia="宋体"/>
          <w:color w:val="000000"/>
          <w:sz w:val="36"/>
        </w:rPr>
        <w:t>水磨沟区王家梁停保场自建房改造补偿资金项目所包含的全部项目内容。</w:t>
      </w:r>
    </w:p>
    <w:p w14:paraId="17DDA0E3">
      <w:pPr>
        <w:wordWrap w:val="0"/>
        <w:spacing w:before="117" w:after="0" w:line="240" w:lineRule="auto"/>
        <w:ind w:firstLine="700"/>
        <w:jc w:val="both"/>
        <w:rPr>
          <w:sz w:val="36"/>
        </w:rPr>
      </w:pPr>
      <w:r>
        <w:rPr>
          <w:rFonts w:hint="eastAsia" w:ascii="Calibri" w:hAnsi="Calibri" w:eastAsia="Calibri"/>
          <w:b/>
          <w:color w:val="000000"/>
          <w:sz w:val="36"/>
        </w:rPr>
        <w:t>3</w:t>
      </w:r>
      <w:r>
        <w:rPr>
          <w:rFonts w:hint="eastAsia" w:ascii="宋体" w:hAnsi="宋体" w:eastAsia="宋体"/>
          <w:b/>
          <w:color w:val="000000"/>
          <w:sz w:val="36"/>
        </w:rPr>
        <w:t>．绩效评价的范围</w:t>
      </w:r>
    </w:p>
    <w:p w14:paraId="50E26B1C">
      <w:pPr>
        <w:wordWrap w:val="0"/>
        <w:spacing w:before="0" w:after="0" w:line="259" w:lineRule="auto"/>
        <w:ind w:left="20" w:right="160" w:firstLine="680"/>
        <w:jc w:val="both"/>
        <w:rPr>
          <w:sz w:val="36"/>
        </w:rPr>
      </w:pPr>
      <w:r>
        <w:rPr>
          <w:rFonts w:hint="eastAsia" w:ascii="宋体" w:hAnsi="宋体" w:eastAsia="宋体"/>
          <w:color w:val="000000"/>
          <w:sz w:val="36"/>
        </w:rPr>
        <w:t>本次评价从项目决策（包括绩效目标、决策过程）、项目管理（包括项目资金、项目实施）、项目产出（包括项目产出数量、产出质量、产出时效和产出成本）项目效益四个维度对水磨沟区王家梁停保场自建房改造补偿资金项目项目进行评价，评价核心为专项资金的支出完成情况和效果。</w:t>
      </w:r>
    </w:p>
    <w:p w14:paraId="114DDE33">
      <w:pPr>
        <w:wordWrap w:val="0"/>
        <w:spacing w:before="45" w:after="0" w:line="259" w:lineRule="auto"/>
        <w:ind w:left="20" w:right="300" w:firstLine="840"/>
        <w:jc w:val="both"/>
        <w:rPr>
          <w:sz w:val="36"/>
        </w:rPr>
      </w:pPr>
      <w:r>
        <w:rPr>
          <w:rFonts w:hint="eastAsia" w:ascii="宋体" w:hAnsi="宋体" w:eastAsia="宋体"/>
          <w:b/>
          <w:color w:val="000000"/>
          <w:sz w:val="36"/>
        </w:rPr>
        <w:t>（二）绩效评价原则、评价指标体系（详情见附件</w:t>
      </w:r>
      <w:r>
        <w:rPr>
          <w:rFonts w:hint="eastAsia" w:ascii="Calibri" w:hAnsi="Calibri" w:eastAsia="Calibri"/>
          <w:b/>
          <w:color w:val="000000"/>
          <w:sz w:val="36"/>
        </w:rPr>
        <w:t>2</w:t>
      </w:r>
      <w:r>
        <w:rPr>
          <w:rFonts w:hint="eastAsia" w:ascii="宋体" w:hAnsi="宋体" w:eastAsia="宋体"/>
          <w:b/>
          <w:color w:val="000000"/>
          <w:sz w:val="36"/>
        </w:rPr>
        <w:t>）、评价方法、评价标准</w:t>
      </w:r>
    </w:p>
    <w:p w14:paraId="2F482FA2">
      <w:pPr>
        <w:wordWrap w:val="0"/>
        <w:spacing w:before="113" w:after="0" w:line="240" w:lineRule="auto"/>
        <w:ind w:firstLine="700"/>
        <w:jc w:val="both"/>
        <w:rPr>
          <w:sz w:val="36"/>
        </w:rPr>
      </w:pPr>
      <w:r>
        <w:rPr>
          <w:rFonts w:hint="eastAsia" w:ascii="Calibri" w:hAnsi="Calibri" w:eastAsia="Calibri"/>
          <w:b/>
          <w:color w:val="000000"/>
          <w:sz w:val="36"/>
        </w:rPr>
        <w:t>1</w:t>
      </w:r>
      <w:r>
        <w:rPr>
          <w:rFonts w:hint="eastAsia" w:ascii="宋体" w:hAnsi="宋体" w:eastAsia="宋体"/>
          <w:b/>
          <w:color w:val="000000"/>
          <w:sz w:val="36"/>
        </w:rPr>
        <w:t>．绩效评价原则</w:t>
      </w:r>
    </w:p>
    <w:p w14:paraId="7965EE54">
      <w:pPr>
        <w:wordWrap w:val="0"/>
        <w:spacing w:before="113" w:after="0" w:line="240" w:lineRule="auto"/>
        <w:ind w:firstLine="700"/>
        <w:jc w:val="both"/>
        <w:rPr>
          <w:sz w:val="36"/>
        </w:rPr>
      </w:pPr>
      <w:r>
        <w:rPr>
          <w:rFonts w:hint="eastAsia" w:ascii="宋体" w:hAnsi="宋体" w:eastAsia="宋体"/>
          <w:color w:val="000000"/>
          <w:sz w:val="36"/>
        </w:rPr>
        <w:t>本次项目绩效评价遵循以下基本原则：</w:t>
      </w:r>
    </w:p>
    <w:p w14:paraId="1D84722E">
      <w:pPr>
        <w:wordWrap w:val="0"/>
        <w:spacing w:before="0" w:after="0" w:line="259" w:lineRule="auto"/>
        <w:ind w:left="20" w:right="160" w:firstLine="840"/>
        <w:jc w:val="both"/>
        <w:rPr>
          <w:sz w:val="36"/>
        </w:rPr>
      </w:pPr>
      <w:r>
        <w:rPr>
          <w:rFonts w:hint="eastAsia" w:ascii="宋体" w:hAnsi="宋体" w:eastAsia="宋体"/>
          <w:color w:val="000000"/>
          <w:sz w:val="36"/>
        </w:rPr>
        <w:t>（</w:t>
      </w:r>
      <w:r>
        <w:rPr>
          <w:rFonts w:hint="eastAsia" w:ascii="Calibri" w:hAnsi="Calibri" w:eastAsia="Calibri"/>
          <w:color w:val="000000"/>
          <w:sz w:val="36"/>
        </w:rPr>
        <w:t>1</w:t>
      </w:r>
      <w:r>
        <w:rPr>
          <w:rFonts w:hint="eastAsia" w:ascii="宋体" w:hAnsi="宋体" w:eastAsia="宋体"/>
          <w:color w:val="000000"/>
          <w:sz w:val="36"/>
        </w:rPr>
        <w:t>）科学公正。绩效评价应当运用科学合理的方法，按照规范的程序，对项目绩效进行客观、公正的反映。</w:t>
      </w:r>
    </w:p>
    <w:p w14:paraId="02F34BEB">
      <w:pPr>
        <w:wordWrap w:val="0"/>
        <w:spacing w:before="90" w:after="0" w:line="259" w:lineRule="auto"/>
        <w:ind w:left="20" w:right="160" w:firstLine="840"/>
        <w:jc w:val="both"/>
        <w:rPr>
          <w:sz w:val="36"/>
        </w:rPr>
      </w:pPr>
      <w:r>
        <w:rPr>
          <w:rFonts w:hint="eastAsia" w:ascii="宋体" w:hAnsi="宋体" w:eastAsia="宋体"/>
          <w:color w:val="000000"/>
          <w:sz w:val="36"/>
        </w:rPr>
        <w:t>（</w:t>
      </w:r>
      <w:r>
        <w:rPr>
          <w:rFonts w:hint="eastAsia" w:ascii="Calibri" w:hAnsi="Calibri" w:eastAsia="Calibri"/>
          <w:color w:val="000000"/>
          <w:sz w:val="36"/>
        </w:rPr>
        <w:t>2</w:t>
      </w:r>
      <w:r>
        <w:rPr>
          <w:rFonts w:hint="eastAsia" w:ascii="宋体" w:hAnsi="宋体" w:eastAsia="宋体"/>
          <w:color w:val="000000"/>
          <w:sz w:val="36"/>
        </w:rPr>
        <w:t>）统筹兼顾。单位自评、部门评价和财政评价应职责明确，各有侧重，相互衔接。单位自评应由项目单位自主实施，即“谁支出、谁自评”。部门评价和财政评价应在单位自评的基础上开展。</w:t>
      </w:r>
    </w:p>
    <w:p w14:paraId="46B05B24">
      <w:pPr>
        <w:wordWrap w:val="0"/>
        <w:spacing w:before="79" w:after="0" w:line="259" w:lineRule="auto"/>
        <w:ind w:left="20" w:right="160" w:firstLine="840"/>
        <w:jc w:val="both"/>
        <w:rPr>
          <w:sz w:val="36"/>
        </w:rPr>
      </w:pPr>
      <w:r>
        <w:rPr>
          <w:rFonts w:hint="eastAsia" w:ascii="宋体" w:hAnsi="宋体" w:eastAsia="宋体"/>
          <w:color w:val="000000"/>
          <w:sz w:val="36"/>
        </w:rPr>
        <w:t>（</w:t>
      </w:r>
      <w:r>
        <w:rPr>
          <w:rFonts w:hint="eastAsia" w:ascii="Calibri" w:hAnsi="Calibri" w:eastAsia="Calibri"/>
          <w:color w:val="000000"/>
          <w:sz w:val="36"/>
        </w:rPr>
        <w:t>3</w:t>
      </w:r>
      <w:r>
        <w:rPr>
          <w:rFonts w:hint="eastAsia" w:ascii="宋体" w:hAnsi="宋体" w:eastAsia="宋体"/>
          <w:color w:val="000000"/>
          <w:sz w:val="36"/>
        </w:rPr>
        <w:t>）激励约束。绩效评价结果应与预算安排、政策调整、改进管理实质性挂钩，体现奖优罚劣和激励相容导向，有效要安排、低效要压减、无效要问责。</w:t>
      </w:r>
    </w:p>
    <w:p w14:paraId="5149549B">
      <w:pPr>
        <w:wordWrap w:val="0"/>
        <w:spacing w:before="39" w:after="0" w:line="259" w:lineRule="auto"/>
        <w:ind w:left="20" w:right="160" w:firstLine="840"/>
        <w:jc w:val="both"/>
        <w:rPr>
          <w:sz w:val="36"/>
        </w:rPr>
      </w:pPr>
      <w:r>
        <w:rPr>
          <w:rFonts w:hint="eastAsia" w:ascii="宋体" w:hAnsi="宋体" w:eastAsia="宋体"/>
          <w:color w:val="000000"/>
          <w:sz w:val="36"/>
        </w:rPr>
        <w:t>（</w:t>
      </w:r>
      <w:r>
        <w:rPr>
          <w:rFonts w:hint="eastAsia" w:ascii="Calibri" w:hAnsi="Calibri" w:eastAsia="Calibri"/>
          <w:color w:val="000000"/>
          <w:sz w:val="36"/>
        </w:rPr>
        <w:t>4</w:t>
      </w:r>
      <w:r>
        <w:rPr>
          <w:rFonts w:hint="eastAsia" w:ascii="宋体" w:hAnsi="宋体" w:eastAsia="宋体"/>
          <w:color w:val="000000"/>
          <w:sz w:val="36"/>
        </w:rPr>
        <w:t>）公开透明。绩效评价结果应依法依规公开，并自觉接受社会监督。</w:t>
      </w:r>
    </w:p>
    <w:p w14:paraId="5418343E">
      <w:pPr>
        <w:wordWrap w:val="0"/>
        <w:spacing w:before="93" w:after="0" w:line="240" w:lineRule="auto"/>
        <w:ind w:firstLine="700"/>
        <w:jc w:val="both"/>
        <w:rPr>
          <w:sz w:val="36"/>
        </w:rPr>
        <w:sectPr>
          <w:headerReference r:id="rId9" w:type="default"/>
          <w:footerReference r:id="rId10" w:type="default"/>
          <w:type w:val="continuous"/>
          <w:pgSz w:w="11900" w:h="16840"/>
          <w:pgMar w:top="1440" w:right="1440" w:bottom="1680" w:left="1440" w:header="720" w:footer="840" w:gutter="0"/>
          <w:cols w:space="720" w:num="1"/>
        </w:sectPr>
      </w:pPr>
      <w:r>
        <w:rPr>
          <w:rFonts w:hint="eastAsia" w:ascii="Calibri" w:hAnsi="Calibri" w:eastAsia="Calibri"/>
          <w:color w:val="000000"/>
          <w:sz w:val="36"/>
        </w:rPr>
        <w:t>2</w:t>
      </w:r>
      <w:r>
        <w:rPr>
          <w:rFonts w:hint="eastAsia" w:ascii="宋体" w:hAnsi="宋体" w:eastAsia="宋体"/>
          <w:color w:val="000000"/>
          <w:sz w:val="36"/>
        </w:rPr>
        <w:t>．评价指标体系</w:t>
      </w:r>
    </w:p>
    <w:p w14:paraId="3BF02441">
      <w:pPr>
        <w:wordWrap w:val="0"/>
        <w:spacing w:before="0" w:after="0" w:line="283" w:lineRule="auto"/>
        <w:ind w:left="40" w:right="180" w:firstLine="760"/>
        <w:jc w:val="both"/>
        <w:rPr>
          <w:sz w:val="37"/>
        </w:rPr>
      </w:pPr>
      <w:r>
        <w:rPr>
          <w:rFonts w:hint="eastAsia" w:ascii="宋体" w:hAnsi="宋体" w:eastAsia="宋体"/>
          <w:color w:val="000000"/>
          <w:sz w:val="37"/>
        </w:rPr>
        <w:t>绩效评价框架是开展绩效评价的核心。绩效评价框架包括评价准则、关键评价问题、评价指标、数据来源、数据收集方法等。指标体系建立过程如下：</w:t>
      </w:r>
    </w:p>
    <w:p w14:paraId="6E750B32">
      <w:pPr>
        <w:wordWrap w:val="0"/>
        <w:spacing w:before="0" w:after="0" w:line="239" w:lineRule="auto"/>
        <w:ind w:firstLine="920"/>
        <w:jc w:val="both"/>
        <w:rPr>
          <w:sz w:val="37"/>
        </w:rPr>
      </w:pPr>
      <w:r>
        <w:rPr>
          <w:rFonts w:hint="eastAsia" w:ascii="宋体" w:hAnsi="宋体" w:eastAsia="宋体"/>
          <w:color w:val="000000"/>
          <w:sz w:val="37"/>
        </w:rPr>
        <w:t>（</w:t>
      </w:r>
      <w:r>
        <w:rPr>
          <w:rFonts w:hint="eastAsia" w:ascii="Calibri" w:hAnsi="Calibri" w:eastAsia="Calibri"/>
          <w:color w:val="000000"/>
          <w:sz w:val="37"/>
        </w:rPr>
        <w:t>1</w:t>
      </w:r>
      <w:r>
        <w:rPr>
          <w:rFonts w:hint="eastAsia" w:ascii="宋体" w:hAnsi="宋体" w:eastAsia="宋体"/>
          <w:color w:val="000000"/>
          <w:sz w:val="37"/>
        </w:rPr>
        <w:t>）确定评价指标</w:t>
      </w:r>
    </w:p>
    <w:p w14:paraId="35EF983E">
      <w:pPr>
        <w:wordWrap w:val="0"/>
        <w:spacing w:before="36" w:after="0" w:line="283" w:lineRule="auto"/>
        <w:ind w:left="40" w:right="180" w:firstLine="760"/>
        <w:jc w:val="both"/>
        <w:rPr>
          <w:sz w:val="37"/>
        </w:rPr>
      </w:pPr>
      <w:r>
        <w:rPr>
          <w:rFonts w:hint="eastAsia" w:ascii="宋体" w:hAnsi="宋体" w:eastAsia="宋体"/>
          <w:color w:val="000000"/>
          <w:sz w:val="37"/>
        </w:rPr>
        <w:t>采用层次分析法，建立评价指标体系。绩效评价将指标分为项目决策指标、项目过程指标、项目产出指标、项目效益指标四个维度，最终形成一个由多个相互联系的指标组成的多层次指标体系。</w:t>
      </w:r>
    </w:p>
    <w:p w14:paraId="67DECB72">
      <w:pPr>
        <w:wordWrap w:val="0"/>
        <w:spacing w:before="100" w:after="0" w:line="239" w:lineRule="auto"/>
        <w:ind w:firstLine="920"/>
        <w:jc w:val="both"/>
        <w:rPr>
          <w:sz w:val="37"/>
        </w:rPr>
      </w:pPr>
      <w:r>
        <w:rPr>
          <w:rFonts w:hint="eastAsia" w:ascii="宋体" w:hAnsi="宋体" w:eastAsia="宋体"/>
          <w:color w:val="000000"/>
          <w:sz w:val="37"/>
        </w:rPr>
        <w:t>（</w:t>
      </w:r>
      <w:r>
        <w:rPr>
          <w:rFonts w:hint="eastAsia" w:ascii="Calibri" w:hAnsi="Calibri" w:eastAsia="Calibri"/>
          <w:color w:val="000000"/>
          <w:sz w:val="37"/>
        </w:rPr>
        <w:t>2</w:t>
      </w:r>
      <w:r>
        <w:rPr>
          <w:rFonts w:hint="eastAsia" w:ascii="宋体" w:hAnsi="宋体" w:eastAsia="宋体"/>
          <w:color w:val="000000"/>
          <w:sz w:val="37"/>
        </w:rPr>
        <w:t>）确定权重</w:t>
      </w:r>
    </w:p>
    <w:p w14:paraId="1F8F0292">
      <w:pPr>
        <w:wordWrap w:val="0"/>
        <w:spacing w:before="0" w:after="0" w:line="283" w:lineRule="auto"/>
        <w:ind w:left="40" w:right="180" w:firstLine="760"/>
        <w:jc w:val="both"/>
        <w:rPr>
          <w:sz w:val="37"/>
        </w:rPr>
      </w:pPr>
      <w:r>
        <w:rPr>
          <w:rFonts w:hint="eastAsia" w:ascii="宋体" w:hAnsi="宋体" w:eastAsia="宋体"/>
          <w:color w:val="000000"/>
          <w:sz w:val="37"/>
        </w:rPr>
        <w:t>确定各个指标相对于项目总体绩效的权重分值。在绩效评价指标体系中，项目决策权重为</w:t>
      </w:r>
      <w:r>
        <w:rPr>
          <w:rFonts w:hint="eastAsia" w:ascii="Calibri" w:hAnsi="Calibri" w:eastAsia="Calibri"/>
          <w:color w:val="000000"/>
          <w:sz w:val="37"/>
        </w:rPr>
        <w:t>20</w:t>
      </w:r>
      <w:r>
        <w:rPr>
          <w:rFonts w:hint="eastAsia" w:ascii="宋体" w:hAnsi="宋体" w:eastAsia="宋体"/>
          <w:color w:val="000000"/>
          <w:sz w:val="37"/>
        </w:rPr>
        <w:t>分，项目过程权重为</w:t>
      </w:r>
      <w:r>
        <w:rPr>
          <w:rFonts w:hint="eastAsia" w:ascii="Calibri" w:hAnsi="Calibri" w:eastAsia="Calibri"/>
          <w:color w:val="000000"/>
          <w:sz w:val="37"/>
        </w:rPr>
        <w:t>20</w:t>
      </w:r>
      <w:r>
        <w:rPr>
          <w:rFonts w:hint="eastAsia" w:ascii="宋体" w:hAnsi="宋体" w:eastAsia="宋体"/>
          <w:color w:val="000000"/>
          <w:sz w:val="37"/>
        </w:rPr>
        <w:t>分，项目产出权重为</w:t>
      </w:r>
      <w:r>
        <w:rPr>
          <w:rFonts w:hint="eastAsia" w:ascii="Calibri" w:hAnsi="Calibri" w:eastAsia="Calibri"/>
          <w:color w:val="000000"/>
          <w:sz w:val="37"/>
        </w:rPr>
        <w:t>40</w:t>
      </w:r>
      <w:r>
        <w:rPr>
          <w:rFonts w:hint="eastAsia" w:ascii="宋体" w:hAnsi="宋体" w:eastAsia="宋体"/>
          <w:color w:val="000000"/>
          <w:sz w:val="37"/>
        </w:rPr>
        <w:t>分，项目效益权重为</w:t>
      </w:r>
      <w:r>
        <w:rPr>
          <w:rFonts w:hint="eastAsia" w:ascii="Calibri" w:hAnsi="Calibri" w:eastAsia="Calibri"/>
          <w:color w:val="000000"/>
          <w:sz w:val="37"/>
        </w:rPr>
        <w:t>20</w:t>
      </w:r>
      <w:r>
        <w:rPr>
          <w:rFonts w:hint="eastAsia" w:ascii="宋体" w:hAnsi="宋体" w:eastAsia="宋体"/>
          <w:color w:val="000000"/>
          <w:sz w:val="37"/>
        </w:rPr>
        <w:t>分</w:t>
      </w:r>
      <w:r>
        <w:rPr>
          <w:rFonts w:hint="eastAsia" w:ascii="Calibri" w:hAnsi="Calibri" w:eastAsia="Calibri"/>
          <w:color w:val="000000"/>
          <w:sz w:val="37"/>
        </w:rPr>
        <w:t>。</w:t>
      </w:r>
    </w:p>
    <w:p w14:paraId="5DE7A88F">
      <w:pPr>
        <w:wordWrap w:val="0"/>
        <w:spacing w:before="0" w:after="0" w:line="240" w:lineRule="auto"/>
        <w:ind w:firstLine="0"/>
        <w:jc w:val="both"/>
        <w:rPr>
          <w:rFonts w:hint="eastAsia" w:ascii="宋体" w:hAnsi="宋体" w:eastAsia="宋体"/>
          <w:color w:val="000000"/>
          <w:sz w:val="21"/>
        </w:rPr>
      </w:pPr>
    </w:p>
    <w:p w14:paraId="37E0B5DF">
      <w:pPr>
        <w:wordWrap w:val="0"/>
        <w:spacing w:before="0" w:after="0" w:line="192" w:lineRule="auto"/>
        <w:ind w:firstLine="920"/>
        <w:jc w:val="both"/>
        <w:rPr>
          <w:sz w:val="37"/>
        </w:rPr>
      </w:pPr>
      <w:r>
        <w:rPr>
          <w:rFonts w:hint="eastAsia" w:ascii="宋体" w:hAnsi="宋体" w:eastAsia="宋体"/>
          <w:color w:val="000000"/>
          <w:sz w:val="37"/>
        </w:rPr>
        <w:t>（</w:t>
      </w:r>
      <w:r>
        <w:rPr>
          <w:rFonts w:hint="eastAsia" w:ascii="Calibri" w:hAnsi="Calibri" w:eastAsia="Calibri"/>
          <w:color w:val="000000"/>
          <w:sz w:val="37"/>
        </w:rPr>
        <w:t>3</w:t>
      </w:r>
      <w:r>
        <w:rPr>
          <w:rFonts w:hint="eastAsia" w:ascii="宋体" w:hAnsi="宋体" w:eastAsia="宋体"/>
          <w:color w:val="000000"/>
          <w:sz w:val="37"/>
        </w:rPr>
        <w:t>）确定指标标准值</w:t>
      </w:r>
    </w:p>
    <w:p w14:paraId="7AC94A97">
      <w:pPr>
        <w:wordWrap w:val="0"/>
        <w:spacing w:before="19" w:after="0" w:line="283" w:lineRule="auto"/>
        <w:ind w:left="40" w:right="180" w:firstLine="760"/>
        <w:jc w:val="both"/>
        <w:rPr>
          <w:sz w:val="37"/>
        </w:rPr>
      </w:pPr>
      <w:r>
        <w:rPr>
          <w:rFonts w:hint="eastAsia" w:ascii="宋体" w:hAnsi="宋体" w:eastAsia="宋体"/>
          <w:color w:val="000000"/>
          <w:sz w:val="37"/>
        </w:rPr>
        <w:t>指标标准值是绩效评价指标的尺度，既要反映同类项目的先进水平，又要符合项目的实际绩效水平。具体采用计划标准等确定此次绩效评价指标标准值。</w:t>
      </w:r>
    </w:p>
    <w:p w14:paraId="2DC8BBFC">
      <w:pPr>
        <w:wordWrap w:val="0"/>
        <w:spacing w:before="0" w:after="0" w:line="283" w:lineRule="auto"/>
        <w:ind w:left="40" w:right="180" w:firstLine="760"/>
        <w:jc w:val="both"/>
        <w:rPr>
          <w:sz w:val="37"/>
        </w:rPr>
      </w:pPr>
      <w:r>
        <w:rPr>
          <w:rFonts w:hint="eastAsia" w:ascii="宋体" w:hAnsi="宋体" w:eastAsia="宋体"/>
          <w:color w:val="000000"/>
          <w:sz w:val="37"/>
        </w:rPr>
        <w:t>绩效评价总分值</w:t>
      </w:r>
      <w:r>
        <w:rPr>
          <w:rFonts w:hint="eastAsia" w:ascii="Calibri" w:hAnsi="Calibri" w:eastAsia="Calibri"/>
          <w:color w:val="000000"/>
          <w:sz w:val="37"/>
        </w:rPr>
        <w:t>100</w:t>
      </w:r>
      <w:r>
        <w:rPr>
          <w:rFonts w:hint="eastAsia" w:ascii="宋体" w:hAnsi="宋体" w:eastAsia="宋体"/>
          <w:color w:val="000000"/>
          <w:sz w:val="37"/>
        </w:rPr>
        <w:t>分，根据综合评分结果，评价计分</w:t>
      </w:r>
      <w:r>
        <w:rPr>
          <w:rFonts w:hint="eastAsia" w:ascii="Calibri" w:hAnsi="Calibri" w:eastAsia="Calibri"/>
          <w:color w:val="000000"/>
          <w:sz w:val="37"/>
        </w:rPr>
        <w:t>90</w:t>
      </w:r>
      <w:r>
        <w:rPr>
          <w:rFonts w:hint="eastAsia" w:ascii="宋体" w:hAnsi="宋体" w:eastAsia="宋体"/>
          <w:color w:val="000000"/>
          <w:sz w:val="37"/>
        </w:rPr>
        <w:t>分-</w:t>
      </w:r>
      <w:r>
        <w:rPr>
          <w:rFonts w:hint="eastAsia" w:ascii="Calibri" w:hAnsi="Calibri" w:eastAsia="Calibri"/>
          <w:color w:val="000000"/>
          <w:sz w:val="37"/>
        </w:rPr>
        <w:t>100</w:t>
      </w:r>
      <w:r>
        <w:rPr>
          <w:rFonts w:hint="eastAsia" w:ascii="宋体" w:hAnsi="宋体" w:eastAsia="宋体"/>
          <w:color w:val="000000"/>
          <w:sz w:val="37"/>
        </w:rPr>
        <w:t>分（含</w:t>
      </w:r>
      <w:r>
        <w:rPr>
          <w:rFonts w:hint="eastAsia" w:ascii="Calibri" w:hAnsi="Calibri" w:eastAsia="Calibri"/>
          <w:color w:val="000000"/>
          <w:sz w:val="37"/>
        </w:rPr>
        <w:t>90</w:t>
      </w:r>
      <w:r>
        <w:rPr>
          <w:rFonts w:hint="eastAsia" w:ascii="宋体" w:hAnsi="宋体" w:eastAsia="宋体"/>
          <w:color w:val="000000"/>
          <w:sz w:val="37"/>
        </w:rPr>
        <w:t>分）对应的评分结果级别为优，</w:t>
      </w:r>
      <w:r>
        <w:rPr>
          <w:rFonts w:hint="eastAsia" w:ascii="Calibri" w:hAnsi="Calibri" w:eastAsia="Calibri"/>
          <w:color w:val="000000"/>
          <w:sz w:val="37"/>
        </w:rPr>
        <w:t>80</w:t>
      </w:r>
      <w:r>
        <w:rPr>
          <w:rFonts w:hint="eastAsia" w:ascii="宋体" w:hAnsi="宋体" w:eastAsia="宋体"/>
          <w:color w:val="000000"/>
          <w:sz w:val="37"/>
        </w:rPr>
        <w:t>-</w:t>
      </w:r>
      <w:r>
        <w:rPr>
          <w:rFonts w:hint="eastAsia" w:ascii="Calibri" w:hAnsi="Calibri" w:eastAsia="Calibri"/>
          <w:color w:val="000000"/>
          <w:sz w:val="37"/>
        </w:rPr>
        <w:t>90</w:t>
      </w:r>
      <w:r>
        <w:rPr>
          <w:rFonts w:hint="eastAsia" w:ascii="宋体" w:hAnsi="宋体" w:eastAsia="宋体"/>
          <w:color w:val="000000"/>
          <w:sz w:val="37"/>
        </w:rPr>
        <w:t>分（含</w:t>
      </w:r>
      <w:r>
        <w:rPr>
          <w:rFonts w:hint="eastAsia" w:ascii="Calibri" w:hAnsi="Calibri" w:eastAsia="Calibri"/>
          <w:color w:val="000000"/>
          <w:sz w:val="37"/>
        </w:rPr>
        <w:t>80</w:t>
      </w:r>
      <w:r>
        <w:rPr>
          <w:rFonts w:hint="eastAsia" w:ascii="宋体" w:hAnsi="宋体" w:eastAsia="宋体"/>
          <w:color w:val="000000"/>
          <w:sz w:val="37"/>
        </w:rPr>
        <w:t>分）对应的评分结果级别为良，</w:t>
      </w:r>
      <w:r>
        <w:rPr>
          <w:rFonts w:hint="eastAsia" w:ascii="Calibri" w:hAnsi="Calibri" w:eastAsia="Calibri"/>
          <w:color w:val="000000"/>
          <w:sz w:val="37"/>
        </w:rPr>
        <w:t>60</w:t>
      </w:r>
      <w:r>
        <w:rPr>
          <w:rFonts w:hint="eastAsia" w:ascii="宋体" w:hAnsi="宋体" w:eastAsia="宋体"/>
          <w:color w:val="000000"/>
          <w:sz w:val="37"/>
        </w:rPr>
        <w:t>-</w:t>
      </w:r>
      <w:r>
        <w:rPr>
          <w:rFonts w:hint="eastAsia" w:ascii="Calibri" w:hAnsi="Calibri" w:eastAsia="Calibri"/>
          <w:color w:val="000000"/>
          <w:sz w:val="37"/>
        </w:rPr>
        <w:t>80</w:t>
      </w:r>
      <w:r>
        <w:rPr>
          <w:rFonts w:hint="eastAsia" w:ascii="宋体" w:hAnsi="宋体" w:eastAsia="宋体"/>
          <w:color w:val="000000"/>
          <w:sz w:val="37"/>
        </w:rPr>
        <w:t>分（含</w:t>
      </w:r>
      <w:r>
        <w:rPr>
          <w:rFonts w:hint="eastAsia" w:ascii="Calibri" w:hAnsi="Calibri" w:eastAsia="Calibri"/>
          <w:color w:val="000000"/>
          <w:sz w:val="37"/>
        </w:rPr>
        <w:t>60</w:t>
      </w:r>
      <w:r>
        <w:rPr>
          <w:rFonts w:hint="eastAsia" w:ascii="宋体" w:hAnsi="宋体" w:eastAsia="宋体"/>
          <w:color w:val="000000"/>
          <w:sz w:val="37"/>
        </w:rPr>
        <w:t>分）对应的评分结果级别为中，</w:t>
      </w:r>
      <w:r>
        <w:rPr>
          <w:rFonts w:hint="eastAsia" w:ascii="Calibri" w:hAnsi="Calibri" w:eastAsia="Calibri"/>
          <w:color w:val="000000"/>
          <w:sz w:val="37"/>
        </w:rPr>
        <w:t>60</w:t>
      </w:r>
      <w:r>
        <w:rPr>
          <w:rFonts w:hint="eastAsia" w:ascii="宋体" w:hAnsi="宋体" w:eastAsia="宋体"/>
          <w:color w:val="000000"/>
          <w:sz w:val="37"/>
        </w:rPr>
        <w:t>分以下对应的评分结果级别为差。</w:t>
      </w:r>
    </w:p>
    <w:p w14:paraId="77B50500">
      <w:pPr>
        <w:wordWrap w:val="0"/>
        <w:spacing w:before="80" w:after="0" w:line="239" w:lineRule="auto"/>
        <w:ind w:firstLine="800"/>
        <w:jc w:val="both"/>
        <w:rPr>
          <w:sz w:val="37"/>
        </w:rPr>
      </w:pPr>
      <w:r>
        <w:rPr>
          <w:rFonts w:hint="eastAsia" w:ascii="宋体" w:hAnsi="宋体" w:eastAsia="宋体"/>
          <w:color w:val="000000"/>
          <w:sz w:val="37"/>
        </w:rPr>
        <w:t>具体评价指标体系详情见附件</w:t>
      </w:r>
      <w:r>
        <w:rPr>
          <w:rFonts w:hint="eastAsia" w:ascii="Calibri" w:hAnsi="Calibri" w:eastAsia="Calibri"/>
          <w:color w:val="000000"/>
          <w:sz w:val="37"/>
        </w:rPr>
        <w:t>2</w:t>
      </w:r>
      <w:r>
        <w:rPr>
          <w:rFonts w:hint="eastAsia" w:ascii="宋体" w:hAnsi="宋体" w:eastAsia="宋体"/>
          <w:color w:val="000000"/>
          <w:sz w:val="37"/>
        </w:rPr>
        <w:t>。</w:t>
      </w:r>
    </w:p>
    <w:p w14:paraId="62C01B70">
      <w:pPr>
        <w:wordWrap w:val="0"/>
        <w:spacing w:before="80" w:after="0" w:line="239" w:lineRule="auto"/>
        <w:ind w:firstLine="800"/>
        <w:jc w:val="both"/>
        <w:rPr>
          <w:sz w:val="37"/>
        </w:rPr>
        <w:sectPr>
          <w:headerReference r:id="rId11" w:type="default"/>
          <w:footerReference r:id="rId12" w:type="default"/>
          <w:type w:val="continuous"/>
          <w:pgSz w:w="11901" w:h="16841"/>
          <w:pgMar w:top="1440" w:right="1440" w:bottom="1680" w:left="1440" w:header="720" w:footer="840" w:gutter="0"/>
          <w:cols w:space="720" w:num="1"/>
        </w:sectPr>
      </w:pPr>
      <w:r>
        <w:rPr>
          <w:rFonts w:hint="eastAsia" w:ascii="Calibri" w:hAnsi="Calibri" w:eastAsia="Calibri"/>
          <w:color w:val="000000"/>
          <w:sz w:val="37"/>
        </w:rPr>
        <w:t>3</w:t>
      </w:r>
      <w:r>
        <w:rPr>
          <w:rFonts w:hint="eastAsia" w:ascii="宋体" w:hAnsi="宋体" w:eastAsia="宋体"/>
          <w:color w:val="000000"/>
          <w:sz w:val="37"/>
        </w:rPr>
        <w:t>．绩效评价方法</w:t>
      </w:r>
    </w:p>
    <w:p w14:paraId="7DD55343">
      <w:pPr>
        <w:wordWrap w:val="0"/>
        <w:spacing w:before="0" w:after="0" w:line="259" w:lineRule="auto"/>
        <w:ind w:left="40" w:right="40" w:firstLine="700"/>
        <w:jc w:val="both"/>
        <w:rPr>
          <w:sz w:val="36"/>
        </w:rPr>
      </w:pPr>
      <w:r>
        <w:rPr>
          <w:rFonts w:hint="eastAsia" w:ascii="宋体" w:hAnsi="宋体" w:eastAsia="宋体"/>
          <w:color w:val="000000"/>
          <w:sz w:val="36"/>
        </w:rPr>
        <w:t>绩效评价从项目决策、项目过程、项目产出、项目效益四个维度进行评价。评价对象为项目目标实施情况，评价核心为资金的支出完成情况和项目的产出效益。</w:t>
      </w:r>
    </w:p>
    <w:p w14:paraId="1AF7CD44">
      <w:pPr>
        <w:wordWrap w:val="0"/>
        <w:spacing w:before="0" w:after="0" w:line="259" w:lineRule="auto"/>
        <w:ind w:left="40" w:right="40" w:firstLine="700"/>
        <w:jc w:val="both"/>
        <w:rPr>
          <w:sz w:val="36"/>
        </w:rPr>
      </w:pPr>
      <w:r>
        <w:rPr>
          <w:rFonts w:hint="eastAsia" w:ascii="宋体" w:hAnsi="宋体" w:eastAsia="宋体"/>
          <w:color w:val="000000"/>
          <w:sz w:val="36"/>
        </w:rPr>
        <w:t>本次评价指标中，既有定性指标又有定量指标，各类指标因考核内容不同和客观标准不同存在较大差异，因此核定具体指标时采用了不同方法，具体评价方法如下：</w:t>
      </w:r>
    </w:p>
    <w:p w14:paraId="4D63F1AD">
      <w:pPr>
        <w:wordWrap w:val="0"/>
        <w:spacing w:before="0" w:after="0" w:line="240" w:lineRule="auto"/>
        <w:ind w:firstLine="900"/>
        <w:jc w:val="both"/>
        <w:rPr>
          <w:sz w:val="36"/>
        </w:rPr>
      </w:pPr>
      <w:r>
        <w:rPr>
          <w:rFonts w:hint="eastAsia" w:ascii="宋体" w:hAnsi="宋体" w:eastAsia="宋体"/>
          <w:b/>
          <w:color w:val="000000"/>
          <w:sz w:val="36"/>
        </w:rPr>
        <w:t>（</w:t>
      </w:r>
      <w:r>
        <w:rPr>
          <w:rFonts w:hint="eastAsia" w:ascii="Calibri" w:hAnsi="Calibri" w:eastAsia="Calibri"/>
          <w:b/>
          <w:color w:val="000000"/>
          <w:sz w:val="36"/>
        </w:rPr>
        <w:t>1</w:t>
      </w:r>
      <w:r>
        <w:rPr>
          <w:rFonts w:hint="eastAsia" w:ascii="宋体" w:hAnsi="宋体" w:eastAsia="宋体"/>
          <w:b/>
          <w:color w:val="000000"/>
          <w:sz w:val="36"/>
        </w:rPr>
        <w:t>）比较法</w:t>
      </w:r>
    </w:p>
    <w:p w14:paraId="7A4C0AA0">
      <w:pPr>
        <w:wordWrap w:val="0"/>
        <w:spacing w:before="0" w:after="0" w:line="259" w:lineRule="auto"/>
        <w:ind w:left="40" w:right="40" w:firstLine="700"/>
        <w:jc w:val="both"/>
        <w:rPr>
          <w:sz w:val="36"/>
        </w:rPr>
      </w:pPr>
      <w:r>
        <w:rPr>
          <w:rFonts w:hint="eastAsia" w:ascii="宋体" w:hAnsi="宋体" w:eastAsia="宋体"/>
          <w:color w:val="000000"/>
          <w:sz w:val="36"/>
        </w:rPr>
        <w:t>通过对绩效目标与实施效果、历史与当期情况，综合分析绩效目标实现程度。对项目最终验收情况与年度绩效目标对比、预算资金执行情况等相关因素进行比较。</w:t>
      </w:r>
    </w:p>
    <w:p w14:paraId="7C57BB50">
      <w:pPr>
        <w:wordWrap w:val="0"/>
        <w:spacing w:before="94" w:after="0" w:line="240" w:lineRule="auto"/>
        <w:ind w:firstLine="900"/>
        <w:jc w:val="both"/>
        <w:rPr>
          <w:sz w:val="36"/>
        </w:rPr>
      </w:pPr>
      <w:r>
        <w:rPr>
          <w:rFonts w:hint="eastAsia" w:ascii="宋体" w:hAnsi="宋体" w:eastAsia="宋体"/>
          <w:b/>
          <w:color w:val="000000"/>
          <w:sz w:val="36"/>
        </w:rPr>
        <w:t>（</w:t>
      </w:r>
      <w:r>
        <w:rPr>
          <w:rFonts w:hint="eastAsia" w:ascii="Calibri" w:hAnsi="Calibri" w:eastAsia="Calibri"/>
          <w:b/>
          <w:color w:val="000000"/>
          <w:sz w:val="36"/>
        </w:rPr>
        <w:t>2</w:t>
      </w:r>
      <w:r>
        <w:rPr>
          <w:rFonts w:hint="eastAsia" w:ascii="宋体" w:hAnsi="宋体" w:eastAsia="宋体"/>
          <w:b/>
          <w:color w:val="000000"/>
          <w:sz w:val="36"/>
        </w:rPr>
        <w:t>）因素分析法</w:t>
      </w:r>
    </w:p>
    <w:p w14:paraId="091F95AF">
      <w:pPr>
        <w:wordWrap w:val="0"/>
        <w:spacing w:before="38" w:after="0" w:line="259" w:lineRule="auto"/>
        <w:ind w:left="40" w:right="40" w:firstLine="700"/>
        <w:jc w:val="both"/>
        <w:rPr>
          <w:sz w:val="36"/>
        </w:rPr>
      </w:pPr>
      <w:r>
        <w:rPr>
          <w:rFonts w:hint="eastAsia" w:ascii="宋体" w:hAnsi="宋体" w:eastAsia="宋体"/>
          <w:color w:val="000000"/>
          <w:sz w:val="36"/>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373736E3">
      <w:pPr>
        <w:wordWrap w:val="0"/>
        <w:spacing w:before="113" w:after="0" w:line="240" w:lineRule="auto"/>
        <w:ind w:firstLine="740"/>
        <w:jc w:val="both"/>
        <w:rPr>
          <w:sz w:val="36"/>
        </w:rPr>
      </w:pPr>
      <w:r>
        <w:rPr>
          <w:rFonts w:hint="eastAsia" w:ascii="Calibri" w:hAnsi="Calibri" w:eastAsia="Calibri"/>
          <w:b/>
          <w:color w:val="000000"/>
          <w:sz w:val="36"/>
        </w:rPr>
        <w:t>4</w:t>
      </w:r>
      <w:r>
        <w:rPr>
          <w:rFonts w:hint="eastAsia" w:ascii="宋体" w:hAnsi="宋体" w:eastAsia="宋体"/>
          <w:b/>
          <w:color w:val="000000"/>
          <w:sz w:val="36"/>
        </w:rPr>
        <w:t>．评价标准</w:t>
      </w:r>
    </w:p>
    <w:p w14:paraId="41469703">
      <w:pPr>
        <w:wordWrap w:val="0"/>
        <w:spacing w:before="39" w:after="0" w:line="259" w:lineRule="auto"/>
        <w:ind w:left="40" w:right="40" w:firstLine="700"/>
        <w:jc w:val="both"/>
        <w:rPr>
          <w:sz w:val="36"/>
        </w:rPr>
      </w:pPr>
      <w:r>
        <w:rPr>
          <w:rFonts w:hint="eastAsia" w:ascii="宋体" w:hAnsi="宋体" w:eastAsia="宋体"/>
          <w:color w:val="000000"/>
          <w:sz w:val="36"/>
        </w:rPr>
        <w:t>绩效评价标准通常包括计划标准、行业标准、历史标准等，用于对绩效指标完成情况进行比较、分析、评价。本次评价主要采用了计划标准。</w:t>
      </w:r>
    </w:p>
    <w:p w14:paraId="21C438C3">
      <w:pPr>
        <w:wordWrap w:val="0"/>
        <w:spacing w:before="39" w:after="0" w:line="259" w:lineRule="auto"/>
        <w:ind w:left="40" w:right="40" w:firstLine="700"/>
        <w:jc w:val="both"/>
        <w:rPr>
          <w:sz w:val="36"/>
        </w:rPr>
      </w:pPr>
      <w:r>
        <w:rPr>
          <w:rFonts w:hint="eastAsia" w:ascii="宋体" w:hAnsi="宋体" w:eastAsia="宋体"/>
          <w:color w:val="000000"/>
          <w:sz w:val="36"/>
        </w:rPr>
        <w:t>计划标准：指以预先制定的目标、计划、预算、定额等作为评价标准。</w:t>
      </w:r>
    </w:p>
    <w:p w14:paraId="1BBCC25F">
      <w:pPr>
        <w:wordWrap w:val="0"/>
        <w:spacing w:before="93" w:after="0" w:line="240" w:lineRule="auto"/>
        <w:ind w:firstLine="900"/>
        <w:jc w:val="both"/>
        <w:rPr>
          <w:sz w:val="36"/>
        </w:rPr>
        <w:sectPr>
          <w:headerReference r:id="rId13" w:type="default"/>
          <w:footerReference r:id="rId14" w:type="default"/>
          <w:type w:val="continuous"/>
          <w:pgSz w:w="11900" w:h="16840"/>
          <w:pgMar w:top="1440" w:right="1680" w:bottom="1680" w:left="1680" w:header="720" w:footer="840" w:gutter="0"/>
          <w:cols w:space="720" w:num="1"/>
        </w:sectPr>
      </w:pPr>
      <w:r>
        <w:rPr>
          <w:rFonts w:hint="eastAsia" w:ascii="宋体" w:hAnsi="宋体" w:eastAsia="宋体"/>
          <w:b/>
          <w:color w:val="000000"/>
          <w:sz w:val="36"/>
        </w:rPr>
        <w:t>（三）绩效评价工作过程</w:t>
      </w:r>
    </w:p>
    <w:p w14:paraId="00D2FBB7">
      <w:pPr>
        <w:wordWrap w:val="0"/>
        <w:spacing w:before="0" w:after="0" w:line="249" w:lineRule="auto"/>
        <w:ind w:left="20" w:right="100" w:firstLine="640"/>
        <w:jc w:val="both"/>
        <w:rPr>
          <w:sz w:val="35"/>
        </w:rPr>
      </w:pPr>
      <w:r>
        <w:rPr>
          <w:rFonts w:hint="eastAsia" w:ascii="Calibri" w:hAnsi="Calibri" w:eastAsia="Calibri"/>
          <w:color w:val="000000"/>
          <w:sz w:val="35"/>
        </w:rPr>
        <w:t>1</w:t>
      </w:r>
      <w:r>
        <w:rPr>
          <w:rFonts w:hint="eastAsia" w:ascii="宋体" w:hAnsi="宋体" w:eastAsia="宋体"/>
          <w:color w:val="000000"/>
          <w:sz w:val="35"/>
        </w:rPr>
        <w:t>．前期准备。首先成立评价工作组，开展前期调研；其次明确项目绩效目标，设计绩效评价指标体系并确定绩效评价方法；接着确定现场和非现场评价范围，设计资料清单；最后制定评价实施方案并进行论证。</w:t>
      </w:r>
    </w:p>
    <w:p w14:paraId="57FE1B63">
      <w:pPr>
        <w:wordWrap w:val="0"/>
        <w:spacing w:before="0" w:after="0" w:line="240" w:lineRule="auto"/>
        <w:ind w:firstLine="0"/>
        <w:jc w:val="both"/>
        <w:rPr>
          <w:rFonts w:hint="eastAsia" w:ascii="宋体" w:hAnsi="宋体" w:eastAsia="宋体"/>
          <w:color w:val="000000"/>
          <w:sz w:val="21"/>
        </w:rPr>
      </w:pPr>
    </w:p>
    <w:p w14:paraId="7F6579D3">
      <w:pPr>
        <w:wordWrap w:val="0"/>
        <w:spacing w:before="0" w:after="0" w:line="249" w:lineRule="auto"/>
        <w:ind w:left="20" w:right="100" w:firstLine="640"/>
        <w:jc w:val="both"/>
        <w:rPr>
          <w:sz w:val="35"/>
        </w:rPr>
      </w:pPr>
      <w:r>
        <w:rPr>
          <w:rFonts w:hint="eastAsia" w:ascii="Calibri" w:hAnsi="Calibri" w:eastAsia="Calibri"/>
          <w:color w:val="000000"/>
          <w:sz w:val="35"/>
        </w:rPr>
        <w:t>2</w:t>
      </w:r>
      <w:r>
        <w:rPr>
          <w:rFonts w:hint="eastAsia" w:ascii="宋体" w:hAnsi="宋体" w:eastAsia="宋体"/>
          <w:color w:val="000000"/>
          <w:sz w:val="35"/>
        </w:rPr>
        <w:t>．组织实施。制定绩效评价工作方案，具体包括项目概况、评价思路、方法手段、组织实施、进度安排等。收集项目立项依据、相关会议纪要、实施方案、财政资金分配方案、支付管理情况等相关评价资料并进行梳理。</w:t>
      </w:r>
    </w:p>
    <w:p w14:paraId="58C2889B">
      <w:pPr>
        <w:wordWrap w:val="0"/>
        <w:spacing w:before="0" w:after="0" w:line="249" w:lineRule="auto"/>
        <w:ind w:left="20" w:right="100" w:firstLine="640"/>
        <w:jc w:val="both"/>
        <w:rPr>
          <w:sz w:val="35"/>
        </w:rPr>
      </w:pPr>
      <w:r>
        <w:rPr>
          <w:rFonts w:hint="eastAsia" w:ascii="Calibri" w:hAnsi="Calibri" w:eastAsia="Calibri"/>
          <w:color w:val="000000"/>
          <w:sz w:val="35"/>
        </w:rPr>
        <w:t>3</w:t>
      </w:r>
      <w:r>
        <w:rPr>
          <w:rFonts w:hint="eastAsia" w:ascii="宋体" w:hAnsi="宋体" w:eastAsia="宋体"/>
          <w:color w:val="000000"/>
          <w:sz w:val="35"/>
        </w:rPr>
        <w:t>．分析评价。根据收集梳理的资料围绕项目立项、资金落实、业务管理、财务管理、项目产出、项目效益等内容，对照已确定的绩效评价指标进行详细全面的分析评价，逐项打分并形成绩效评价最终结果。</w:t>
      </w:r>
    </w:p>
    <w:p w14:paraId="70514DC4">
      <w:pPr>
        <w:wordWrap w:val="0"/>
        <w:spacing w:before="134" w:after="0" w:line="240" w:lineRule="auto"/>
        <w:ind w:firstLine="660"/>
        <w:jc w:val="both"/>
        <w:rPr>
          <w:sz w:val="35"/>
        </w:rPr>
      </w:pPr>
      <w:r>
        <w:rPr>
          <w:rFonts w:hint="eastAsia" w:ascii="宋体" w:hAnsi="宋体" w:eastAsia="宋体"/>
          <w:b/>
          <w:color w:val="000000"/>
          <w:sz w:val="35"/>
        </w:rPr>
        <w:t>三、综合评价情况及评价结论（附相关评分表）</w:t>
      </w:r>
    </w:p>
    <w:p w14:paraId="55EADF54">
      <w:pPr>
        <w:wordWrap w:val="0"/>
        <w:spacing w:before="106" w:after="0" w:line="240" w:lineRule="auto"/>
        <w:ind w:firstLine="780"/>
        <w:jc w:val="both"/>
        <w:rPr>
          <w:sz w:val="35"/>
        </w:rPr>
      </w:pPr>
      <w:r>
        <w:rPr>
          <w:rFonts w:hint="eastAsia" w:ascii="宋体" w:hAnsi="宋体" w:eastAsia="宋体"/>
          <w:b/>
          <w:color w:val="000000"/>
          <w:sz w:val="35"/>
        </w:rPr>
        <w:t>（一）评价情况</w:t>
      </w:r>
    </w:p>
    <w:p w14:paraId="0039E910">
      <w:pPr>
        <w:wordWrap w:val="0"/>
        <w:spacing w:before="0" w:after="0" w:line="240" w:lineRule="auto"/>
        <w:ind w:firstLine="0"/>
        <w:jc w:val="both"/>
        <w:rPr>
          <w:rFonts w:hint="eastAsia" w:ascii="宋体" w:hAnsi="宋体" w:eastAsia="宋体"/>
          <w:color w:val="000000"/>
          <w:sz w:val="21"/>
        </w:rPr>
      </w:pPr>
    </w:p>
    <w:p w14:paraId="3E66309C">
      <w:pPr>
        <w:wordWrap w:val="0"/>
        <w:spacing w:before="0" w:after="0" w:line="249" w:lineRule="auto"/>
        <w:ind w:left="20" w:right="100" w:firstLine="640"/>
        <w:jc w:val="both"/>
        <w:rPr>
          <w:sz w:val="35"/>
        </w:rPr>
      </w:pPr>
      <w:r>
        <w:rPr>
          <w:rFonts w:hint="eastAsia" w:ascii="宋体" w:hAnsi="宋体" w:eastAsia="宋体"/>
          <w:color w:val="000000"/>
          <w:sz w:val="35"/>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8610BB1">
      <w:pPr>
        <w:wordWrap w:val="0"/>
        <w:spacing w:before="0" w:after="0" w:line="240" w:lineRule="auto"/>
        <w:ind w:firstLine="0"/>
        <w:jc w:val="both"/>
        <w:rPr>
          <w:rFonts w:hint="eastAsia" w:ascii="宋体" w:hAnsi="宋体" w:eastAsia="宋体"/>
          <w:color w:val="000000"/>
          <w:sz w:val="21"/>
        </w:rPr>
      </w:pPr>
    </w:p>
    <w:p w14:paraId="0341135D">
      <w:pPr>
        <w:wordWrap w:val="0"/>
        <w:spacing w:before="0" w:after="0" w:line="192" w:lineRule="auto"/>
        <w:ind w:firstLine="780"/>
        <w:jc w:val="both"/>
        <w:rPr>
          <w:sz w:val="35"/>
        </w:rPr>
      </w:pPr>
      <w:r>
        <w:rPr>
          <w:rFonts w:hint="eastAsia" w:ascii="宋体" w:hAnsi="宋体" w:eastAsia="宋体"/>
          <w:b/>
          <w:color w:val="000000"/>
          <w:sz w:val="35"/>
        </w:rPr>
        <w:t>（二）评价结论</w:t>
      </w:r>
    </w:p>
    <w:p w14:paraId="61FE40F0">
      <w:pPr>
        <w:wordWrap w:val="0"/>
        <w:spacing w:before="0" w:after="0" w:line="249" w:lineRule="auto"/>
        <w:ind w:left="20" w:right="100" w:firstLine="640"/>
        <w:jc w:val="both"/>
        <w:rPr>
          <w:sz w:val="35"/>
        </w:rPr>
        <w:sectPr>
          <w:headerReference r:id="rId15" w:type="default"/>
          <w:footerReference r:id="rId16" w:type="default"/>
          <w:type w:val="continuous"/>
          <w:pgSz w:w="11901" w:h="16841"/>
          <w:pgMar w:top="1440" w:right="1680" w:bottom="1680" w:left="1680" w:header="720" w:footer="840" w:gutter="0"/>
          <w:cols w:space="720" w:num="1"/>
        </w:sectPr>
      </w:pPr>
      <w:r>
        <w:rPr>
          <w:rFonts w:hint="eastAsia" w:ascii="宋体" w:hAnsi="宋体" w:eastAsia="宋体"/>
          <w:color w:val="000000"/>
          <w:sz w:val="35"/>
        </w:rPr>
        <w:t>运用绩效评价组制定的评价指标体系以及财政部《项目支出绩效评价管理办法》（财预〔</w:t>
      </w:r>
      <w:r>
        <w:rPr>
          <w:rFonts w:hint="eastAsia" w:ascii="Calibri" w:hAnsi="Calibri" w:eastAsia="Calibri"/>
          <w:color w:val="000000"/>
          <w:sz w:val="35"/>
        </w:rPr>
        <w:t>2020</w:t>
      </w:r>
      <w:r>
        <w:rPr>
          <w:rFonts w:hint="eastAsia" w:ascii="宋体" w:hAnsi="宋体" w:eastAsia="宋体"/>
          <w:color w:val="000000"/>
          <w:sz w:val="35"/>
        </w:rPr>
        <w:t>〕</w:t>
      </w:r>
      <w:r>
        <w:rPr>
          <w:rFonts w:hint="eastAsia" w:ascii="Calibri" w:hAnsi="Calibri" w:eastAsia="Calibri"/>
          <w:color w:val="000000"/>
          <w:sz w:val="35"/>
        </w:rPr>
        <w:t>10</w:t>
      </w:r>
      <w:r>
        <w:rPr>
          <w:rFonts w:hint="eastAsia" w:ascii="宋体" w:hAnsi="宋体" w:eastAsia="宋体"/>
          <w:color w:val="000000"/>
          <w:sz w:val="35"/>
        </w:rPr>
        <w:t>号）文件的评分标准，通过数据采集、问卷调查及访谈等方式，对本项目进行客观评价，最终评分结果：总得分为</w:t>
      </w:r>
      <w:r>
        <w:rPr>
          <w:rFonts w:hint="eastAsia" w:ascii="Calibri" w:hAnsi="Calibri" w:eastAsia="Calibri"/>
          <w:color w:val="000000"/>
          <w:sz w:val="35"/>
        </w:rPr>
        <w:t>100</w:t>
      </w:r>
      <w:r>
        <w:rPr>
          <w:rFonts w:hint="eastAsia" w:ascii="宋体" w:hAnsi="宋体" w:eastAsia="宋体"/>
          <w:color w:val="000000"/>
          <w:sz w:val="35"/>
        </w:rPr>
        <w:t>分，属于“优”。其</w:t>
      </w:r>
    </w:p>
    <w:p w14:paraId="5797A4E3">
      <w:pPr>
        <w:wordWrap w:val="0"/>
        <w:spacing w:before="0" w:after="0" w:line="275" w:lineRule="auto"/>
        <w:ind w:left="40" w:right="300" w:hanging="20"/>
        <w:jc w:val="both"/>
        <w:rPr>
          <w:sz w:val="35"/>
        </w:rPr>
      </w:pPr>
      <w:r>
        <w:rPr>
          <w:rFonts w:hint="eastAsia" w:ascii="宋体" w:hAnsi="宋体" w:eastAsia="宋体"/>
          <w:color w:val="000000"/>
          <w:sz w:val="35"/>
        </w:rPr>
        <w:t>中，项目决策类指标权重为</w:t>
      </w:r>
      <w:r>
        <w:rPr>
          <w:rFonts w:hint="eastAsia" w:ascii="Calibri" w:hAnsi="Calibri" w:eastAsia="Calibri"/>
          <w:color w:val="000000"/>
          <w:sz w:val="35"/>
        </w:rPr>
        <w:t>20</w:t>
      </w:r>
      <w:r>
        <w:rPr>
          <w:rFonts w:hint="eastAsia" w:ascii="宋体" w:hAnsi="宋体" w:eastAsia="宋体"/>
          <w:color w:val="000000"/>
          <w:sz w:val="35"/>
        </w:rPr>
        <w:t>分，得分为</w:t>
      </w:r>
      <w:r>
        <w:rPr>
          <w:rFonts w:hint="eastAsia" w:ascii="Calibri" w:hAnsi="Calibri" w:eastAsia="Calibri"/>
          <w:color w:val="000000"/>
          <w:sz w:val="35"/>
        </w:rPr>
        <w:t>20</w:t>
      </w:r>
      <w:r>
        <w:rPr>
          <w:rFonts w:hint="eastAsia" w:ascii="宋体" w:hAnsi="宋体" w:eastAsia="宋体"/>
          <w:color w:val="000000"/>
          <w:sz w:val="35"/>
        </w:rPr>
        <w:t>分，得分率为</w:t>
      </w:r>
      <w:r>
        <w:rPr>
          <w:rFonts w:hint="eastAsia" w:ascii="Calibri" w:hAnsi="Calibri" w:eastAsia="Calibri"/>
          <w:color w:val="000000"/>
          <w:sz w:val="35"/>
        </w:rPr>
        <w:t>100</w:t>
      </w:r>
      <w:r>
        <w:rPr>
          <w:rFonts w:hint="eastAsia" w:ascii="宋体" w:hAnsi="宋体" w:eastAsia="宋体"/>
          <w:color w:val="000000"/>
          <w:sz w:val="35"/>
        </w:rPr>
        <w:t>％。项目过程类指标权重为</w:t>
      </w:r>
      <w:r>
        <w:rPr>
          <w:rFonts w:hint="eastAsia" w:ascii="Calibri" w:hAnsi="Calibri" w:eastAsia="Calibri"/>
          <w:color w:val="000000"/>
          <w:sz w:val="35"/>
        </w:rPr>
        <w:t>20</w:t>
      </w:r>
      <w:r>
        <w:rPr>
          <w:rFonts w:hint="eastAsia" w:ascii="宋体" w:hAnsi="宋体" w:eastAsia="宋体"/>
          <w:color w:val="000000"/>
          <w:sz w:val="35"/>
        </w:rPr>
        <w:t>分，得分为</w:t>
      </w:r>
      <w:r>
        <w:rPr>
          <w:rFonts w:hint="eastAsia" w:ascii="Calibri" w:hAnsi="Calibri" w:eastAsia="Calibri"/>
          <w:color w:val="000000"/>
          <w:sz w:val="35"/>
        </w:rPr>
        <w:t>20</w:t>
      </w:r>
      <w:r>
        <w:rPr>
          <w:rFonts w:hint="eastAsia" w:ascii="宋体" w:hAnsi="宋体" w:eastAsia="宋体"/>
          <w:color w:val="000000"/>
          <w:sz w:val="35"/>
        </w:rPr>
        <w:t>分，得分率为</w:t>
      </w:r>
      <w:r>
        <w:rPr>
          <w:rFonts w:hint="eastAsia" w:ascii="Calibri" w:hAnsi="Calibri" w:eastAsia="Calibri"/>
          <w:color w:val="000000"/>
          <w:sz w:val="35"/>
        </w:rPr>
        <w:t>100</w:t>
      </w:r>
      <w:r>
        <w:rPr>
          <w:rFonts w:hint="eastAsia" w:ascii="宋体" w:hAnsi="宋体" w:eastAsia="宋体"/>
          <w:color w:val="000000"/>
          <w:sz w:val="35"/>
        </w:rPr>
        <w:t>％。项目产出类指标权重为</w:t>
      </w:r>
      <w:r>
        <w:rPr>
          <w:rFonts w:hint="eastAsia" w:ascii="Calibri" w:hAnsi="Calibri" w:eastAsia="Calibri"/>
          <w:color w:val="000000"/>
          <w:sz w:val="35"/>
        </w:rPr>
        <w:t>40</w:t>
      </w:r>
      <w:r>
        <w:rPr>
          <w:rFonts w:hint="eastAsia" w:ascii="宋体" w:hAnsi="宋体" w:eastAsia="宋体"/>
          <w:color w:val="000000"/>
          <w:sz w:val="35"/>
        </w:rPr>
        <w:t>分，得分为</w:t>
      </w:r>
      <w:r>
        <w:rPr>
          <w:rFonts w:hint="eastAsia" w:ascii="Calibri" w:hAnsi="Calibri" w:eastAsia="Calibri"/>
          <w:color w:val="000000"/>
          <w:sz w:val="35"/>
        </w:rPr>
        <w:t>40</w:t>
      </w:r>
      <w:r>
        <w:rPr>
          <w:rFonts w:hint="eastAsia" w:ascii="宋体" w:hAnsi="宋体" w:eastAsia="宋体"/>
          <w:color w:val="000000"/>
          <w:sz w:val="35"/>
        </w:rPr>
        <w:t>分，得分率为</w:t>
      </w:r>
      <w:r>
        <w:rPr>
          <w:rFonts w:hint="eastAsia" w:ascii="Calibri" w:hAnsi="Calibri" w:eastAsia="Calibri"/>
          <w:color w:val="000000"/>
          <w:sz w:val="35"/>
        </w:rPr>
        <w:t>100</w:t>
      </w:r>
      <w:r>
        <w:rPr>
          <w:rFonts w:hint="eastAsia" w:ascii="宋体" w:hAnsi="宋体" w:eastAsia="宋体"/>
          <w:color w:val="000000"/>
          <w:sz w:val="35"/>
        </w:rPr>
        <w:t>％。项目效益类指标权重为</w:t>
      </w:r>
      <w:r>
        <w:rPr>
          <w:rFonts w:hint="eastAsia" w:ascii="Calibri" w:hAnsi="Calibri" w:eastAsia="Calibri"/>
          <w:color w:val="000000"/>
          <w:sz w:val="35"/>
        </w:rPr>
        <w:t>20</w:t>
      </w:r>
      <w:r>
        <w:rPr>
          <w:rFonts w:hint="eastAsia" w:ascii="宋体" w:hAnsi="宋体" w:eastAsia="宋体"/>
          <w:color w:val="000000"/>
          <w:sz w:val="35"/>
        </w:rPr>
        <w:t>分，得分为</w:t>
      </w:r>
      <w:r>
        <w:rPr>
          <w:rFonts w:hint="eastAsia" w:ascii="Calibri" w:hAnsi="Calibri" w:eastAsia="Calibri"/>
          <w:color w:val="000000"/>
          <w:sz w:val="35"/>
        </w:rPr>
        <w:t>20</w:t>
      </w:r>
      <w:r>
        <w:rPr>
          <w:rFonts w:hint="eastAsia" w:ascii="宋体" w:hAnsi="宋体" w:eastAsia="宋体"/>
          <w:color w:val="000000"/>
          <w:sz w:val="35"/>
        </w:rPr>
        <w:t>分，得分率为</w:t>
      </w:r>
      <w:r>
        <w:rPr>
          <w:rFonts w:hint="eastAsia" w:ascii="Calibri" w:hAnsi="Calibri" w:eastAsia="Calibri"/>
          <w:color w:val="000000"/>
          <w:sz w:val="35"/>
        </w:rPr>
        <w:t>100</w:t>
      </w:r>
      <w:r>
        <w:rPr>
          <w:rFonts w:hint="eastAsia" w:ascii="宋体" w:hAnsi="宋体" w:eastAsia="宋体"/>
          <w:color w:val="000000"/>
          <w:sz w:val="35"/>
        </w:rPr>
        <w:t>％。具体打分情况详见：表</w:t>
      </w:r>
      <w:r>
        <w:rPr>
          <w:rFonts w:hint="eastAsia" w:ascii="Calibri" w:hAnsi="Calibri" w:eastAsia="Calibri"/>
          <w:color w:val="000000"/>
          <w:sz w:val="35"/>
        </w:rPr>
        <w:t>1</w:t>
      </w:r>
      <w:r>
        <w:rPr>
          <w:rFonts w:hint="eastAsia" w:ascii="宋体" w:hAnsi="宋体" w:eastAsia="宋体"/>
          <w:color w:val="000000"/>
          <w:sz w:val="35"/>
        </w:rPr>
        <w:t>．综合评分表。</w:t>
      </w:r>
    </w:p>
    <w:p w14:paraId="1DA3CAB9">
      <w:pPr>
        <w:wordWrap w:val="0"/>
        <w:spacing w:before="96" w:after="0" w:line="240" w:lineRule="auto"/>
        <w:ind w:firstLine="3300"/>
        <w:jc w:val="both"/>
        <w:rPr>
          <w:sz w:val="35"/>
        </w:rPr>
      </w:pPr>
      <w:r>
        <w:rPr>
          <w:rFonts w:hint="eastAsia" w:ascii="宋体" w:hAnsi="宋体" w:eastAsia="宋体"/>
          <w:b/>
          <w:color w:val="000000"/>
          <w:sz w:val="35"/>
        </w:rPr>
        <w:t>表</w:t>
      </w:r>
      <w:r>
        <w:rPr>
          <w:rFonts w:hint="eastAsia" w:ascii="Calibri" w:hAnsi="Calibri" w:eastAsia="Calibri"/>
          <w:b/>
          <w:color w:val="000000"/>
          <w:sz w:val="35"/>
        </w:rPr>
        <w:t>1</w:t>
      </w:r>
      <w:r>
        <w:rPr>
          <w:rFonts w:hint="eastAsia" w:ascii="宋体" w:hAnsi="宋体" w:eastAsia="宋体"/>
          <w:b/>
          <w:color w:val="000000"/>
          <w:sz w:val="35"/>
        </w:rPr>
        <w:t>．综合评分表</w:t>
      </w:r>
    </w:p>
    <w:p w14:paraId="202883E2">
      <w:pPr>
        <w:wordWrap w:val="0"/>
        <w:spacing w:before="0" w:after="0" w:line="246" w:lineRule="auto"/>
        <w:ind w:firstLine="0"/>
        <w:jc w:val="both"/>
        <w:rPr>
          <w:rFonts w:hint="eastAsia" w:ascii="宋体" w:hAnsi="宋体" w:eastAsia="宋体"/>
          <w:color w:val="000000"/>
          <w:sz w:val="12"/>
        </w:rPr>
      </w:pPr>
    </w:p>
    <w:tbl>
      <w:tblPr>
        <w:tblStyle w:val="2"/>
        <w:tblW w:w="0" w:type="auto"/>
        <w:tblInd w:w="54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8" w:type="dxa"/>
          <w:bottom w:w="0" w:type="dxa"/>
          <w:right w:w="108" w:type="dxa"/>
        </w:tblCellMar>
      </w:tblPr>
      <w:tblGrid>
        <w:gridCol w:w="3180"/>
        <w:gridCol w:w="2160"/>
        <w:gridCol w:w="2280"/>
      </w:tblGrid>
      <w:tr w14:paraId="4BEC167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320" w:hRule="atLeast"/>
        </w:trPr>
        <w:tc>
          <w:tcPr>
            <w:tcW w:w="3180" w:type="dxa"/>
            <w:tcBorders>
              <w:top w:val="single" w:color="auto" w:sz="4" w:space="0"/>
              <w:left w:val="single" w:color="auto" w:sz="4" w:space="0"/>
              <w:bottom w:val="single" w:color="auto" w:sz="4" w:space="0"/>
              <w:right w:val="single" w:color="auto" w:sz="4" w:space="0"/>
            </w:tcBorders>
          </w:tcPr>
          <w:p w14:paraId="4CCBE8D4">
            <w:pPr>
              <w:spacing w:before="0" w:after="0" w:line="148" w:lineRule="auto"/>
              <w:jc w:val="center"/>
              <w:rPr>
                <w:sz w:val="35"/>
              </w:rPr>
            </w:pPr>
            <w:r>
              <w:rPr>
                <w:rFonts w:hint="eastAsia" w:ascii="宋体" w:hAnsi="宋体" w:eastAsia="宋体"/>
                <w:color w:val="000000"/>
                <w:sz w:val="35"/>
              </w:rPr>
              <w:t>一级指标</w:t>
            </w:r>
          </w:p>
        </w:tc>
        <w:tc>
          <w:tcPr>
            <w:tcW w:w="2160" w:type="dxa"/>
            <w:tcBorders>
              <w:top w:val="single" w:color="auto" w:sz="4" w:space="0"/>
              <w:left w:val="single" w:color="auto" w:sz="4" w:space="0"/>
              <w:bottom w:val="single" w:color="auto" w:sz="4" w:space="0"/>
              <w:right w:val="single" w:color="auto" w:sz="4" w:space="0"/>
            </w:tcBorders>
          </w:tcPr>
          <w:p w14:paraId="79848C9F">
            <w:pPr>
              <w:spacing w:before="0" w:after="0" w:line="148" w:lineRule="auto"/>
              <w:jc w:val="center"/>
              <w:rPr>
                <w:sz w:val="35"/>
              </w:rPr>
            </w:pPr>
            <w:r>
              <w:rPr>
                <w:rFonts w:hint="eastAsia" w:ascii="宋体" w:hAnsi="宋体" w:eastAsia="宋体"/>
                <w:color w:val="000000"/>
                <w:sz w:val="35"/>
              </w:rPr>
              <w:t>权重分</w:t>
            </w:r>
          </w:p>
        </w:tc>
        <w:tc>
          <w:tcPr>
            <w:tcW w:w="2280" w:type="dxa"/>
            <w:tcBorders>
              <w:top w:val="single" w:color="auto" w:sz="4" w:space="0"/>
              <w:left w:val="single" w:color="auto" w:sz="4" w:space="0"/>
              <w:bottom w:val="single" w:color="auto" w:sz="4" w:space="0"/>
              <w:right w:val="single" w:color="auto" w:sz="4" w:space="0"/>
            </w:tcBorders>
          </w:tcPr>
          <w:p w14:paraId="4710CDC2">
            <w:pPr>
              <w:spacing w:before="0" w:after="0" w:line="148" w:lineRule="auto"/>
              <w:jc w:val="center"/>
              <w:rPr>
                <w:sz w:val="35"/>
              </w:rPr>
            </w:pPr>
            <w:r>
              <w:rPr>
                <w:rFonts w:hint="eastAsia" w:ascii="宋体" w:hAnsi="宋体" w:eastAsia="宋体"/>
                <w:color w:val="000000"/>
                <w:sz w:val="35"/>
              </w:rPr>
              <w:t>得分</w:t>
            </w:r>
          </w:p>
        </w:tc>
      </w:tr>
      <w:tr w14:paraId="68A3E2B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320" w:hRule="atLeast"/>
        </w:trPr>
        <w:tc>
          <w:tcPr>
            <w:tcW w:w="3180" w:type="dxa"/>
            <w:tcBorders>
              <w:top w:val="single" w:color="auto" w:sz="4" w:space="0"/>
              <w:left w:val="single" w:color="auto" w:sz="4" w:space="0"/>
              <w:bottom w:val="single" w:color="auto" w:sz="4" w:space="0"/>
              <w:right w:val="single" w:color="auto" w:sz="4" w:space="0"/>
            </w:tcBorders>
          </w:tcPr>
          <w:p w14:paraId="117DDEE4">
            <w:pPr>
              <w:spacing w:before="0" w:after="0" w:line="153" w:lineRule="auto"/>
              <w:jc w:val="center"/>
              <w:rPr>
                <w:sz w:val="35"/>
              </w:rPr>
            </w:pPr>
            <w:r>
              <w:rPr>
                <w:rFonts w:hint="eastAsia" w:ascii="宋体" w:hAnsi="宋体" w:eastAsia="宋体"/>
                <w:color w:val="000000"/>
                <w:sz w:val="35"/>
              </w:rPr>
              <w:t>项目决策</w:t>
            </w:r>
          </w:p>
        </w:tc>
        <w:tc>
          <w:tcPr>
            <w:tcW w:w="2160" w:type="dxa"/>
            <w:tcBorders>
              <w:top w:val="single" w:color="auto" w:sz="4" w:space="0"/>
              <w:left w:val="single" w:color="auto" w:sz="4" w:space="0"/>
              <w:bottom w:val="single" w:color="auto" w:sz="4" w:space="0"/>
              <w:right w:val="single" w:color="auto" w:sz="4" w:space="0"/>
            </w:tcBorders>
          </w:tcPr>
          <w:p w14:paraId="3C0D0882">
            <w:pPr>
              <w:spacing w:before="0" w:after="0" w:line="154" w:lineRule="auto"/>
              <w:jc w:val="center"/>
              <w:rPr>
                <w:sz w:val="35"/>
              </w:rPr>
            </w:pPr>
            <w:r>
              <w:rPr>
                <w:rFonts w:hint="eastAsia" w:ascii="Calibri" w:hAnsi="Calibri" w:eastAsia="Calibri"/>
                <w:color w:val="000000"/>
                <w:sz w:val="35"/>
              </w:rPr>
              <w:t>20</w:t>
            </w:r>
          </w:p>
        </w:tc>
        <w:tc>
          <w:tcPr>
            <w:tcW w:w="2280" w:type="dxa"/>
            <w:tcBorders>
              <w:top w:val="single" w:color="auto" w:sz="4" w:space="0"/>
              <w:left w:val="single" w:color="auto" w:sz="4" w:space="0"/>
              <w:bottom w:val="single" w:color="auto" w:sz="4" w:space="0"/>
              <w:right w:val="single" w:color="auto" w:sz="4" w:space="0"/>
            </w:tcBorders>
          </w:tcPr>
          <w:p w14:paraId="5BD90E8C">
            <w:pPr>
              <w:spacing w:before="0" w:after="0" w:line="140" w:lineRule="auto"/>
              <w:jc w:val="center"/>
              <w:rPr>
                <w:sz w:val="35"/>
              </w:rPr>
            </w:pPr>
            <w:r>
              <w:rPr>
                <w:rFonts w:hint="eastAsia" w:ascii="Calibri" w:hAnsi="Calibri" w:eastAsia="Calibri"/>
                <w:color w:val="000000"/>
                <w:sz w:val="35"/>
              </w:rPr>
              <w:t>20</w:t>
            </w:r>
          </w:p>
        </w:tc>
      </w:tr>
      <w:tr w14:paraId="39C74AC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360" w:hRule="atLeast"/>
        </w:trPr>
        <w:tc>
          <w:tcPr>
            <w:tcW w:w="3180" w:type="dxa"/>
            <w:tcBorders>
              <w:top w:val="single" w:color="auto" w:sz="4" w:space="0"/>
              <w:left w:val="single" w:color="auto" w:sz="4" w:space="0"/>
              <w:bottom w:val="single" w:color="auto" w:sz="4" w:space="0"/>
              <w:right w:val="single" w:color="auto" w:sz="4" w:space="0"/>
            </w:tcBorders>
          </w:tcPr>
          <w:p w14:paraId="63AA14CE">
            <w:pPr>
              <w:spacing w:before="0" w:after="0" w:line="163" w:lineRule="auto"/>
              <w:jc w:val="center"/>
              <w:rPr>
                <w:sz w:val="35"/>
              </w:rPr>
            </w:pPr>
            <w:r>
              <w:rPr>
                <w:rFonts w:hint="eastAsia" w:ascii="宋体" w:hAnsi="宋体" w:eastAsia="宋体"/>
                <w:color w:val="000000"/>
                <w:sz w:val="35"/>
              </w:rPr>
              <w:t>项目过程</w:t>
            </w:r>
          </w:p>
        </w:tc>
        <w:tc>
          <w:tcPr>
            <w:tcW w:w="2160" w:type="dxa"/>
            <w:tcBorders>
              <w:top w:val="single" w:color="auto" w:sz="4" w:space="0"/>
              <w:left w:val="single" w:color="auto" w:sz="4" w:space="0"/>
              <w:bottom w:val="single" w:color="auto" w:sz="4" w:space="0"/>
              <w:right w:val="single" w:color="auto" w:sz="4" w:space="0"/>
            </w:tcBorders>
          </w:tcPr>
          <w:p w14:paraId="142AB0A0">
            <w:pPr>
              <w:spacing w:before="0" w:after="0" w:line="154" w:lineRule="auto"/>
              <w:jc w:val="center"/>
              <w:rPr>
                <w:sz w:val="35"/>
              </w:rPr>
            </w:pPr>
            <w:r>
              <w:rPr>
                <w:rFonts w:hint="eastAsia" w:ascii="Calibri" w:hAnsi="Calibri" w:eastAsia="Calibri"/>
                <w:color w:val="000000"/>
                <w:sz w:val="35"/>
              </w:rPr>
              <w:t>20</w:t>
            </w:r>
          </w:p>
        </w:tc>
        <w:tc>
          <w:tcPr>
            <w:tcW w:w="2280" w:type="dxa"/>
            <w:tcBorders>
              <w:top w:val="single" w:color="auto" w:sz="4" w:space="0"/>
              <w:left w:val="single" w:color="auto" w:sz="4" w:space="0"/>
              <w:bottom w:val="single" w:color="auto" w:sz="4" w:space="0"/>
              <w:right w:val="single" w:color="auto" w:sz="4" w:space="0"/>
            </w:tcBorders>
          </w:tcPr>
          <w:p w14:paraId="171432DE">
            <w:pPr>
              <w:spacing w:before="0" w:after="0" w:line="154" w:lineRule="auto"/>
              <w:jc w:val="center"/>
              <w:rPr>
                <w:sz w:val="35"/>
              </w:rPr>
            </w:pPr>
            <w:r>
              <w:rPr>
                <w:rFonts w:hint="eastAsia" w:ascii="Calibri" w:hAnsi="Calibri" w:eastAsia="Calibri"/>
                <w:color w:val="000000"/>
                <w:sz w:val="35"/>
              </w:rPr>
              <w:t>20</w:t>
            </w:r>
          </w:p>
        </w:tc>
      </w:tr>
      <w:tr w14:paraId="4A8D90F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340" w:hRule="atLeast"/>
        </w:trPr>
        <w:tc>
          <w:tcPr>
            <w:tcW w:w="3180" w:type="dxa"/>
            <w:tcBorders>
              <w:top w:val="single" w:color="auto" w:sz="4" w:space="0"/>
              <w:left w:val="single" w:color="auto" w:sz="4" w:space="0"/>
              <w:bottom w:val="single" w:color="auto" w:sz="4" w:space="0"/>
              <w:right w:val="single" w:color="auto" w:sz="4" w:space="0"/>
            </w:tcBorders>
          </w:tcPr>
          <w:p w14:paraId="15C601F4">
            <w:pPr>
              <w:spacing w:before="0" w:after="0" w:line="168" w:lineRule="auto"/>
              <w:jc w:val="center"/>
              <w:rPr>
                <w:sz w:val="35"/>
              </w:rPr>
            </w:pPr>
            <w:r>
              <w:rPr>
                <w:rFonts w:hint="eastAsia" w:ascii="宋体" w:hAnsi="宋体" w:eastAsia="宋体"/>
                <w:color w:val="000000"/>
                <w:sz w:val="35"/>
              </w:rPr>
              <w:t>项目产出</w:t>
            </w:r>
          </w:p>
        </w:tc>
        <w:tc>
          <w:tcPr>
            <w:tcW w:w="2160" w:type="dxa"/>
            <w:tcBorders>
              <w:top w:val="single" w:color="auto" w:sz="4" w:space="0"/>
              <w:left w:val="single" w:color="auto" w:sz="4" w:space="0"/>
              <w:bottom w:val="single" w:color="auto" w:sz="4" w:space="0"/>
              <w:right w:val="single" w:color="auto" w:sz="4" w:space="0"/>
            </w:tcBorders>
          </w:tcPr>
          <w:p w14:paraId="3B09EE4A">
            <w:pPr>
              <w:spacing w:before="0" w:after="0" w:line="158" w:lineRule="auto"/>
              <w:jc w:val="center"/>
              <w:rPr>
                <w:sz w:val="35"/>
              </w:rPr>
            </w:pPr>
            <w:r>
              <w:rPr>
                <w:rFonts w:hint="eastAsia" w:ascii="Calibri" w:hAnsi="Calibri" w:eastAsia="Calibri"/>
                <w:color w:val="000000"/>
                <w:sz w:val="35"/>
              </w:rPr>
              <w:t>40</w:t>
            </w:r>
          </w:p>
        </w:tc>
        <w:tc>
          <w:tcPr>
            <w:tcW w:w="2280" w:type="dxa"/>
            <w:tcBorders>
              <w:top w:val="single" w:color="auto" w:sz="4" w:space="0"/>
              <w:left w:val="single" w:color="auto" w:sz="4" w:space="0"/>
              <w:bottom w:val="single" w:color="auto" w:sz="4" w:space="0"/>
              <w:right w:val="single" w:color="auto" w:sz="4" w:space="0"/>
            </w:tcBorders>
          </w:tcPr>
          <w:p w14:paraId="4210C005">
            <w:pPr>
              <w:spacing w:before="0" w:after="0" w:line="145" w:lineRule="auto"/>
              <w:jc w:val="center"/>
              <w:rPr>
                <w:sz w:val="35"/>
              </w:rPr>
            </w:pPr>
            <w:r>
              <w:rPr>
                <w:rFonts w:hint="eastAsia" w:ascii="Calibri" w:hAnsi="Calibri" w:eastAsia="Calibri"/>
                <w:color w:val="000000"/>
                <w:sz w:val="35"/>
              </w:rPr>
              <w:t>40</w:t>
            </w:r>
          </w:p>
        </w:tc>
      </w:tr>
      <w:tr w14:paraId="1061223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340" w:hRule="atLeast"/>
        </w:trPr>
        <w:tc>
          <w:tcPr>
            <w:tcW w:w="3180" w:type="dxa"/>
            <w:tcBorders>
              <w:top w:val="single" w:color="auto" w:sz="4" w:space="0"/>
              <w:left w:val="single" w:color="auto" w:sz="4" w:space="0"/>
              <w:bottom w:val="single" w:color="auto" w:sz="4" w:space="0"/>
              <w:right w:val="single" w:color="auto" w:sz="4" w:space="0"/>
            </w:tcBorders>
          </w:tcPr>
          <w:p w14:paraId="66400178">
            <w:pPr>
              <w:spacing w:before="0" w:after="0" w:line="158" w:lineRule="auto"/>
              <w:jc w:val="center"/>
              <w:rPr>
                <w:sz w:val="35"/>
              </w:rPr>
            </w:pPr>
            <w:r>
              <w:rPr>
                <w:rFonts w:hint="eastAsia" w:ascii="宋体" w:hAnsi="宋体" w:eastAsia="宋体"/>
                <w:color w:val="000000"/>
                <w:sz w:val="35"/>
              </w:rPr>
              <w:t>项目效益</w:t>
            </w:r>
          </w:p>
        </w:tc>
        <w:tc>
          <w:tcPr>
            <w:tcW w:w="2160" w:type="dxa"/>
            <w:tcBorders>
              <w:top w:val="single" w:color="auto" w:sz="4" w:space="0"/>
              <w:left w:val="single" w:color="auto" w:sz="4" w:space="0"/>
              <w:bottom w:val="single" w:color="auto" w:sz="4" w:space="0"/>
              <w:right w:val="single" w:color="auto" w:sz="4" w:space="0"/>
            </w:tcBorders>
          </w:tcPr>
          <w:p w14:paraId="531D5BC3">
            <w:pPr>
              <w:spacing w:before="0" w:after="0" w:line="149" w:lineRule="auto"/>
              <w:jc w:val="center"/>
              <w:rPr>
                <w:sz w:val="35"/>
              </w:rPr>
            </w:pPr>
            <w:r>
              <w:rPr>
                <w:rFonts w:hint="eastAsia" w:ascii="Calibri" w:hAnsi="Calibri" w:eastAsia="Calibri"/>
                <w:color w:val="000000"/>
                <w:sz w:val="35"/>
              </w:rPr>
              <w:t>20</w:t>
            </w:r>
          </w:p>
        </w:tc>
        <w:tc>
          <w:tcPr>
            <w:tcW w:w="2280" w:type="dxa"/>
            <w:tcBorders>
              <w:top w:val="single" w:color="auto" w:sz="4" w:space="0"/>
              <w:left w:val="single" w:color="auto" w:sz="4" w:space="0"/>
              <w:bottom w:val="single" w:color="auto" w:sz="4" w:space="0"/>
              <w:right w:val="single" w:color="auto" w:sz="4" w:space="0"/>
            </w:tcBorders>
          </w:tcPr>
          <w:p w14:paraId="329ECAE1">
            <w:pPr>
              <w:spacing w:before="0" w:after="0" w:line="135" w:lineRule="auto"/>
              <w:jc w:val="center"/>
              <w:rPr>
                <w:sz w:val="35"/>
              </w:rPr>
            </w:pPr>
            <w:r>
              <w:rPr>
                <w:rFonts w:hint="eastAsia" w:ascii="Calibri" w:hAnsi="Calibri" w:eastAsia="Calibri"/>
                <w:color w:val="000000"/>
                <w:sz w:val="35"/>
              </w:rPr>
              <w:t>20</w:t>
            </w:r>
          </w:p>
        </w:tc>
      </w:tr>
      <w:tr w14:paraId="19E3524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340" w:hRule="atLeast"/>
        </w:trPr>
        <w:tc>
          <w:tcPr>
            <w:tcW w:w="3180" w:type="dxa"/>
            <w:tcBorders>
              <w:top w:val="single" w:color="auto" w:sz="4" w:space="0"/>
              <w:left w:val="single" w:color="auto" w:sz="4" w:space="0"/>
              <w:bottom w:val="single" w:color="auto" w:sz="4" w:space="0"/>
              <w:right w:val="single" w:color="auto" w:sz="4" w:space="0"/>
            </w:tcBorders>
          </w:tcPr>
          <w:p w14:paraId="4EC102B4">
            <w:pPr>
              <w:spacing w:before="0" w:after="0" w:line="158" w:lineRule="auto"/>
              <w:jc w:val="center"/>
              <w:rPr>
                <w:sz w:val="35"/>
              </w:rPr>
            </w:pPr>
            <w:r>
              <w:rPr>
                <w:rFonts w:hint="eastAsia" w:ascii="宋体" w:hAnsi="宋体" w:eastAsia="宋体"/>
                <w:color w:val="000000"/>
                <w:sz w:val="35"/>
              </w:rPr>
              <w:t>合计</w:t>
            </w:r>
          </w:p>
        </w:tc>
        <w:tc>
          <w:tcPr>
            <w:tcW w:w="2160" w:type="dxa"/>
            <w:tcBorders>
              <w:top w:val="single" w:color="auto" w:sz="4" w:space="0"/>
              <w:left w:val="single" w:color="auto" w:sz="4" w:space="0"/>
              <w:bottom w:val="single" w:color="auto" w:sz="4" w:space="0"/>
              <w:right w:val="single" w:color="auto" w:sz="4" w:space="0"/>
            </w:tcBorders>
          </w:tcPr>
          <w:p w14:paraId="5B29B4A7">
            <w:pPr>
              <w:spacing w:before="0" w:after="0" w:line="149" w:lineRule="auto"/>
              <w:jc w:val="center"/>
              <w:rPr>
                <w:sz w:val="35"/>
              </w:rPr>
            </w:pPr>
            <w:r>
              <w:rPr>
                <w:rFonts w:hint="eastAsia" w:ascii="Calibri" w:hAnsi="Calibri" w:eastAsia="Calibri"/>
                <w:color w:val="000000"/>
                <w:sz w:val="35"/>
              </w:rPr>
              <w:t>100</w:t>
            </w:r>
          </w:p>
        </w:tc>
        <w:tc>
          <w:tcPr>
            <w:tcW w:w="2280" w:type="dxa"/>
            <w:tcBorders>
              <w:top w:val="single" w:color="auto" w:sz="4" w:space="0"/>
              <w:left w:val="single" w:color="auto" w:sz="4" w:space="0"/>
              <w:bottom w:val="single" w:color="auto" w:sz="4" w:space="0"/>
              <w:right w:val="single" w:color="auto" w:sz="4" w:space="0"/>
            </w:tcBorders>
          </w:tcPr>
          <w:p w14:paraId="792BC20A">
            <w:pPr>
              <w:spacing w:before="0" w:after="0" w:line="149" w:lineRule="auto"/>
              <w:jc w:val="center"/>
              <w:rPr>
                <w:sz w:val="35"/>
              </w:rPr>
            </w:pPr>
            <w:r>
              <w:rPr>
                <w:rFonts w:hint="eastAsia" w:ascii="Calibri" w:hAnsi="Calibri" w:eastAsia="Calibri"/>
                <w:color w:val="000000"/>
                <w:sz w:val="35"/>
              </w:rPr>
              <w:t>100</w:t>
            </w:r>
          </w:p>
        </w:tc>
      </w:tr>
    </w:tbl>
    <w:p w14:paraId="05DE32B5">
      <w:pPr>
        <w:wordWrap w:val="0"/>
        <w:spacing w:before="0" w:after="0" w:line="240" w:lineRule="auto"/>
        <w:ind w:firstLine="0"/>
        <w:jc w:val="both"/>
        <w:rPr>
          <w:rFonts w:hint="eastAsia" w:ascii="宋体" w:hAnsi="宋体" w:eastAsia="宋体"/>
          <w:color w:val="000000"/>
          <w:sz w:val="21"/>
        </w:rPr>
      </w:pPr>
    </w:p>
    <w:p w14:paraId="7ED29674">
      <w:pPr>
        <w:wordWrap w:val="0"/>
        <w:spacing w:before="0" w:after="0" w:line="240" w:lineRule="auto"/>
        <w:ind w:firstLine="0"/>
        <w:jc w:val="both"/>
        <w:rPr>
          <w:rFonts w:hint="eastAsia" w:ascii="宋体" w:hAnsi="宋体" w:eastAsia="宋体"/>
          <w:color w:val="000000"/>
          <w:sz w:val="21"/>
        </w:rPr>
      </w:pPr>
    </w:p>
    <w:p w14:paraId="004EB9AD">
      <w:pPr>
        <w:wordWrap w:val="0"/>
        <w:spacing w:before="81" w:after="0" w:line="240" w:lineRule="auto"/>
        <w:ind w:firstLine="680"/>
        <w:jc w:val="both"/>
        <w:rPr>
          <w:sz w:val="35"/>
        </w:rPr>
      </w:pPr>
      <w:r>
        <w:rPr>
          <w:rFonts w:hint="eastAsia" w:ascii="宋体" w:hAnsi="宋体" w:eastAsia="宋体"/>
          <w:b/>
          <w:color w:val="000000"/>
          <w:sz w:val="35"/>
        </w:rPr>
        <w:t>四、绩效评价指标分析</w:t>
      </w:r>
    </w:p>
    <w:p w14:paraId="25D8008B">
      <w:pPr>
        <w:wordWrap w:val="0"/>
        <w:spacing w:before="146" w:after="0" w:line="240" w:lineRule="auto"/>
        <w:ind w:firstLine="800"/>
        <w:jc w:val="both"/>
        <w:rPr>
          <w:sz w:val="35"/>
        </w:rPr>
      </w:pPr>
      <w:r>
        <w:rPr>
          <w:rFonts w:hint="eastAsia" w:ascii="宋体" w:hAnsi="宋体" w:eastAsia="宋体"/>
          <w:b/>
          <w:color w:val="000000"/>
          <w:sz w:val="35"/>
        </w:rPr>
        <w:t>（一）项目决策情况</w:t>
      </w:r>
    </w:p>
    <w:p w14:paraId="455D85E7">
      <w:pPr>
        <w:wordWrap w:val="0"/>
        <w:spacing w:before="69" w:after="0" w:line="275" w:lineRule="auto"/>
        <w:ind w:left="20" w:right="300" w:firstLine="660"/>
        <w:jc w:val="both"/>
        <w:rPr>
          <w:sz w:val="35"/>
        </w:rPr>
      </w:pPr>
      <w:r>
        <w:rPr>
          <w:rFonts w:hint="eastAsia" w:ascii="宋体" w:hAnsi="宋体" w:eastAsia="宋体"/>
          <w:color w:val="000000"/>
          <w:sz w:val="35"/>
        </w:rPr>
        <w:t>项目决策类指标包括项目立项、绩效目标和资金投入三方面的内容，由</w:t>
      </w:r>
      <w:r>
        <w:rPr>
          <w:rFonts w:hint="eastAsia" w:ascii="Calibri" w:hAnsi="Calibri" w:eastAsia="Calibri"/>
          <w:color w:val="000000"/>
          <w:sz w:val="35"/>
        </w:rPr>
        <w:t>6</w:t>
      </w:r>
      <w:r>
        <w:rPr>
          <w:rFonts w:hint="eastAsia" w:ascii="宋体" w:hAnsi="宋体" w:eastAsia="宋体"/>
          <w:color w:val="000000"/>
          <w:sz w:val="35"/>
        </w:rPr>
        <w:t>个三级指标构成，权重分值为</w:t>
      </w:r>
      <w:r>
        <w:rPr>
          <w:rFonts w:hint="eastAsia" w:ascii="Calibri" w:hAnsi="Calibri" w:eastAsia="Calibri"/>
          <w:color w:val="000000"/>
          <w:sz w:val="35"/>
        </w:rPr>
        <w:t>20</w:t>
      </w:r>
      <w:r>
        <w:rPr>
          <w:rFonts w:hint="eastAsia" w:ascii="宋体" w:hAnsi="宋体" w:eastAsia="宋体"/>
          <w:color w:val="000000"/>
          <w:sz w:val="35"/>
        </w:rPr>
        <w:t>分，实际得分</w:t>
      </w:r>
      <w:r>
        <w:rPr>
          <w:rFonts w:hint="eastAsia" w:ascii="Calibri" w:hAnsi="Calibri" w:eastAsia="Calibri"/>
          <w:color w:val="000000"/>
          <w:sz w:val="35"/>
        </w:rPr>
        <w:t>20</w:t>
      </w:r>
      <w:r>
        <w:rPr>
          <w:rFonts w:hint="eastAsia" w:ascii="宋体" w:hAnsi="宋体" w:eastAsia="宋体"/>
          <w:color w:val="000000"/>
          <w:sz w:val="35"/>
        </w:rPr>
        <w:t>分，得分率为</w:t>
      </w:r>
      <w:r>
        <w:rPr>
          <w:rFonts w:hint="eastAsia" w:ascii="Calibri" w:hAnsi="Calibri" w:eastAsia="Calibri"/>
          <w:color w:val="000000"/>
          <w:sz w:val="35"/>
        </w:rPr>
        <w:t>100</w:t>
      </w:r>
      <w:r>
        <w:rPr>
          <w:rFonts w:hint="eastAsia" w:ascii="宋体" w:hAnsi="宋体" w:eastAsia="宋体"/>
          <w:color w:val="000000"/>
          <w:sz w:val="35"/>
        </w:rPr>
        <w:t>％。</w:t>
      </w:r>
    </w:p>
    <w:p w14:paraId="34CA88DE">
      <w:pPr>
        <w:wordWrap w:val="0"/>
        <w:spacing w:before="146" w:after="0" w:line="240" w:lineRule="auto"/>
        <w:ind w:firstLine="680"/>
        <w:jc w:val="both"/>
        <w:rPr>
          <w:sz w:val="35"/>
        </w:rPr>
      </w:pPr>
      <w:r>
        <w:rPr>
          <w:rFonts w:hint="eastAsia" w:ascii="Calibri" w:hAnsi="Calibri" w:eastAsia="Calibri"/>
          <w:b/>
          <w:color w:val="000000"/>
          <w:sz w:val="35"/>
        </w:rPr>
        <w:t>1</w:t>
      </w:r>
      <w:r>
        <w:rPr>
          <w:rFonts w:hint="eastAsia" w:ascii="宋体" w:hAnsi="宋体" w:eastAsia="宋体"/>
          <w:b/>
          <w:color w:val="000000"/>
          <w:sz w:val="35"/>
        </w:rPr>
        <w:t>．项目立项</w:t>
      </w:r>
    </w:p>
    <w:p w14:paraId="72F16188">
      <w:pPr>
        <w:wordWrap w:val="0"/>
        <w:spacing w:before="126" w:after="0" w:line="240" w:lineRule="auto"/>
        <w:ind w:firstLine="800"/>
        <w:jc w:val="both"/>
        <w:rPr>
          <w:sz w:val="35"/>
        </w:rPr>
      </w:pPr>
      <w:r>
        <w:rPr>
          <w:rFonts w:hint="eastAsia" w:ascii="宋体" w:hAnsi="宋体" w:eastAsia="宋体"/>
          <w:color w:val="000000"/>
          <w:sz w:val="35"/>
        </w:rPr>
        <w:t>（</w:t>
      </w:r>
      <w:r>
        <w:rPr>
          <w:rFonts w:hint="eastAsia" w:ascii="Calibri" w:hAnsi="Calibri" w:eastAsia="Calibri"/>
          <w:color w:val="000000"/>
          <w:sz w:val="35"/>
        </w:rPr>
        <w:t>1</w:t>
      </w:r>
      <w:r>
        <w:rPr>
          <w:rFonts w:hint="eastAsia" w:ascii="宋体" w:hAnsi="宋体" w:eastAsia="宋体"/>
          <w:color w:val="000000"/>
          <w:sz w:val="35"/>
        </w:rPr>
        <w:t>）立项依据充分性</w:t>
      </w:r>
    </w:p>
    <w:p w14:paraId="53B00BAE">
      <w:pPr>
        <w:wordWrap w:val="0"/>
        <w:spacing w:before="139" w:after="0" w:line="275" w:lineRule="auto"/>
        <w:ind w:left="20" w:right="160" w:firstLine="660"/>
        <w:jc w:val="both"/>
        <w:rPr>
          <w:sz w:val="35"/>
        </w:rPr>
      </w:pPr>
      <w:r>
        <w:rPr>
          <w:rFonts w:hint="eastAsia" w:ascii="宋体" w:hAnsi="宋体" w:eastAsia="宋体"/>
          <w:color w:val="000000"/>
          <w:sz w:val="35"/>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199D0C4">
      <w:pPr>
        <w:wordWrap w:val="0"/>
        <w:spacing w:before="166" w:after="0" w:line="240" w:lineRule="auto"/>
        <w:ind w:firstLine="800"/>
        <w:jc w:val="both"/>
        <w:rPr>
          <w:sz w:val="35"/>
        </w:rPr>
      </w:pPr>
      <w:r>
        <w:rPr>
          <w:rFonts w:hint="eastAsia" w:ascii="宋体" w:hAnsi="宋体" w:eastAsia="宋体"/>
          <w:color w:val="000000"/>
          <w:sz w:val="35"/>
        </w:rPr>
        <w:t>（</w:t>
      </w:r>
      <w:r>
        <w:rPr>
          <w:rFonts w:hint="eastAsia" w:ascii="Calibri" w:hAnsi="Calibri" w:eastAsia="Calibri"/>
          <w:color w:val="000000"/>
          <w:sz w:val="35"/>
        </w:rPr>
        <w:t>2</w:t>
      </w:r>
      <w:r>
        <w:rPr>
          <w:rFonts w:hint="eastAsia" w:ascii="宋体" w:hAnsi="宋体" w:eastAsia="宋体"/>
          <w:color w:val="000000"/>
          <w:sz w:val="35"/>
        </w:rPr>
        <w:t>）立项程序规范性</w:t>
      </w:r>
    </w:p>
    <w:p w14:paraId="761E504D">
      <w:pPr>
        <w:wordWrap w:val="0"/>
        <w:spacing w:before="212" w:after="0" w:line="239" w:lineRule="auto"/>
        <w:ind w:firstLine="680"/>
        <w:jc w:val="both"/>
        <w:rPr>
          <w:sz w:val="33"/>
        </w:rPr>
        <w:sectPr>
          <w:headerReference r:id="rId17" w:type="default"/>
          <w:footerReference r:id="rId18" w:type="default"/>
          <w:type w:val="continuous"/>
          <w:pgSz w:w="11900" w:h="16840"/>
          <w:pgMar w:top="1440" w:right="1440" w:bottom="1440" w:left="1440" w:header="720" w:footer="720" w:gutter="0"/>
          <w:cols w:space="720" w:num="1"/>
        </w:sectPr>
      </w:pPr>
      <w:r>
        <w:rPr>
          <w:rFonts w:hint="eastAsia" w:ascii="宋体" w:hAnsi="宋体" w:eastAsia="宋体"/>
          <w:color w:val="000000"/>
          <w:sz w:val="33"/>
        </w:rPr>
        <w:t>项目申请、设立过程符合相关要求，严格按照审批流程准</w:t>
      </w:r>
    </w:p>
    <w:p w14:paraId="3F4A2882">
      <w:pPr>
        <w:wordWrap w:val="0"/>
        <w:spacing w:before="0" w:after="0" w:line="247" w:lineRule="auto"/>
        <w:ind w:left="20" w:right="340" w:firstLine="0"/>
        <w:jc w:val="both"/>
        <w:rPr>
          <w:sz w:val="35"/>
        </w:rPr>
      </w:pPr>
      <w:r>
        <w:rPr>
          <w:rFonts w:hint="eastAsia" w:ascii="宋体" w:hAnsi="宋体" w:eastAsia="宋体"/>
          <w:color w:val="000000"/>
          <w:sz w:val="35"/>
        </w:rPr>
        <w:t>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66548D7C">
      <w:pPr>
        <w:wordWrap w:val="0"/>
        <w:spacing w:before="0" w:after="0" w:line="240" w:lineRule="auto"/>
        <w:ind w:firstLine="700"/>
        <w:jc w:val="both"/>
        <w:rPr>
          <w:sz w:val="35"/>
        </w:rPr>
      </w:pPr>
      <w:r>
        <w:rPr>
          <w:rFonts w:hint="eastAsia" w:ascii="Calibri" w:hAnsi="Calibri" w:eastAsia="Calibri"/>
          <w:b/>
          <w:color w:val="000000"/>
          <w:sz w:val="35"/>
        </w:rPr>
        <w:t>2</w:t>
      </w:r>
      <w:r>
        <w:rPr>
          <w:rFonts w:hint="eastAsia" w:ascii="宋体" w:hAnsi="宋体" w:eastAsia="宋体"/>
          <w:b/>
          <w:color w:val="000000"/>
          <w:sz w:val="35"/>
        </w:rPr>
        <w:t>．绩效目标</w:t>
      </w:r>
    </w:p>
    <w:p w14:paraId="1106EA8C">
      <w:pPr>
        <w:wordWrap w:val="0"/>
        <w:spacing w:before="166" w:after="0" w:line="240" w:lineRule="auto"/>
        <w:ind w:firstLine="820"/>
        <w:jc w:val="both"/>
        <w:rPr>
          <w:sz w:val="35"/>
        </w:rPr>
      </w:pPr>
      <w:r>
        <w:rPr>
          <w:rFonts w:hint="eastAsia" w:ascii="宋体" w:hAnsi="宋体" w:eastAsia="宋体"/>
          <w:color w:val="000000"/>
          <w:sz w:val="35"/>
        </w:rPr>
        <w:t>（</w:t>
      </w:r>
      <w:r>
        <w:rPr>
          <w:rFonts w:hint="eastAsia" w:ascii="Calibri" w:hAnsi="Calibri" w:eastAsia="Calibri"/>
          <w:color w:val="000000"/>
          <w:sz w:val="35"/>
        </w:rPr>
        <w:t>1</w:t>
      </w:r>
      <w:r>
        <w:rPr>
          <w:rFonts w:hint="eastAsia" w:ascii="宋体" w:hAnsi="宋体" w:eastAsia="宋体"/>
          <w:color w:val="000000"/>
          <w:sz w:val="35"/>
        </w:rPr>
        <w:t>）绩效目标合理性</w:t>
      </w:r>
    </w:p>
    <w:p w14:paraId="7AD474A5">
      <w:pPr>
        <w:wordWrap w:val="0"/>
        <w:spacing w:before="0" w:after="0" w:line="240" w:lineRule="auto"/>
        <w:ind w:firstLine="0"/>
        <w:jc w:val="both"/>
        <w:rPr>
          <w:rFonts w:hint="eastAsia" w:ascii="宋体" w:hAnsi="宋体" w:eastAsia="宋体"/>
          <w:color w:val="000000"/>
          <w:sz w:val="21"/>
        </w:rPr>
      </w:pPr>
    </w:p>
    <w:p w14:paraId="13E8280C">
      <w:pPr>
        <w:wordWrap w:val="0"/>
        <w:spacing w:before="0" w:after="0" w:line="247" w:lineRule="auto"/>
        <w:ind w:left="20" w:right="340" w:firstLine="680"/>
        <w:jc w:val="both"/>
        <w:rPr>
          <w:sz w:val="35"/>
        </w:rPr>
      </w:pPr>
      <w:r>
        <w:rPr>
          <w:rFonts w:hint="eastAsia" w:ascii="宋体" w:hAnsi="宋体" w:eastAsia="宋体"/>
          <w:color w:val="000000"/>
          <w:sz w:val="35"/>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17ECE6B">
      <w:pPr>
        <w:wordWrap w:val="0"/>
        <w:spacing w:before="0" w:after="0" w:line="240" w:lineRule="auto"/>
        <w:ind w:firstLine="0"/>
        <w:jc w:val="both"/>
        <w:rPr>
          <w:rFonts w:hint="eastAsia" w:ascii="宋体" w:hAnsi="宋体" w:eastAsia="宋体"/>
          <w:color w:val="000000"/>
          <w:sz w:val="21"/>
        </w:rPr>
      </w:pPr>
    </w:p>
    <w:p w14:paraId="0B6A6208">
      <w:pPr>
        <w:wordWrap w:val="0"/>
        <w:spacing w:before="0" w:after="0" w:line="196" w:lineRule="auto"/>
        <w:ind w:firstLine="820"/>
        <w:jc w:val="both"/>
        <w:rPr>
          <w:sz w:val="35"/>
        </w:rPr>
      </w:pPr>
      <w:r>
        <w:rPr>
          <w:rFonts w:hint="eastAsia" w:ascii="宋体" w:hAnsi="宋体" w:eastAsia="宋体"/>
          <w:color w:val="000000"/>
          <w:sz w:val="35"/>
        </w:rPr>
        <w:t>（</w:t>
      </w:r>
      <w:r>
        <w:rPr>
          <w:rFonts w:hint="eastAsia" w:ascii="Calibri" w:hAnsi="Calibri" w:eastAsia="Calibri"/>
          <w:color w:val="000000"/>
          <w:sz w:val="35"/>
        </w:rPr>
        <w:t>2</w:t>
      </w:r>
      <w:r>
        <w:rPr>
          <w:rFonts w:hint="eastAsia" w:ascii="宋体" w:hAnsi="宋体" w:eastAsia="宋体"/>
          <w:color w:val="000000"/>
          <w:sz w:val="35"/>
        </w:rPr>
        <w:t>）绩效指标明确性</w:t>
      </w:r>
    </w:p>
    <w:p w14:paraId="75D5C7B6">
      <w:pPr>
        <w:wordWrap w:val="0"/>
        <w:spacing w:before="0" w:after="0" w:line="240" w:lineRule="auto"/>
        <w:ind w:firstLine="0"/>
        <w:jc w:val="both"/>
        <w:rPr>
          <w:rFonts w:hint="eastAsia" w:ascii="宋体" w:hAnsi="宋体" w:eastAsia="宋体"/>
          <w:color w:val="000000"/>
          <w:sz w:val="21"/>
        </w:rPr>
      </w:pPr>
    </w:p>
    <w:p w14:paraId="2E32C5F7">
      <w:pPr>
        <w:wordWrap w:val="0"/>
        <w:spacing w:before="0" w:after="0" w:line="247" w:lineRule="auto"/>
        <w:ind w:left="20" w:right="340" w:firstLine="680"/>
        <w:jc w:val="both"/>
        <w:rPr>
          <w:sz w:val="35"/>
        </w:rPr>
      </w:pPr>
      <w:r>
        <w:rPr>
          <w:rFonts w:hint="eastAsia" w:ascii="宋体" w:hAnsi="宋体" w:eastAsia="宋体"/>
          <w:color w:val="000000"/>
          <w:sz w:val="35"/>
        </w:rPr>
        <w:t>项目设置了明确的预期产出效益和效果，将绩效目标细化分解为具体的绩效指标，绩效目标与项目目标任务数相对应，绩效目标设定的绩效指标清晰、细化、可衡量。</w:t>
      </w:r>
    </w:p>
    <w:p w14:paraId="582CF1A0">
      <w:pPr>
        <w:wordWrap w:val="0"/>
        <w:spacing w:before="0" w:after="0" w:line="240" w:lineRule="auto"/>
        <w:ind w:firstLine="0"/>
        <w:jc w:val="both"/>
        <w:rPr>
          <w:rFonts w:hint="eastAsia" w:ascii="宋体" w:hAnsi="宋体" w:eastAsia="宋体"/>
          <w:color w:val="000000"/>
          <w:sz w:val="21"/>
        </w:rPr>
      </w:pPr>
    </w:p>
    <w:p w14:paraId="1FFCE273">
      <w:pPr>
        <w:wordWrap w:val="0"/>
        <w:spacing w:before="0" w:after="0" w:line="192" w:lineRule="auto"/>
        <w:ind w:firstLine="700"/>
        <w:jc w:val="both"/>
        <w:rPr>
          <w:sz w:val="35"/>
        </w:rPr>
      </w:pPr>
      <w:r>
        <w:rPr>
          <w:rFonts w:hint="eastAsia" w:ascii="Calibri" w:hAnsi="Calibri" w:eastAsia="Calibri"/>
          <w:b/>
          <w:color w:val="000000"/>
          <w:sz w:val="35"/>
        </w:rPr>
        <w:t>3</w:t>
      </w:r>
      <w:r>
        <w:rPr>
          <w:rFonts w:hint="eastAsia" w:ascii="宋体" w:hAnsi="宋体" w:eastAsia="宋体"/>
          <w:b/>
          <w:color w:val="000000"/>
          <w:sz w:val="35"/>
        </w:rPr>
        <w:t>．资金投入</w:t>
      </w:r>
    </w:p>
    <w:p w14:paraId="224201B8">
      <w:pPr>
        <w:wordWrap w:val="0"/>
        <w:spacing w:before="0" w:after="0" w:line="240" w:lineRule="auto"/>
        <w:ind w:firstLine="0"/>
        <w:jc w:val="both"/>
        <w:rPr>
          <w:rFonts w:hint="eastAsia" w:ascii="宋体" w:hAnsi="宋体" w:eastAsia="宋体"/>
          <w:color w:val="000000"/>
          <w:sz w:val="21"/>
        </w:rPr>
      </w:pPr>
    </w:p>
    <w:p w14:paraId="67F692A1">
      <w:pPr>
        <w:wordWrap w:val="0"/>
        <w:spacing w:before="0" w:after="0" w:line="225" w:lineRule="auto"/>
        <w:ind w:firstLine="820"/>
        <w:jc w:val="both"/>
        <w:rPr>
          <w:sz w:val="35"/>
        </w:rPr>
      </w:pPr>
      <w:r>
        <w:rPr>
          <w:rFonts w:hint="eastAsia" w:ascii="宋体" w:hAnsi="宋体" w:eastAsia="宋体"/>
          <w:color w:val="000000"/>
          <w:sz w:val="35"/>
        </w:rPr>
        <w:t>（</w:t>
      </w:r>
      <w:r>
        <w:rPr>
          <w:rFonts w:hint="eastAsia" w:ascii="Calibri" w:hAnsi="Calibri" w:eastAsia="Calibri"/>
          <w:color w:val="000000"/>
          <w:sz w:val="35"/>
        </w:rPr>
        <w:t>1</w:t>
      </w:r>
      <w:r>
        <w:rPr>
          <w:rFonts w:hint="eastAsia" w:ascii="宋体" w:hAnsi="宋体" w:eastAsia="宋体"/>
          <w:color w:val="000000"/>
          <w:sz w:val="35"/>
        </w:rPr>
        <w:t>）预算编制科学性</w:t>
      </w:r>
    </w:p>
    <w:p w14:paraId="46612406">
      <w:pPr>
        <w:wordWrap w:val="0"/>
        <w:spacing w:before="0" w:after="0" w:line="240" w:lineRule="auto"/>
        <w:ind w:firstLine="0"/>
        <w:jc w:val="both"/>
        <w:rPr>
          <w:rFonts w:hint="eastAsia" w:ascii="宋体" w:hAnsi="宋体" w:eastAsia="宋体"/>
          <w:color w:val="000000"/>
          <w:sz w:val="21"/>
        </w:rPr>
      </w:pPr>
    </w:p>
    <w:p w14:paraId="52087BF2">
      <w:pPr>
        <w:wordWrap w:val="0"/>
        <w:spacing w:before="0" w:after="0" w:line="247" w:lineRule="auto"/>
        <w:ind w:left="20" w:right="460" w:firstLine="680"/>
        <w:jc w:val="both"/>
        <w:rPr>
          <w:sz w:val="35"/>
        </w:rPr>
      </w:pPr>
      <w:r>
        <w:rPr>
          <w:rFonts w:hint="eastAsia" w:ascii="宋体" w:hAnsi="宋体" w:eastAsia="宋体"/>
          <w:color w:val="000000"/>
          <w:sz w:val="35"/>
        </w:rPr>
        <w:t>预算编制经过科学论证，提供充分的测算依据佐证资料，预算内容与项目内容相匹配。项目投资额与工作任务相匹配。</w:t>
      </w:r>
    </w:p>
    <w:p w14:paraId="42736D16">
      <w:pPr>
        <w:wordWrap w:val="0"/>
        <w:spacing w:before="0" w:after="0" w:line="240" w:lineRule="auto"/>
        <w:ind w:firstLine="0"/>
        <w:jc w:val="both"/>
        <w:rPr>
          <w:rFonts w:hint="eastAsia" w:ascii="宋体" w:hAnsi="宋体" w:eastAsia="宋体"/>
          <w:color w:val="000000"/>
          <w:sz w:val="21"/>
        </w:rPr>
      </w:pPr>
    </w:p>
    <w:p w14:paraId="2AE9EBD7">
      <w:pPr>
        <w:wordWrap w:val="0"/>
        <w:spacing w:before="0" w:after="0" w:line="192" w:lineRule="auto"/>
        <w:ind w:firstLine="820"/>
        <w:jc w:val="both"/>
        <w:rPr>
          <w:sz w:val="35"/>
        </w:rPr>
        <w:sectPr>
          <w:headerReference r:id="rId19" w:type="default"/>
          <w:footerReference r:id="rId20" w:type="default"/>
          <w:type w:val="continuous"/>
          <w:pgSz w:w="11901" w:h="16841"/>
          <w:pgMar w:top="1200" w:right="1440" w:bottom="1680" w:left="1440" w:header="600" w:footer="840" w:gutter="0"/>
          <w:cols w:space="720" w:num="1"/>
        </w:sectPr>
      </w:pPr>
      <w:r>
        <w:rPr>
          <w:rFonts w:hint="eastAsia" w:ascii="宋体" w:hAnsi="宋体" w:eastAsia="宋体"/>
          <w:color w:val="000000"/>
          <w:sz w:val="35"/>
        </w:rPr>
        <w:t>（</w:t>
      </w:r>
      <w:r>
        <w:rPr>
          <w:rFonts w:hint="eastAsia" w:ascii="Calibri" w:hAnsi="Calibri" w:eastAsia="Calibri"/>
          <w:color w:val="000000"/>
          <w:sz w:val="35"/>
        </w:rPr>
        <w:t>2</w:t>
      </w:r>
      <w:r>
        <w:rPr>
          <w:rFonts w:hint="eastAsia" w:ascii="宋体" w:hAnsi="宋体" w:eastAsia="宋体"/>
          <w:color w:val="000000"/>
          <w:sz w:val="35"/>
        </w:rPr>
        <w:t>）资金分配合理性</w:t>
      </w:r>
    </w:p>
    <w:p w14:paraId="6797C8DD">
      <w:pPr>
        <w:wordWrap w:val="0"/>
        <w:spacing w:before="0" w:after="0" w:line="256" w:lineRule="auto"/>
        <w:ind w:left="20" w:right="420" w:firstLine="660"/>
        <w:jc w:val="both"/>
        <w:rPr>
          <w:sz w:val="35"/>
        </w:rPr>
      </w:pPr>
      <w:r>
        <w:rPr>
          <w:rFonts w:hint="eastAsia" w:ascii="宋体" w:hAnsi="宋体" w:eastAsia="宋体"/>
          <w:color w:val="000000"/>
          <w:sz w:val="35"/>
        </w:rPr>
        <w:t>资金分配额度与项目单位实际工作内容相适应，资金分配额度合理，资金分配依据充分。</w:t>
      </w:r>
    </w:p>
    <w:p w14:paraId="1A5CCF0A">
      <w:pPr>
        <w:wordWrap w:val="0"/>
        <w:spacing w:before="0" w:after="0" w:line="240" w:lineRule="auto"/>
        <w:ind w:firstLine="0"/>
        <w:jc w:val="both"/>
        <w:rPr>
          <w:rFonts w:hint="eastAsia" w:ascii="宋体" w:hAnsi="宋体" w:eastAsia="宋体"/>
          <w:color w:val="000000"/>
          <w:sz w:val="21"/>
        </w:rPr>
      </w:pPr>
    </w:p>
    <w:p w14:paraId="520CACBD">
      <w:pPr>
        <w:wordWrap w:val="0"/>
        <w:spacing w:before="0" w:after="0" w:line="192" w:lineRule="auto"/>
        <w:ind w:firstLine="800"/>
        <w:jc w:val="both"/>
        <w:rPr>
          <w:sz w:val="35"/>
        </w:rPr>
      </w:pPr>
      <w:r>
        <w:rPr>
          <w:rFonts w:hint="eastAsia" w:ascii="宋体" w:hAnsi="宋体" w:eastAsia="宋体"/>
          <w:b/>
          <w:color w:val="000000"/>
          <w:sz w:val="35"/>
        </w:rPr>
        <w:t>（二）项目过程情况</w:t>
      </w:r>
    </w:p>
    <w:p w14:paraId="5185D85C">
      <w:pPr>
        <w:wordWrap w:val="0"/>
        <w:spacing w:before="0" w:after="0" w:line="256" w:lineRule="auto"/>
        <w:ind w:left="20" w:right="420" w:firstLine="660"/>
        <w:jc w:val="both"/>
        <w:rPr>
          <w:sz w:val="35"/>
        </w:rPr>
      </w:pPr>
      <w:r>
        <w:rPr>
          <w:rFonts w:hint="eastAsia" w:ascii="宋体" w:hAnsi="宋体" w:eastAsia="宋体"/>
          <w:color w:val="000000"/>
          <w:sz w:val="35"/>
        </w:rPr>
        <w:t>项目过程类指标包括资金管理和组织实施两方面的内容，由</w:t>
      </w:r>
      <w:r>
        <w:rPr>
          <w:rFonts w:hint="eastAsia" w:ascii="Calibri" w:hAnsi="Calibri" w:eastAsia="Calibri"/>
          <w:color w:val="000000"/>
          <w:sz w:val="35"/>
        </w:rPr>
        <w:t>5</w:t>
      </w:r>
      <w:r>
        <w:rPr>
          <w:rFonts w:hint="eastAsia" w:ascii="宋体" w:hAnsi="宋体" w:eastAsia="宋体"/>
          <w:color w:val="000000"/>
          <w:sz w:val="35"/>
        </w:rPr>
        <w:t>个三级指标构成，权重分值为</w:t>
      </w:r>
      <w:r>
        <w:rPr>
          <w:rFonts w:hint="eastAsia" w:ascii="Calibri" w:hAnsi="Calibri" w:eastAsia="Calibri"/>
          <w:color w:val="000000"/>
          <w:sz w:val="35"/>
        </w:rPr>
        <w:t>20</w:t>
      </w:r>
      <w:r>
        <w:rPr>
          <w:rFonts w:hint="eastAsia" w:ascii="宋体" w:hAnsi="宋体" w:eastAsia="宋体"/>
          <w:color w:val="000000"/>
          <w:sz w:val="35"/>
        </w:rPr>
        <w:t>分，实际得分</w:t>
      </w:r>
      <w:r>
        <w:rPr>
          <w:rFonts w:hint="eastAsia" w:ascii="Calibri" w:hAnsi="Calibri" w:eastAsia="Calibri"/>
          <w:color w:val="000000"/>
          <w:sz w:val="35"/>
        </w:rPr>
        <w:t>20</w:t>
      </w:r>
      <w:r>
        <w:rPr>
          <w:rFonts w:hint="eastAsia" w:ascii="宋体" w:hAnsi="宋体" w:eastAsia="宋体"/>
          <w:color w:val="000000"/>
          <w:sz w:val="35"/>
        </w:rPr>
        <w:t>分，得分率为</w:t>
      </w:r>
      <w:r>
        <w:rPr>
          <w:rFonts w:hint="eastAsia" w:ascii="Calibri" w:hAnsi="Calibri" w:eastAsia="Calibri"/>
          <w:color w:val="000000"/>
          <w:sz w:val="35"/>
        </w:rPr>
        <w:t>100％。</w:t>
      </w:r>
    </w:p>
    <w:p w14:paraId="71BFACDA">
      <w:pPr>
        <w:wordWrap w:val="0"/>
        <w:spacing w:before="0" w:after="0" w:line="240" w:lineRule="auto"/>
        <w:ind w:firstLine="0"/>
        <w:jc w:val="both"/>
        <w:rPr>
          <w:rFonts w:hint="eastAsia" w:ascii="宋体" w:hAnsi="宋体" w:eastAsia="宋体"/>
          <w:color w:val="000000"/>
          <w:sz w:val="21"/>
        </w:rPr>
      </w:pPr>
    </w:p>
    <w:p w14:paraId="786ACF9A">
      <w:pPr>
        <w:wordWrap w:val="0"/>
        <w:spacing w:before="0" w:after="0" w:line="256" w:lineRule="auto"/>
        <w:ind w:left="20" w:right="420" w:firstLine="660"/>
        <w:jc w:val="both"/>
        <w:rPr>
          <w:sz w:val="35"/>
        </w:rPr>
      </w:pPr>
      <w:r>
        <w:rPr>
          <w:rFonts w:hint="eastAsia" w:ascii="宋体" w:hAnsi="宋体" w:eastAsia="宋体"/>
          <w:color w:val="000000"/>
          <w:sz w:val="35"/>
        </w:rPr>
        <w:t>项目资金使用符合相关的财务管理制度规定，能够反映和考核项目资金的规范运行情况；项目实施单位的财务和业务管理制度健全，能够反映和考核财务和业务管理制度对项目顺利实施的保障情况。</w:t>
      </w:r>
    </w:p>
    <w:p w14:paraId="2C888C38">
      <w:pPr>
        <w:wordWrap w:val="0"/>
        <w:spacing w:before="0" w:after="0" w:line="240" w:lineRule="auto"/>
        <w:ind w:firstLine="0"/>
        <w:jc w:val="both"/>
        <w:rPr>
          <w:rFonts w:hint="eastAsia" w:ascii="宋体" w:hAnsi="宋体" w:eastAsia="宋体"/>
          <w:color w:val="000000"/>
          <w:sz w:val="21"/>
        </w:rPr>
      </w:pPr>
    </w:p>
    <w:p w14:paraId="1F9EB939">
      <w:pPr>
        <w:wordWrap w:val="0"/>
        <w:spacing w:before="0" w:after="0" w:line="192" w:lineRule="auto"/>
        <w:ind w:firstLine="680"/>
        <w:jc w:val="both"/>
        <w:rPr>
          <w:sz w:val="35"/>
        </w:rPr>
      </w:pPr>
      <w:r>
        <w:rPr>
          <w:rFonts w:hint="eastAsia" w:ascii="Calibri" w:hAnsi="Calibri" w:eastAsia="Calibri"/>
          <w:b/>
          <w:color w:val="000000"/>
          <w:sz w:val="35"/>
        </w:rPr>
        <w:t>1</w:t>
      </w:r>
      <w:r>
        <w:rPr>
          <w:rFonts w:hint="eastAsia" w:ascii="宋体" w:hAnsi="宋体" w:eastAsia="宋体"/>
          <w:b/>
          <w:color w:val="000000"/>
          <w:sz w:val="35"/>
        </w:rPr>
        <w:t>．资金管理</w:t>
      </w:r>
    </w:p>
    <w:p w14:paraId="7973EC1C">
      <w:pPr>
        <w:wordWrap w:val="0"/>
        <w:spacing w:before="0" w:after="0" w:line="240" w:lineRule="auto"/>
        <w:ind w:firstLine="0"/>
        <w:jc w:val="both"/>
        <w:rPr>
          <w:rFonts w:hint="eastAsia" w:ascii="宋体" w:hAnsi="宋体" w:eastAsia="宋体"/>
          <w:color w:val="000000"/>
          <w:sz w:val="21"/>
        </w:rPr>
      </w:pPr>
    </w:p>
    <w:p w14:paraId="37B13FE0">
      <w:pPr>
        <w:wordWrap w:val="0"/>
        <w:spacing w:before="0" w:after="0" w:line="196" w:lineRule="auto"/>
        <w:ind w:firstLine="800"/>
        <w:jc w:val="both"/>
        <w:rPr>
          <w:sz w:val="35"/>
        </w:rPr>
      </w:pPr>
      <w:r>
        <w:rPr>
          <w:rFonts w:hint="eastAsia" w:ascii="宋体" w:hAnsi="宋体" w:eastAsia="宋体"/>
          <w:color w:val="000000"/>
          <w:sz w:val="35"/>
        </w:rPr>
        <w:t>（</w:t>
      </w:r>
      <w:r>
        <w:rPr>
          <w:rFonts w:hint="eastAsia" w:ascii="Calibri" w:hAnsi="Calibri" w:eastAsia="Calibri"/>
          <w:color w:val="000000"/>
          <w:sz w:val="35"/>
        </w:rPr>
        <w:t>1</w:t>
      </w:r>
      <w:r>
        <w:rPr>
          <w:rFonts w:hint="eastAsia" w:ascii="宋体" w:hAnsi="宋体" w:eastAsia="宋体"/>
          <w:color w:val="000000"/>
          <w:sz w:val="35"/>
        </w:rPr>
        <w:t>）资金到位率</w:t>
      </w:r>
    </w:p>
    <w:p w14:paraId="45015F19">
      <w:pPr>
        <w:wordWrap w:val="0"/>
        <w:spacing w:before="0" w:after="0" w:line="240" w:lineRule="auto"/>
        <w:ind w:firstLine="0"/>
        <w:jc w:val="both"/>
        <w:rPr>
          <w:rFonts w:hint="eastAsia" w:ascii="宋体" w:hAnsi="宋体" w:eastAsia="宋体"/>
          <w:color w:val="000000"/>
          <w:sz w:val="21"/>
        </w:rPr>
      </w:pPr>
    </w:p>
    <w:p w14:paraId="3E368E78">
      <w:pPr>
        <w:wordWrap w:val="0"/>
        <w:spacing w:before="0" w:after="0" w:line="256" w:lineRule="auto"/>
        <w:ind w:left="20" w:right="420" w:firstLine="660"/>
        <w:jc w:val="both"/>
        <w:rPr>
          <w:sz w:val="35"/>
        </w:rPr>
      </w:pPr>
      <w:r>
        <w:rPr>
          <w:rFonts w:hint="eastAsia" w:ascii="宋体" w:hAnsi="宋体" w:eastAsia="宋体"/>
          <w:color w:val="000000"/>
          <w:sz w:val="35"/>
        </w:rPr>
        <w:t>本项目总投资</w:t>
      </w:r>
      <w:r>
        <w:rPr>
          <w:rFonts w:hint="eastAsia" w:ascii="Calibri" w:hAnsi="Calibri" w:eastAsia="Calibri"/>
          <w:color w:val="000000"/>
          <w:sz w:val="35"/>
        </w:rPr>
        <w:t>8202</w:t>
      </w:r>
      <w:r>
        <w:rPr>
          <w:rFonts w:hint="eastAsia" w:ascii="宋体" w:hAnsi="宋体" w:eastAsia="宋体"/>
          <w:color w:val="000000"/>
          <w:sz w:val="35"/>
        </w:rPr>
        <w:t>.</w:t>
      </w:r>
      <w:r>
        <w:rPr>
          <w:rFonts w:hint="eastAsia" w:ascii="Calibri" w:hAnsi="Calibri" w:eastAsia="Calibri"/>
          <w:color w:val="000000"/>
          <w:sz w:val="35"/>
        </w:rPr>
        <w:t>65</w:t>
      </w:r>
      <w:r>
        <w:rPr>
          <w:rFonts w:hint="eastAsia" w:ascii="宋体" w:hAnsi="宋体" w:eastAsia="宋体"/>
          <w:color w:val="000000"/>
          <w:sz w:val="35"/>
        </w:rPr>
        <w:t>万元，财政资金及时足额到位，到位率</w:t>
      </w:r>
      <w:r>
        <w:rPr>
          <w:rFonts w:hint="eastAsia" w:ascii="Calibri" w:hAnsi="Calibri" w:eastAsia="Calibri"/>
          <w:color w:val="000000"/>
          <w:sz w:val="35"/>
        </w:rPr>
        <w:t>100</w:t>
      </w:r>
      <w:r>
        <w:rPr>
          <w:rFonts w:hint="eastAsia" w:ascii="宋体" w:hAnsi="宋体" w:eastAsia="宋体"/>
          <w:color w:val="000000"/>
          <w:sz w:val="35"/>
        </w:rPr>
        <w:t>％，预算资金按计划进度执行。</w:t>
      </w:r>
    </w:p>
    <w:p w14:paraId="1877F55C">
      <w:pPr>
        <w:wordWrap w:val="0"/>
        <w:spacing w:before="0" w:after="0" w:line="240" w:lineRule="auto"/>
        <w:ind w:firstLine="0"/>
        <w:jc w:val="both"/>
        <w:rPr>
          <w:rFonts w:hint="eastAsia" w:ascii="宋体" w:hAnsi="宋体" w:eastAsia="宋体"/>
          <w:color w:val="000000"/>
          <w:sz w:val="21"/>
        </w:rPr>
      </w:pPr>
    </w:p>
    <w:p w14:paraId="059A5797">
      <w:pPr>
        <w:wordWrap w:val="0"/>
        <w:spacing w:before="0" w:after="0" w:line="192" w:lineRule="auto"/>
        <w:ind w:firstLine="800"/>
        <w:jc w:val="both"/>
        <w:rPr>
          <w:sz w:val="35"/>
        </w:rPr>
      </w:pPr>
      <w:r>
        <w:rPr>
          <w:rFonts w:hint="eastAsia" w:ascii="宋体" w:hAnsi="宋体" w:eastAsia="宋体"/>
          <w:color w:val="000000"/>
          <w:sz w:val="35"/>
        </w:rPr>
        <w:t>（</w:t>
      </w:r>
      <w:r>
        <w:rPr>
          <w:rFonts w:hint="eastAsia" w:ascii="Calibri" w:hAnsi="Calibri" w:eastAsia="Calibri"/>
          <w:color w:val="000000"/>
          <w:sz w:val="35"/>
        </w:rPr>
        <w:t>2</w:t>
      </w:r>
      <w:r>
        <w:rPr>
          <w:rFonts w:hint="eastAsia" w:ascii="宋体" w:hAnsi="宋体" w:eastAsia="宋体"/>
          <w:color w:val="000000"/>
          <w:sz w:val="35"/>
        </w:rPr>
        <w:t>）预算执行率</w:t>
      </w:r>
    </w:p>
    <w:p w14:paraId="543202EF">
      <w:pPr>
        <w:wordWrap w:val="0"/>
        <w:spacing w:before="0" w:after="0" w:line="240" w:lineRule="auto"/>
        <w:ind w:firstLine="0"/>
        <w:jc w:val="both"/>
        <w:rPr>
          <w:rFonts w:hint="eastAsia" w:ascii="宋体" w:hAnsi="宋体" w:eastAsia="宋体"/>
          <w:color w:val="000000"/>
          <w:sz w:val="21"/>
        </w:rPr>
      </w:pPr>
    </w:p>
    <w:p w14:paraId="5B1A602E">
      <w:pPr>
        <w:wordWrap w:val="0"/>
        <w:spacing w:before="0" w:after="0" w:line="256" w:lineRule="auto"/>
        <w:ind w:left="20" w:right="300" w:firstLine="660"/>
        <w:jc w:val="both"/>
        <w:rPr>
          <w:sz w:val="35"/>
        </w:rPr>
      </w:pPr>
      <w:r>
        <w:rPr>
          <w:rFonts w:hint="eastAsia" w:ascii="宋体" w:hAnsi="宋体" w:eastAsia="宋体"/>
          <w:color w:val="000000"/>
          <w:sz w:val="35"/>
        </w:rPr>
        <w:t>预算编制较为详细，项目资金支出总体能够按照预算执行，预算资金支出</w:t>
      </w:r>
      <w:r>
        <w:rPr>
          <w:rFonts w:hint="eastAsia" w:ascii="Calibri" w:hAnsi="Calibri" w:eastAsia="Calibri"/>
          <w:color w:val="000000"/>
          <w:sz w:val="35"/>
        </w:rPr>
        <w:t>8202</w:t>
      </w:r>
      <w:r>
        <w:rPr>
          <w:rFonts w:hint="eastAsia" w:ascii="宋体" w:hAnsi="宋体" w:eastAsia="宋体"/>
          <w:color w:val="000000"/>
          <w:sz w:val="35"/>
        </w:rPr>
        <w:t>.</w:t>
      </w:r>
      <w:r>
        <w:rPr>
          <w:rFonts w:hint="eastAsia" w:ascii="Calibri" w:hAnsi="Calibri" w:eastAsia="Calibri"/>
          <w:color w:val="000000"/>
          <w:sz w:val="35"/>
        </w:rPr>
        <w:t>65</w:t>
      </w:r>
      <w:r>
        <w:rPr>
          <w:rFonts w:hint="eastAsia" w:ascii="宋体" w:hAnsi="宋体" w:eastAsia="宋体"/>
          <w:color w:val="000000"/>
          <w:sz w:val="35"/>
        </w:rPr>
        <w:t>万元，预算执行率为</w:t>
      </w:r>
      <w:r>
        <w:rPr>
          <w:rFonts w:hint="eastAsia" w:ascii="Calibri" w:hAnsi="Calibri" w:eastAsia="Calibri"/>
          <w:color w:val="000000"/>
          <w:sz w:val="35"/>
        </w:rPr>
        <w:t>100</w:t>
      </w:r>
      <w:r>
        <w:rPr>
          <w:rFonts w:hint="eastAsia" w:ascii="宋体" w:hAnsi="宋体" w:eastAsia="宋体"/>
          <w:color w:val="000000"/>
          <w:sz w:val="35"/>
        </w:rPr>
        <w:t>％。</w:t>
      </w:r>
    </w:p>
    <w:p w14:paraId="5903F7DA">
      <w:pPr>
        <w:wordWrap w:val="0"/>
        <w:spacing w:before="0" w:after="0" w:line="240" w:lineRule="auto"/>
        <w:ind w:firstLine="0"/>
        <w:jc w:val="both"/>
        <w:rPr>
          <w:rFonts w:hint="eastAsia" w:ascii="宋体" w:hAnsi="宋体" w:eastAsia="宋体"/>
          <w:color w:val="000000"/>
          <w:sz w:val="21"/>
        </w:rPr>
      </w:pPr>
    </w:p>
    <w:p w14:paraId="69FA6FB3">
      <w:pPr>
        <w:wordWrap w:val="0"/>
        <w:spacing w:before="0" w:after="0" w:line="201" w:lineRule="auto"/>
        <w:ind w:firstLine="800"/>
        <w:jc w:val="both"/>
        <w:rPr>
          <w:sz w:val="35"/>
        </w:rPr>
      </w:pPr>
      <w:r>
        <w:rPr>
          <w:rFonts w:hint="eastAsia" w:ascii="宋体" w:hAnsi="宋体" w:eastAsia="宋体"/>
          <w:color w:val="000000"/>
          <w:sz w:val="35"/>
        </w:rPr>
        <w:t>（</w:t>
      </w:r>
      <w:r>
        <w:rPr>
          <w:rFonts w:hint="eastAsia" w:ascii="Calibri" w:hAnsi="Calibri" w:eastAsia="Calibri"/>
          <w:color w:val="000000"/>
          <w:sz w:val="35"/>
        </w:rPr>
        <w:t>3</w:t>
      </w:r>
      <w:r>
        <w:rPr>
          <w:rFonts w:hint="eastAsia" w:ascii="宋体" w:hAnsi="宋体" w:eastAsia="宋体"/>
          <w:color w:val="000000"/>
          <w:sz w:val="35"/>
        </w:rPr>
        <w:t>）资金使用合规性</w:t>
      </w:r>
    </w:p>
    <w:p w14:paraId="123C5087">
      <w:pPr>
        <w:wordWrap w:val="0"/>
        <w:spacing w:before="0" w:after="0" w:line="256" w:lineRule="auto"/>
        <w:ind w:left="20" w:right="420" w:firstLine="660"/>
        <w:jc w:val="both"/>
        <w:rPr>
          <w:sz w:val="35"/>
        </w:rPr>
        <w:sectPr>
          <w:headerReference r:id="rId21" w:type="default"/>
          <w:footerReference r:id="rId22" w:type="default"/>
          <w:type w:val="continuous"/>
          <w:pgSz w:w="11900" w:h="16840"/>
          <w:pgMar w:top="1440" w:right="1440" w:bottom="1440" w:left="1440" w:header="720" w:footer="720" w:gutter="0"/>
          <w:cols w:space="720" w:num="1"/>
        </w:sectPr>
      </w:pPr>
      <w:r>
        <w:rPr>
          <w:rFonts w:hint="eastAsia" w:ascii="宋体" w:hAnsi="宋体" w:eastAsia="宋体"/>
          <w:color w:val="000000"/>
          <w:sz w:val="35"/>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w:t>
      </w:r>
    </w:p>
    <w:p w14:paraId="369D9FAC">
      <w:pPr>
        <w:wordWrap w:val="0"/>
        <w:spacing w:before="0" w:after="0" w:line="271" w:lineRule="auto"/>
        <w:ind w:left="60" w:right="440" w:hanging="20"/>
        <w:jc w:val="both"/>
        <w:rPr>
          <w:sz w:val="35"/>
        </w:rPr>
      </w:pPr>
      <w:r>
        <w:rPr>
          <w:rFonts w:hint="eastAsia" w:ascii="宋体" w:hAnsi="宋体" w:eastAsia="宋体"/>
          <w:color w:val="000000"/>
          <w:sz w:val="35"/>
        </w:rPr>
        <w:t>实施各阶段的相关材料和手续，根据项目实施进展情况拨付资金。资金使用符合该项目的立项批复。资金不存在截留、挤占、挪用、虚列支出等情况。</w:t>
      </w:r>
    </w:p>
    <w:p w14:paraId="36A85AEA">
      <w:pPr>
        <w:wordWrap w:val="0"/>
        <w:spacing w:before="0" w:after="0" w:line="240" w:lineRule="auto"/>
        <w:ind w:firstLine="0"/>
        <w:jc w:val="both"/>
        <w:rPr>
          <w:rFonts w:hint="eastAsia" w:ascii="宋体" w:hAnsi="宋体" w:eastAsia="宋体"/>
          <w:color w:val="000000"/>
          <w:sz w:val="21"/>
        </w:rPr>
      </w:pPr>
    </w:p>
    <w:p w14:paraId="16D30CE6">
      <w:pPr>
        <w:wordWrap w:val="0"/>
        <w:spacing w:before="0" w:after="0" w:line="192" w:lineRule="auto"/>
        <w:ind w:firstLine="720"/>
        <w:jc w:val="both"/>
        <w:rPr>
          <w:sz w:val="35"/>
        </w:rPr>
      </w:pPr>
      <w:r>
        <w:rPr>
          <w:rFonts w:hint="eastAsia" w:ascii="Calibri" w:hAnsi="Calibri" w:eastAsia="Calibri"/>
          <w:b/>
          <w:color w:val="000000"/>
          <w:sz w:val="35"/>
        </w:rPr>
        <w:t>2</w:t>
      </w:r>
      <w:r>
        <w:rPr>
          <w:rFonts w:hint="eastAsia" w:ascii="宋体" w:hAnsi="宋体" w:eastAsia="宋体"/>
          <w:b/>
          <w:color w:val="000000"/>
          <w:sz w:val="35"/>
        </w:rPr>
        <w:t>．组织实施</w:t>
      </w:r>
    </w:p>
    <w:p w14:paraId="571DCBF3">
      <w:pPr>
        <w:wordWrap w:val="0"/>
        <w:spacing w:before="0" w:after="0" w:line="240" w:lineRule="auto"/>
        <w:ind w:firstLine="0"/>
        <w:jc w:val="both"/>
        <w:rPr>
          <w:rFonts w:hint="eastAsia" w:ascii="宋体" w:hAnsi="宋体" w:eastAsia="宋体"/>
          <w:color w:val="000000"/>
          <w:sz w:val="21"/>
        </w:rPr>
      </w:pPr>
    </w:p>
    <w:p w14:paraId="53857C99">
      <w:pPr>
        <w:wordWrap w:val="0"/>
        <w:spacing w:before="0" w:after="0" w:line="192" w:lineRule="auto"/>
        <w:ind w:firstLine="840"/>
        <w:jc w:val="both"/>
        <w:rPr>
          <w:sz w:val="35"/>
        </w:rPr>
      </w:pPr>
      <w:r>
        <w:rPr>
          <w:rFonts w:hint="eastAsia" w:ascii="宋体" w:hAnsi="宋体" w:eastAsia="宋体"/>
          <w:color w:val="000000"/>
          <w:sz w:val="35"/>
        </w:rPr>
        <w:t>（</w:t>
      </w:r>
      <w:r>
        <w:rPr>
          <w:rFonts w:hint="eastAsia" w:ascii="Calibri" w:hAnsi="Calibri" w:eastAsia="Calibri"/>
          <w:color w:val="000000"/>
          <w:sz w:val="35"/>
        </w:rPr>
        <w:t>1</w:t>
      </w:r>
      <w:r>
        <w:rPr>
          <w:rFonts w:hint="eastAsia" w:ascii="宋体" w:hAnsi="宋体" w:eastAsia="宋体"/>
          <w:color w:val="000000"/>
          <w:sz w:val="35"/>
        </w:rPr>
        <w:t>）管理制度健全性</w:t>
      </w:r>
    </w:p>
    <w:p w14:paraId="6EC071D0">
      <w:pPr>
        <w:wordWrap w:val="0"/>
        <w:spacing w:before="0" w:after="0" w:line="271" w:lineRule="auto"/>
        <w:ind w:left="40" w:right="440" w:firstLine="680"/>
        <w:jc w:val="both"/>
        <w:rPr>
          <w:sz w:val="35"/>
        </w:rPr>
      </w:pPr>
      <w:r>
        <w:rPr>
          <w:rFonts w:hint="eastAsia" w:ascii="宋体" w:hAnsi="宋体" w:eastAsia="宋体"/>
          <w:color w:val="000000"/>
          <w:sz w:val="35"/>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A666CAD">
      <w:pPr>
        <w:wordWrap w:val="0"/>
        <w:spacing w:before="0" w:after="0" w:line="240" w:lineRule="auto"/>
        <w:ind w:firstLine="0"/>
        <w:jc w:val="both"/>
        <w:rPr>
          <w:rFonts w:hint="eastAsia" w:ascii="宋体" w:hAnsi="宋体" w:eastAsia="宋体"/>
          <w:color w:val="000000"/>
          <w:sz w:val="21"/>
        </w:rPr>
      </w:pPr>
    </w:p>
    <w:p w14:paraId="74EC49AD">
      <w:pPr>
        <w:wordWrap w:val="0"/>
        <w:spacing w:before="0" w:after="0" w:line="192" w:lineRule="auto"/>
        <w:ind w:firstLine="840"/>
        <w:jc w:val="both"/>
        <w:rPr>
          <w:sz w:val="35"/>
        </w:rPr>
      </w:pPr>
      <w:r>
        <w:rPr>
          <w:rFonts w:hint="eastAsia" w:ascii="宋体" w:hAnsi="宋体" w:eastAsia="宋体"/>
          <w:color w:val="000000"/>
          <w:sz w:val="35"/>
        </w:rPr>
        <w:t>（</w:t>
      </w:r>
      <w:r>
        <w:rPr>
          <w:rFonts w:hint="eastAsia" w:ascii="Calibri" w:hAnsi="Calibri" w:eastAsia="Calibri"/>
          <w:color w:val="000000"/>
          <w:sz w:val="35"/>
        </w:rPr>
        <w:t>2</w:t>
      </w:r>
      <w:r>
        <w:rPr>
          <w:rFonts w:hint="eastAsia" w:ascii="宋体" w:hAnsi="宋体" w:eastAsia="宋体"/>
          <w:color w:val="000000"/>
          <w:sz w:val="35"/>
        </w:rPr>
        <w:t>）制度执行有效性</w:t>
      </w:r>
    </w:p>
    <w:p w14:paraId="10DE7864">
      <w:pPr>
        <w:wordWrap w:val="0"/>
        <w:spacing w:before="0" w:after="0" w:line="271" w:lineRule="auto"/>
        <w:ind w:left="40" w:right="440" w:firstLine="680"/>
        <w:jc w:val="both"/>
        <w:rPr>
          <w:sz w:val="35"/>
        </w:rPr>
      </w:pPr>
      <w:r>
        <w:rPr>
          <w:rFonts w:hint="eastAsia" w:ascii="宋体" w:hAnsi="宋体" w:eastAsia="宋体"/>
          <w:color w:val="000000"/>
          <w:sz w:val="35"/>
        </w:rPr>
        <w:t>对资金使用的合法合规性进行监督，年末对资金使用效果进行评价。项目管理、实施人员落实到位，有效按照计划执行。项目执行情况等资料齐全，项目相关手续完备，及时进行归档。</w:t>
      </w:r>
    </w:p>
    <w:p w14:paraId="75D543F7">
      <w:pPr>
        <w:wordWrap w:val="0"/>
        <w:spacing w:before="0" w:after="0" w:line="240" w:lineRule="auto"/>
        <w:ind w:firstLine="840"/>
        <w:jc w:val="both"/>
        <w:rPr>
          <w:sz w:val="35"/>
        </w:rPr>
      </w:pPr>
      <w:r>
        <w:rPr>
          <w:rFonts w:hint="eastAsia" w:ascii="宋体" w:hAnsi="宋体" w:eastAsia="宋体"/>
          <w:b/>
          <w:color w:val="000000"/>
          <w:sz w:val="35"/>
        </w:rPr>
        <w:t>（三）项目产出情况</w:t>
      </w:r>
    </w:p>
    <w:p w14:paraId="6C704195">
      <w:pPr>
        <w:wordWrap w:val="0"/>
        <w:spacing w:before="0" w:after="0" w:line="271" w:lineRule="auto"/>
        <w:ind w:left="40" w:right="440" w:firstLine="680"/>
        <w:jc w:val="both"/>
        <w:rPr>
          <w:sz w:val="35"/>
        </w:rPr>
      </w:pPr>
      <w:r>
        <w:rPr>
          <w:rFonts w:hint="eastAsia" w:ascii="宋体" w:hAnsi="宋体" w:eastAsia="宋体"/>
          <w:color w:val="000000"/>
          <w:sz w:val="35"/>
        </w:rPr>
        <w:t>项目产出类指标包括产出数量、产出质量、产出时效、产出成本四方面的内容，由</w:t>
      </w:r>
      <w:r>
        <w:rPr>
          <w:rFonts w:hint="eastAsia" w:ascii="Calibri" w:hAnsi="Calibri" w:eastAsia="Calibri"/>
          <w:color w:val="000000"/>
          <w:sz w:val="35"/>
        </w:rPr>
        <w:t>8</w:t>
      </w:r>
      <w:r>
        <w:rPr>
          <w:rFonts w:hint="eastAsia" w:ascii="宋体" w:hAnsi="宋体" w:eastAsia="宋体"/>
          <w:color w:val="000000"/>
          <w:sz w:val="35"/>
        </w:rPr>
        <w:t>个三级指标构成，权重分为</w:t>
      </w:r>
      <w:r>
        <w:rPr>
          <w:rFonts w:hint="eastAsia" w:ascii="Calibri" w:hAnsi="Calibri" w:eastAsia="Calibri"/>
          <w:color w:val="000000"/>
          <w:sz w:val="35"/>
        </w:rPr>
        <w:t>40</w:t>
      </w:r>
      <w:r>
        <w:rPr>
          <w:rFonts w:hint="eastAsia" w:ascii="宋体" w:hAnsi="宋体" w:eastAsia="宋体"/>
          <w:color w:val="000000"/>
          <w:sz w:val="35"/>
        </w:rPr>
        <w:t>分，实际得分</w:t>
      </w:r>
      <w:r>
        <w:rPr>
          <w:rFonts w:hint="eastAsia" w:ascii="Calibri" w:hAnsi="Calibri" w:eastAsia="Calibri"/>
          <w:color w:val="000000"/>
          <w:sz w:val="35"/>
        </w:rPr>
        <w:t>40</w:t>
      </w:r>
      <w:r>
        <w:rPr>
          <w:rFonts w:hint="eastAsia" w:ascii="宋体" w:hAnsi="宋体" w:eastAsia="宋体"/>
          <w:color w:val="000000"/>
          <w:sz w:val="35"/>
        </w:rPr>
        <w:t>分，得分率为</w:t>
      </w:r>
      <w:r>
        <w:rPr>
          <w:rFonts w:hint="eastAsia" w:ascii="Calibri" w:hAnsi="Calibri" w:eastAsia="Calibri"/>
          <w:color w:val="000000"/>
          <w:sz w:val="35"/>
        </w:rPr>
        <w:t>20</w:t>
      </w:r>
      <w:r>
        <w:rPr>
          <w:rFonts w:hint="eastAsia" w:ascii="宋体" w:hAnsi="宋体" w:eastAsia="宋体"/>
          <w:color w:val="000000"/>
          <w:sz w:val="35"/>
        </w:rPr>
        <w:t>％。具体产出指标完成情况如下：</w:t>
      </w:r>
    </w:p>
    <w:p w14:paraId="4C22A2B3">
      <w:pPr>
        <w:wordWrap w:val="0"/>
        <w:spacing w:before="0" w:after="0" w:line="240" w:lineRule="auto"/>
        <w:ind w:firstLine="0"/>
        <w:jc w:val="both"/>
        <w:rPr>
          <w:rFonts w:hint="eastAsia" w:ascii="宋体" w:hAnsi="宋体" w:eastAsia="宋体"/>
          <w:color w:val="000000"/>
          <w:sz w:val="21"/>
        </w:rPr>
      </w:pPr>
    </w:p>
    <w:p w14:paraId="0775AC33">
      <w:pPr>
        <w:wordWrap w:val="0"/>
        <w:spacing w:before="0" w:after="0" w:line="196" w:lineRule="auto"/>
        <w:ind w:firstLine="720"/>
        <w:jc w:val="both"/>
        <w:rPr>
          <w:sz w:val="35"/>
        </w:rPr>
      </w:pPr>
      <w:r>
        <w:rPr>
          <w:rFonts w:hint="eastAsia" w:ascii="宋体" w:hAnsi="宋体" w:eastAsia="宋体"/>
          <w:color w:val="000000"/>
          <w:sz w:val="35"/>
        </w:rPr>
        <w:t>①数量指标：</w:t>
      </w:r>
    </w:p>
    <w:p w14:paraId="166FFE85">
      <w:pPr>
        <w:wordWrap w:val="0"/>
        <w:spacing w:before="0" w:after="0" w:line="271" w:lineRule="auto"/>
        <w:ind w:left="40" w:right="260" w:firstLine="680"/>
        <w:jc w:val="both"/>
        <w:rPr>
          <w:sz w:val="35"/>
        </w:rPr>
      </w:pPr>
      <w:r>
        <w:rPr>
          <w:rFonts w:hint="eastAsia" w:ascii="宋体" w:hAnsi="宋体" w:eastAsia="宋体"/>
          <w:color w:val="000000"/>
          <w:sz w:val="35"/>
        </w:rPr>
        <w:t>指标</w:t>
      </w:r>
      <w:r>
        <w:rPr>
          <w:rFonts w:hint="eastAsia" w:ascii="Calibri" w:hAnsi="Calibri" w:eastAsia="Calibri"/>
          <w:color w:val="000000"/>
          <w:sz w:val="35"/>
        </w:rPr>
        <w:t>1</w:t>
      </w:r>
      <w:r>
        <w:rPr>
          <w:rFonts w:hint="eastAsia" w:ascii="宋体" w:hAnsi="宋体" w:eastAsia="宋体"/>
          <w:color w:val="000000"/>
          <w:sz w:val="35"/>
        </w:rPr>
        <w:t>；完成征收补偿款支付户数，指标值：小于等于</w:t>
      </w:r>
      <w:r>
        <w:rPr>
          <w:rFonts w:hint="eastAsia" w:ascii="Calibri" w:hAnsi="Calibri" w:eastAsia="Calibri"/>
          <w:color w:val="000000"/>
          <w:sz w:val="35"/>
        </w:rPr>
        <w:t>3</w:t>
      </w:r>
      <w:r>
        <w:rPr>
          <w:rFonts w:hint="eastAsia" w:ascii="宋体" w:hAnsi="宋体" w:eastAsia="宋体"/>
          <w:color w:val="000000"/>
          <w:sz w:val="35"/>
        </w:rPr>
        <w:t>户，实际完成值；</w:t>
      </w:r>
      <w:r>
        <w:rPr>
          <w:rFonts w:hint="eastAsia" w:ascii="Calibri" w:hAnsi="Calibri" w:eastAsia="Calibri"/>
          <w:color w:val="000000"/>
          <w:sz w:val="35"/>
        </w:rPr>
        <w:t>3</w:t>
      </w:r>
      <w:r>
        <w:rPr>
          <w:rFonts w:hint="eastAsia" w:ascii="宋体" w:hAnsi="宋体" w:eastAsia="宋体"/>
          <w:color w:val="000000"/>
          <w:sz w:val="35"/>
        </w:rPr>
        <w:t>户，指标完成率</w:t>
      </w:r>
      <w:r>
        <w:rPr>
          <w:rFonts w:hint="eastAsia" w:ascii="Calibri" w:hAnsi="Calibri" w:eastAsia="Calibri"/>
          <w:color w:val="000000"/>
          <w:sz w:val="35"/>
        </w:rPr>
        <w:t>100</w:t>
      </w:r>
      <w:r>
        <w:rPr>
          <w:rFonts w:hint="eastAsia" w:ascii="宋体" w:hAnsi="宋体" w:eastAsia="宋体"/>
          <w:color w:val="000000"/>
          <w:sz w:val="35"/>
        </w:rPr>
        <w:t>％。目标值为向</w:t>
      </w:r>
      <w:r>
        <w:rPr>
          <w:rFonts w:hint="eastAsia" w:ascii="Calibri" w:hAnsi="Calibri" w:eastAsia="Calibri"/>
          <w:color w:val="000000"/>
          <w:sz w:val="35"/>
        </w:rPr>
        <w:t>3</w:t>
      </w:r>
      <w:r>
        <w:rPr>
          <w:rFonts w:hint="eastAsia" w:ascii="宋体" w:hAnsi="宋体" w:eastAsia="宋体"/>
          <w:color w:val="000000"/>
          <w:sz w:val="35"/>
        </w:rPr>
        <w:t>户支付，实际完成了向三户支付征收补偿款因此判定业绩值为</w:t>
      </w:r>
      <w:r>
        <w:rPr>
          <w:rFonts w:hint="eastAsia" w:ascii="Calibri" w:hAnsi="Calibri" w:eastAsia="Calibri"/>
          <w:color w:val="000000"/>
          <w:sz w:val="35"/>
        </w:rPr>
        <w:t>100</w:t>
      </w:r>
      <w:r>
        <w:rPr>
          <w:rFonts w:hint="eastAsia" w:ascii="宋体" w:hAnsi="宋体" w:eastAsia="宋体"/>
          <w:color w:val="000000"/>
          <w:sz w:val="35"/>
        </w:rPr>
        <w:t>％。</w:t>
      </w:r>
    </w:p>
    <w:p w14:paraId="36BD644E">
      <w:pPr>
        <w:wordWrap w:val="0"/>
        <w:spacing w:before="0" w:after="0" w:line="240" w:lineRule="auto"/>
        <w:ind w:firstLine="0"/>
        <w:jc w:val="both"/>
        <w:rPr>
          <w:rFonts w:hint="eastAsia" w:ascii="宋体" w:hAnsi="宋体" w:eastAsia="宋体"/>
          <w:color w:val="000000"/>
          <w:sz w:val="21"/>
        </w:rPr>
      </w:pPr>
    </w:p>
    <w:p w14:paraId="3E4978B0">
      <w:pPr>
        <w:wordWrap w:val="0"/>
        <w:spacing w:before="0" w:after="0" w:line="192" w:lineRule="auto"/>
        <w:ind w:firstLine="720"/>
        <w:jc w:val="both"/>
        <w:rPr>
          <w:sz w:val="35"/>
        </w:rPr>
        <w:sectPr>
          <w:headerReference r:id="rId23" w:type="default"/>
          <w:footerReference r:id="rId24" w:type="default"/>
          <w:type w:val="continuous"/>
          <w:pgSz w:w="11901" w:h="16841"/>
          <w:pgMar w:top="1440" w:right="1440" w:bottom="1440" w:left="1440" w:header="720" w:footer="720" w:gutter="0"/>
          <w:cols w:space="720" w:num="1"/>
        </w:sectPr>
      </w:pPr>
      <w:r>
        <w:rPr>
          <w:rFonts w:hint="eastAsia" w:ascii="宋体" w:hAnsi="宋体" w:eastAsia="宋体"/>
          <w:color w:val="000000"/>
          <w:sz w:val="35"/>
        </w:rPr>
        <w:t>②质量指标：</w:t>
      </w:r>
    </w:p>
    <w:p w14:paraId="7726B75E">
      <w:pPr>
        <w:wordWrap w:val="0"/>
        <w:spacing w:before="0" w:after="0" w:line="264" w:lineRule="auto"/>
        <w:ind w:left="20" w:right="260" w:firstLine="680"/>
        <w:jc w:val="both"/>
        <w:rPr>
          <w:sz w:val="35"/>
        </w:rPr>
      </w:pPr>
      <w:r>
        <w:rPr>
          <w:rFonts w:hint="eastAsia" w:ascii="宋体" w:hAnsi="宋体" w:eastAsia="宋体"/>
          <w:color w:val="000000"/>
          <w:sz w:val="35"/>
        </w:rPr>
        <w:t>指标</w:t>
      </w:r>
      <w:r>
        <w:rPr>
          <w:rFonts w:hint="eastAsia" w:ascii="Calibri" w:hAnsi="Calibri" w:eastAsia="Calibri"/>
          <w:color w:val="000000"/>
          <w:sz w:val="35"/>
        </w:rPr>
        <w:t>1</w:t>
      </w:r>
      <w:r>
        <w:rPr>
          <w:rFonts w:hint="eastAsia" w:ascii="宋体" w:hAnsi="宋体" w:eastAsia="宋体"/>
          <w:color w:val="000000"/>
          <w:sz w:val="35"/>
        </w:rPr>
        <w:t>：资金使用合格率，指标值：大于等于</w:t>
      </w:r>
      <w:r>
        <w:rPr>
          <w:rFonts w:hint="eastAsia" w:ascii="Calibri" w:hAnsi="Calibri" w:eastAsia="Calibri"/>
          <w:color w:val="000000"/>
          <w:sz w:val="35"/>
        </w:rPr>
        <w:t>95</w:t>
      </w:r>
      <w:r>
        <w:rPr>
          <w:rFonts w:hint="eastAsia" w:ascii="宋体" w:hAnsi="宋体" w:eastAsia="宋体"/>
          <w:color w:val="000000"/>
          <w:sz w:val="35"/>
        </w:rPr>
        <w:t>％，实际完成值：</w:t>
      </w:r>
      <w:r>
        <w:rPr>
          <w:rFonts w:hint="eastAsia" w:ascii="Calibri" w:hAnsi="Calibri" w:eastAsia="Calibri"/>
          <w:color w:val="000000"/>
          <w:sz w:val="35"/>
        </w:rPr>
        <w:t>100</w:t>
      </w:r>
      <w:r>
        <w:rPr>
          <w:rFonts w:hint="eastAsia" w:ascii="宋体" w:hAnsi="宋体" w:eastAsia="宋体"/>
          <w:color w:val="000000"/>
          <w:sz w:val="35"/>
        </w:rPr>
        <w:t>％，我单位征收补偿款均严格按照相关法律法规足额及时支付，因此判定业绩值为</w:t>
      </w:r>
      <w:r>
        <w:rPr>
          <w:rFonts w:hint="eastAsia" w:ascii="Calibri" w:hAnsi="Calibri" w:eastAsia="Calibri"/>
          <w:color w:val="000000"/>
          <w:sz w:val="35"/>
        </w:rPr>
        <w:t>100</w:t>
      </w:r>
      <w:r>
        <w:rPr>
          <w:rFonts w:hint="eastAsia" w:ascii="宋体" w:hAnsi="宋体" w:eastAsia="宋体"/>
          <w:color w:val="000000"/>
          <w:sz w:val="35"/>
        </w:rPr>
        <w:t>％。指标完成率</w:t>
      </w:r>
      <w:r>
        <w:rPr>
          <w:rFonts w:hint="eastAsia" w:ascii="Calibri" w:hAnsi="Calibri" w:eastAsia="Calibri"/>
          <w:color w:val="000000"/>
          <w:sz w:val="35"/>
        </w:rPr>
        <w:t>105</w:t>
      </w:r>
      <w:r>
        <w:rPr>
          <w:rFonts w:hint="eastAsia" w:ascii="宋体" w:hAnsi="宋体" w:eastAsia="宋体"/>
          <w:color w:val="000000"/>
          <w:sz w:val="35"/>
        </w:rPr>
        <w:t>％。偏差原因：指标设置不合理。改进措施：今后设置相关指标时采用确定值。</w:t>
      </w:r>
    </w:p>
    <w:p w14:paraId="38405766">
      <w:pPr>
        <w:wordWrap w:val="0"/>
        <w:spacing w:before="0" w:after="0" w:line="240" w:lineRule="auto"/>
        <w:ind w:firstLine="0"/>
        <w:jc w:val="both"/>
        <w:rPr>
          <w:rFonts w:hint="eastAsia" w:ascii="宋体" w:hAnsi="宋体" w:eastAsia="宋体"/>
          <w:color w:val="000000"/>
          <w:sz w:val="21"/>
        </w:rPr>
      </w:pPr>
    </w:p>
    <w:p w14:paraId="2FEDFB85">
      <w:pPr>
        <w:wordWrap w:val="0"/>
        <w:spacing w:before="0" w:after="0" w:line="192" w:lineRule="auto"/>
        <w:ind w:firstLine="700"/>
        <w:jc w:val="both"/>
        <w:rPr>
          <w:sz w:val="35"/>
        </w:rPr>
      </w:pPr>
      <w:r>
        <w:rPr>
          <w:rFonts w:hint="eastAsia" w:ascii="宋体" w:hAnsi="宋体" w:eastAsia="宋体"/>
          <w:color w:val="000000"/>
          <w:sz w:val="35"/>
        </w:rPr>
        <w:t>③时效指标：</w:t>
      </w:r>
    </w:p>
    <w:p w14:paraId="7E106CE2">
      <w:pPr>
        <w:wordWrap w:val="0"/>
        <w:spacing w:before="0" w:after="0" w:line="240" w:lineRule="auto"/>
        <w:ind w:firstLine="0"/>
        <w:jc w:val="both"/>
        <w:rPr>
          <w:rFonts w:hint="eastAsia" w:ascii="宋体" w:hAnsi="宋体" w:eastAsia="宋体"/>
          <w:color w:val="000000"/>
          <w:sz w:val="21"/>
        </w:rPr>
      </w:pPr>
    </w:p>
    <w:p w14:paraId="1AD8CF2C">
      <w:pPr>
        <w:wordWrap w:val="0"/>
        <w:spacing w:before="0" w:after="0" w:line="264" w:lineRule="auto"/>
        <w:ind w:left="20" w:right="260" w:firstLine="680"/>
        <w:jc w:val="both"/>
        <w:rPr>
          <w:sz w:val="35"/>
        </w:rPr>
      </w:pPr>
      <w:r>
        <w:rPr>
          <w:rFonts w:hint="eastAsia" w:ascii="宋体" w:hAnsi="宋体" w:eastAsia="宋体"/>
          <w:color w:val="000000"/>
          <w:sz w:val="35"/>
        </w:rPr>
        <w:t>指标</w:t>
      </w:r>
      <w:r>
        <w:rPr>
          <w:rFonts w:hint="eastAsia" w:ascii="Calibri" w:hAnsi="Calibri" w:eastAsia="Calibri"/>
          <w:color w:val="000000"/>
          <w:sz w:val="35"/>
        </w:rPr>
        <w:t>2</w:t>
      </w:r>
      <w:r>
        <w:rPr>
          <w:rFonts w:hint="eastAsia" w:ascii="宋体" w:hAnsi="宋体" w:eastAsia="宋体"/>
          <w:color w:val="000000"/>
          <w:sz w:val="35"/>
        </w:rPr>
        <w:t>：资金支付及时率，指标值：大于等于</w:t>
      </w:r>
      <w:r>
        <w:rPr>
          <w:rFonts w:hint="eastAsia" w:ascii="Calibri" w:hAnsi="Calibri" w:eastAsia="Calibri"/>
          <w:color w:val="000000"/>
          <w:sz w:val="35"/>
        </w:rPr>
        <w:t>95</w:t>
      </w:r>
      <w:r>
        <w:rPr>
          <w:rFonts w:hint="eastAsia" w:ascii="宋体" w:hAnsi="宋体" w:eastAsia="宋体"/>
          <w:color w:val="000000"/>
          <w:sz w:val="35"/>
        </w:rPr>
        <w:t>％，实际完成值：</w:t>
      </w:r>
      <w:r>
        <w:rPr>
          <w:rFonts w:hint="eastAsia" w:ascii="Calibri" w:hAnsi="Calibri" w:eastAsia="Calibri"/>
          <w:color w:val="000000"/>
          <w:sz w:val="35"/>
        </w:rPr>
        <w:t>100</w:t>
      </w:r>
      <w:r>
        <w:rPr>
          <w:rFonts w:hint="eastAsia" w:ascii="宋体" w:hAnsi="宋体" w:eastAsia="宋体"/>
          <w:color w:val="000000"/>
          <w:sz w:val="35"/>
        </w:rPr>
        <w:t>％，该项目资金在项目规定时间内及时足额支付，因此判定业绩值为</w:t>
      </w:r>
      <w:r>
        <w:rPr>
          <w:rFonts w:hint="eastAsia" w:ascii="Calibri" w:hAnsi="Calibri" w:eastAsia="Calibri"/>
          <w:color w:val="000000"/>
          <w:sz w:val="35"/>
        </w:rPr>
        <w:t>100</w:t>
      </w:r>
      <w:r>
        <w:rPr>
          <w:rFonts w:hint="eastAsia" w:ascii="宋体" w:hAnsi="宋体" w:eastAsia="宋体"/>
          <w:color w:val="000000"/>
          <w:sz w:val="35"/>
        </w:rPr>
        <w:t>％。指标完成率</w:t>
      </w:r>
      <w:r>
        <w:rPr>
          <w:rFonts w:hint="eastAsia" w:ascii="Calibri" w:hAnsi="Calibri" w:eastAsia="Calibri"/>
          <w:color w:val="000000"/>
          <w:sz w:val="35"/>
        </w:rPr>
        <w:t>105</w:t>
      </w:r>
      <w:r>
        <w:rPr>
          <w:rFonts w:hint="eastAsia" w:ascii="宋体" w:hAnsi="宋体" w:eastAsia="宋体"/>
          <w:color w:val="000000"/>
          <w:sz w:val="35"/>
        </w:rPr>
        <w:t>％。偏差原因：指标设置不合理。改进措施：今后设置相关指标时采用确定值。</w:t>
      </w:r>
    </w:p>
    <w:p w14:paraId="3B2DB3BC">
      <w:pPr>
        <w:wordWrap w:val="0"/>
        <w:spacing w:before="0" w:after="0" w:line="240" w:lineRule="auto"/>
        <w:ind w:firstLine="0"/>
        <w:jc w:val="both"/>
        <w:rPr>
          <w:rFonts w:hint="eastAsia" w:ascii="宋体" w:hAnsi="宋体" w:eastAsia="宋体"/>
          <w:color w:val="000000"/>
          <w:sz w:val="21"/>
        </w:rPr>
      </w:pPr>
    </w:p>
    <w:p w14:paraId="348252AA">
      <w:pPr>
        <w:wordWrap w:val="0"/>
        <w:spacing w:before="0" w:after="0" w:line="192" w:lineRule="auto"/>
        <w:ind w:firstLine="700"/>
        <w:jc w:val="both"/>
        <w:rPr>
          <w:sz w:val="35"/>
        </w:rPr>
      </w:pPr>
      <w:r>
        <w:rPr>
          <w:rFonts w:hint="eastAsia" w:ascii="宋体" w:hAnsi="宋体" w:eastAsia="宋体"/>
          <w:color w:val="000000"/>
          <w:sz w:val="35"/>
        </w:rPr>
        <w:t>④成本指标：</w:t>
      </w:r>
    </w:p>
    <w:p w14:paraId="45C41BCF">
      <w:pPr>
        <w:wordWrap w:val="0"/>
        <w:spacing w:before="0" w:after="0" w:line="240" w:lineRule="auto"/>
        <w:ind w:firstLine="0"/>
        <w:jc w:val="both"/>
        <w:rPr>
          <w:rFonts w:hint="eastAsia" w:ascii="宋体" w:hAnsi="宋体" w:eastAsia="宋体"/>
          <w:color w:val="000000"/>
          <w:sz w:val="21"/>
        </w:rPr>
      </w:pPr>
    </w:p>
    <w:p w14:paraId="6BA94E64">
      <w:pPr>
        <w:wordWrap w:val="0"/>
        <w:spacing w:before="0" w:after="0" w:line="264" w:lineRule="auto"/>
        <w:ind w:left="20" w:right="140" w:firstLine="680"/>
        <w:jc w:val="both"/>
        <w:rPr>
          <w:sz w:val="35"/>
        </w:rPr>
      </w:pPr>
      <w:r>
        <w:rPr>
          <w:rFonts w:hint="eastAsia" w:ascii="宋体" w:hAnsi="宋体" w:eastAsia="宋体"/>
          <w:color w:val="000000"/>
          <w:sz w:val="35"/>
        </w:rPr>
        <w:t>指标</w:t>
      </w:r>
      <w:r>
        <w:rPr>
          <w:rFonts w:hint="eastAsia" w:ascii="Calibri" w:hAnsi="Calibri" w:eastAsia="Calibri"/>
          <w:color w:val="000000"/>
          <w:sz w:val="35"/>
        </w:rPr>
        <w:t>1</w:t>
      </w:r>
      <w:r>
        <w:rPr>
          <w:rFonts w:hint="eastAsia" w:ascii="宋体" w:hAnsi="宋体" w:eastAsia="宋体"/>
          <w:color w:val="000000"/>
          <w:sz w:val="35"/>
        </w:rPr>
        <w:t>：支付新疆新捷燃气有限公司征收补偿款金额，指标值</w:t>
      </w:r>
      <w:r>
        <w:rPr>
          <w:rFonts w:hint="eastAsia" w:ascii="Calibri" w:hAnsi="Calibri" w:eastAsia="Calibri"/>
          <w:color w:val="000000"/>
          <w:sz w:val="35"/>
        </w:rPr>
        <w:t>：508256</w:t>
      </w:r>
      <w:r>
        <w:rPr>
          <w:rFonts w:hint="eastAsia" w:ascii="宋体" w:hAnsi="宋体" w:eastAsia="宋体"/>
          <w:color w:val="000000"/>
          <w:sz w:val="35"/>
        </w:rPr>
        <w:t>元</w:t>
      </w:r>
      <w:r>
        <w:rPr>
          <w:rFonts w:hint="eastAsia" w:ascii="Calibri" w:hAnsi="Calibri" w:eastAsia="Calibri"/>
          <w:color w:val="000000"/>
          <w:sz w:val="35"/>
        </w:rPr>
        <w:t>，</w:t>
      </w:r>
      <w:r>
        <w:rPr>
          <w:rFonts w:hint="eastAsia" w:ascii="宋体" w:hAnsi="宋体" w:eastAsia="宋体"/>
          <w:color w:val="000000"/>
          <w:sz w:val="35"/>
        </w:rPr>
        <w:t>实际完成值</w:t>
      </w:r>
      <w:r>
        <w:rPr>
          <w:rFonts w:hint="eastAsia" w:ascii="Calibri" w:hAnsi="Calibri" w:eastAsia="Calibri"/>
          <w:color w:val="000000"/>
          <w:sz w:val="35"/>
        </w:rPr>
        <w:t>：508256</w:t>
      </w:r>
      <w:r>
        <w:rPr>
          <w:rFonts w:hint="eastAsia" w:ascii="宋体" w:hAnsi="宋体" w:eastAsia="宋体"/>
          <w:color w:val="000000"/>
          <w:sz w:val="35"/>
        </w:rPr>
        <w:t>元</w:t>
      </w:r>
      <w:r>
        <w:rPr>
          <w:rFonts w:hint="eastAsia" w:ascii="Calibri" w:hAnsi="Calibri" w:eastAsia="Calibri"/>
          <w:color w:val="000000"/>
          <w:sz w:val="35"/>
        </w:rPr>
        <w:t>，</w:t>
      </w:r>
      <w:r>
        <w:rPr>
          <w:rFonts w:hint="eastAsia" w:ascii="宋体" w:hAnsi="宋体" w:eastAsia="宋体"/>
          <w:color w:val="000000"/>
          <w:sz w:val="35"/>
        </w:rPr>
        <w:t>指标完成率</w:t>
      </w:r>
      <w:r>
        <w:rPr>
          <w:rFonts w:hint="eastAsia" w:ascii="Calibri" w:hAnsi="Calibri" w:eastAsia="Calibri"/>
          <w:color w:val="000000"/>
          <w:sz w:val="35"/>
        </w:rPr>
        <w:t>100％。</w:t>
      </w:r>
      <w:r>
        <w:rPr>
          <w:rFonts w:hint="eastAsia" w:ascii="宋体" w:hAnsi="宋体" w:eastAsia="宋体"/>
          <w:color w:val="000000"/>
          <w:sz w:val="35"/>
        </w:rPr>
        <w:t>该指标按目标值及协议数额足额支付，因此判定业绩值为</w:t>
      </w:r>
      <w:r>
        <w:rPr>
          <w:rFonts w:hint="eastAsia" w:ascii="Calibri" w:hAnsi="Calibri" w:eastAsia="Calibri"/>
          <w:color w:val="000000"/>
          <w:sz w:val="35"/>
        </w:rPr>
        <w:t>100</w:t>
      </w:r>
      <w:r>
        <w:rPr>
          <w:rFonts w:hint="eastAsia" w:ascii="宋体" w:hAnsi="宋体" w:eastAsia="宋体"/>
          <w:color w:val="000000"/>
          <w:sz w:val="35"/>
        </w:rPr>
        <w:t>％。</w:t>
      </w:r>
    </w:p>
    <w:p w14:paraId="4D982FB7">
      <w:pPr>
        <w:wordWrap w:val="0"/>
        <w:spacing w:before="0" w:after="0" w:line="240" w:lineRule="auto"/>
        <w:ind w:firstLine="0"/>
        <w:jc w:val="both"/>
        <w:rPr>
          <w:rFonts w:hint="eastAsia" w:ascii="宋体" w:hAnsi="宋体" w:eastAsia="宋体"/>
          <w:color w:val="000000"/>
          <w:sz w:val="21"/>
        </w:rPr>
      </w:pPr>
    </w:p>
    <w:p w14:paraId="5437A3D0">
      <w:pPr>
        <w:wordWrap w:val="0"/>
        <w:spacing w:before="0" w:after="0" w:line="264" w:lineRule="auto"/>
        <w:ind w:left="20" w:right="260" w:firstLine="680"/>
        <w:jc w:val="both"/>
        <w:rPr>
          <w:sz w:val="35"/>
        </w:rPr>
      </w:pPr>
      <w:r>
        <w:rPr>
          <w:rFonts w:hint="eastAsia" w:ascii="宋体" w:hAnsi="宋体" w:eastAsia="宋体"/>
          <w:color w:val="000000"/>
          <w:sz w:val="35"/>
        </w:rPr>
        <w:t>指标</w:t>
      </w:r>
      <w:r>
        <w:rPr>
          <w:rFonts w:hint="eastAsia" w:ascii="Calibri" w:hAnsi="Calibri" w:eastAsia="Calibri"/>
          <w:color w:val="000000"/>
          <w:sz w:val="35"/>
        </w:rPr>
        <w:t>2</w:t>
      </w:r>
      <w:r>
        <w:rPr>
          <w:rFonts w:hint="eastAsia" w:ascii="宋体" w:hAnsi="宋体" w:eastAsia="宋体"/>
          <w:color w:val="000000"/>
          <w:sz w:val="35"/>
        </w:rPr>
        <w:t>：支付乌鲁木齐市公交珍宝巴士有限公司征收补偿款金额</w:t>
      </w:r>
      <w:r>
        <w:rPr>
          <w:rFonts w:hint="eastAsia" w:ascii="Calibri" w:hAnsi="Calibri" w:eastAsia="Calibri"/>
          <w:color w:val="000000"/>
          <w:sz w:val="35"/>
        </w:rPr>
        <w:t>，</w:t>
      </w:r>
      <w:r>
        <w:rPr>
          <w:rFonts w:hint="eastAsia" w:ascii="宋体" w:hAnsi="宋体" w:eastAsia="宋体"/>
          <w:color w:val="000000"/>
          <w:sz w:val="35"/>
        </w:rPr>
        <w:t>指标值</w:t>
      </w:r>
      <w:r>
        <w:rPr>
          <w:rFonts w:hint="eastAsia" w:ascii="Calibri" w:hAnsi="Calibri" w:eastAsia="Calibri"/>
          <w:color w:val="000000"/>
          <w:sz w:val="35"/>
        </w:rPr>
        <w:t>：79975178</w:t>
      </w:r>
      <w:r>
        <w:rPr>
          <w:rFonts w:hint="eastAsia" w:ascii="宋体" w:hAnsi="宋体" w:eastAsia="宋体"/>
          <w:color w:val="000000"/>
          <w:sz w:val="35"/>
        </w:rPr>
        <w:t>元</w:t>
      </w:r>
      <w:r>
        <w:rPr>
          <w:rFonts w:hint="eastAsia" w:ascii="Calibri" w:hAnsi="Calibri" w:eastAsia="Calibri"/>
          <w:color w:val="000000"/>
          <w:sz w:val="35"/>
        </w:rPr>
        <w:t>，</w:t>
      </w:r>
      <w:r>
        <w:rPr>
          <w:rFonts w:hint="eastAsia" w:ascii="宋体" w:hAnsi="宋体" w:eastAsia="宋体"/>
          <w:color w:val="000000"/>
          <w:sz w:val="35"/>
        </w:rPr>
        <w:t>实际完成值</w:t>
      </w:r>
      <w:r>
        <w:rPr>
          <w:rFonts w:hint="eastAsia" w:ascii="Calibri" w:hAnsi="Calibri" w:eastAsia="Calibri"/>
          <w:color w:val="000000"/>
          <w:sz w:val="35"/>
        </w:rPr>
        <w:t>：79975178</w:t>
      </w:r>
      <w:r>
        <w:rPr>
          <w:rFonts w:hint="eastAsia" w:ascii="宋体" w:hAnsi="宋体" w:eastAsia="宋体"/>
          <w:color w:val="000000"/>
          <w:sz w:val="35"/>
        </w:rPr>
        <w:t>元</w:t>
      </w:r>
      <w:r>
        <w:rPr>
          <w:rFonts w:hint="eastAsia" w:ascii="Calibri" w:hAnsi="Calibri" w:eastAsia="Calibri"/>
          <w:color w:val="000000"/>
          <w:sz w:val="35"/>
        </w:rPr>
        <w:t>，</w:t>
      </w:r>
      <w:r>
        <w:rPr>
          <w:rFonts w:hint="eastAsia" w:ascii="宋体" w:hAnsi="宋体" w:eastAsia="宋体"/>
          <w:color w:val="000000"/>
          <w:sz w:val="35"/>
        </w:rPr>
        <w:t>指标完成率</w:t>
      </w:r>
      <w:r>
        <w:rPr>
          <w:rFonts w:hint="eastAsia" w:ascii="Calibri" w:hAnsi="Calibri" w:eastAsia="Calibri"/>
          <w:color w:val="000000"/>
          <w:sz w:val="35"/>
        </w:rPr>
        <w:t>100</w:t>
      </w:r>
      <w:r>
        <w:rPr>
          <w:rFonts w:hint="eastAsia" w:ascii="宋体" w:hAnsi="宋体" w:eastAsia="宋体"/>
          <w:color w:val="000000"/>
          <w:sz w:val="35"/>
        </w:rPr>
        <w:t>％。该指标按目标值及协议数额足额支付，因此判定业绩值为</w:t>
      </w:r>
      <w:r>
        <w:rPr>
          <w:rFonts w:hint="eastAsia" w:ascii="Calibri" w:hAnsi="Calibri" w:eastAsia="Calibri"/>
          <w:color w:val="000000"/>
          <w:sz w:val="35"/>
        </w:rPr>
        <w:t>100</w:t>
      </w:r>
      <w:r>
        <w:rPr>
          <w:rFonts w:hint="eastAsia" w:ascii="宋体" w:hAnsi="宋体" w:eastAsia="宋体"/>
          <w:color w:val="000000"/>
          <w:sz w:val="35"/>
        </w:rPr>
        <w:t>％。</w:t>
      </w:r>
    </w:p>
    <w:p w14:paraId="10593863">
      <w:pPr>
        <w:wordWrap w:val="0"/>
        <w:spacing w:before="0" w:after="0" w:line="240" w:lineRule="auto"/>
        <w:ind w:firstLine="0"/>
        <w:jc w:val="both"/>
        <w:rPr>
          <w:rFonts w:hint="eastAsia" w:ascii="宋体" w:hAnsi="宋体" w:eastAsia="宋体"/>
          <w:color w:val="000000"/>
          <w:sz w:val="21"/>
        </w:rPr>
      </w:pPr>
    </w:p>
    <w:p w14:paraId="04E714A0">
      <w:pPr>
        <w:wordWrap w:val="0"/>
        <w:spacing w:before="0" w:after="0" w:line="264" w:lineRule="auto"/>
        <w:ind w:left="20" w:right="260" w:firstLine="680"/>
        <w:jc w:val="both"/>
        <w:rPr>
          <w:sz w:val="35"/>
        </w:rPr>
      </w:pPr>
      <w:r>
        <w:rPr>
          <w:rFonts w:hint="eastAsia" w:ascii="宋体" w:hAnsi="宋体" w:eastAsia="宋体"/>
          <w:color w:val="000000"/>
          <w:sz w:val="35"/>
        </w:rPr>
        <w:t>指标</w:t>
      </w:r>
      <w:r>
        <w:rPr>
          <w:rFonts w:hint="eastAsia" w:ascii="Calibri" w:hAnsi="Calibri" w:eastAsia="Calibri"/>
          <w:color w:val="000000"/>
          <w:sz w:val="35"/>
        </w:rPr>
        <w:t>3</w:t>
      </w:r>
      <w:r>
        <w:rPr>
          <w:rFonts w:hint="eastAsia" w:ascii="宋体" w:hAnsi="宋体" w:eastAsia="宋体"/>
          <w:color w:val="000000"/>
          <w:sz w:val="35"/>
        </w:rPr>
        <w:t>：支付乌鲁木齐市公共交通集团有限公司征收补偿款金额</w:t>
      </w:r>
      <w:r>
        <w:rPr>
          <w:rFonts w:hint="eastAsia" w:ascii="Calibri" w:hAnsi="Calibri" w:eastAsia="Calibri"/>
          <w:color w:val="000000"/>
          <w:sz w:val="35"/>
        </w:rPr>
        <w:t>，</w:t>
      </w:r>
      <w:r>
        <w:rPr>
          <w:rFonts w:hint="eastAsia" w:ascii="宋体" w:hAnsi="宋体" w:eastAsia="宋体"/>
          <w:color w:val="000000"/>
          <w:sz w:val="35"/>
        </w:rPr>
        <w:t>指标值</w:t>
      </w:r>
      <w:r>
        <w:rPr>
          <w:rFonts w:hint="eastAsia" w:ascii="Calibri" w:hAnsi="Calibri" w:eastAsia="Calibri"/>
          <w:color w:val="000000"/>
          <w:sz w:val="35"/>
        </w:rPr>
        <w:t>：1543082</w:t>
      </w:r>
      <w:r>
        <w:rPr>
          <w:rFonts w:hint="eastAsia" w:ascii="宋体" w:hAnsi="宋体" w:eastAsia="宋体"/>
          <w:color w:val="000000"/>
          <w:sz w:val="35"/>
        </w:rPr>
        <w:t>元</w:t>
      </w:r>
      <w:r>
        <w:rPr>
          <w:rFonts w:hint="eastAsia" w:ascii="Calibri" w:hAnsi="Calibri" w:eastAsia="Calibri"/>
          <w:color w:val="000000"/>
          <w:sz w:val="35"/>
        </w:rPr>
        <w:t>，</w:t>
      </w:r>
      <w:r>
        <w:rPr>
          <w:rFonts w:hint="eastAsia" w:ascii="宋体" w:hAnsi="宋体" w:eastAsia="宋体"/>
          <w:color w:val="000000"/>
          <w:sz w:val="35"/>
        </w:rPr>
        <w:t>实际完成值</w:t>
      </w:r>
      <w:r>
        <w:rPr>
          <w:rFonts w:hint="eastAsia" w:ascii="Calibri" w:hAnsi="Calibri" w:eastAsia="Calibri"/>
          <w:color w:val="000000"/>
          <w:sz w:val="35"/>
        </w:rPr>
        <w:t>：1543082</w:t>
      </w:r>
      <w:r>
        <w:rPr>
          <w:rFonts w:hint="eastAsia" w:ascii="宋体" w:hAnsi="宋体" w:eastAsia="宋体"/>
          <w:color w:val="000000"/>
          <w:sz w:val="35"/>
        </w:rPr>
        <w:t>元</w:t>
      </w:r>
      <w:r>
        <w:rPr>
          <w:rFonts w:hint="eastAsia" w:ascii="Calibri" w:hAnsi="Calibri" w:eastAsia="Calibri"/>
          <w:color w:val="000000"/>
          <w:sz w:val="35"/>
        </w:rPr>
        <w:t>，</w:t>
      </w:r>
      <w:r>
        <w:rPr>
          <w:rFonts w:hint="eastAsia" w:ascii="宋体" w:hAnsi="宋体" w:eastAsia="宋体"/>
          <w:color w:val="000000"/>
          <w:sz w:val="35"/>
        </w:rPr>
        <w:t>指标完成率</w:t>
      </w:r>
      <w:r>
        <w:rPr>
          <w:rFonts w:hint="eastAsia" w:ascii="Calibri" w:hAnsi="Calibri" w:eastAsia="Calibri"/>
          <w:color w:val="000000"/>
          <w:sz w:val="35"/>
        </w:rPr>
        <w:t>100</w:t>
      </w:r>
      <w:r>
        <w:rPr>
          <w:rFonts w:hint="eastAsia" w:ascii="宋体" w:hAnsi="宋体" w:eastAsia="宋体"/>
          <w:color w:val="000000"/>
          <w:sz w:val="35"/>
        </w:rPr>
        <w:t>％。该指标按目标值及协议数额足额支付，因此判定业绩值为</w:t>
      </w:r>
      <w:r>
        <w:rPr>
          <w:rFonts w:hint="eastAsia" w:ascii="Calibri" w:hAnsi="Calibri" w:eastAsia="Calibri"/>
          <w:color w:val="000000"/>
          <w:sz w:val="35"/>
        </w:rPr>
        <w:t>100</w:t>
      </w:r>
      <w:r>
        <w:rPr>
          <w:rFonts w:hint="eastAsia" w:ascii="宋体" w:hAnsi="宋体" w:eastAsia="宋体"/>
          <w:color w:val="000000"/>
          <w:sz w:val="35"/>
        </w:rPr>
        <w:t>％。</w:t>
      </w:r>
    </w:p>
    <w:p w14:paraId="0FA61665">
      <w:pPr>
        <w:wordWrap w:val="0"/>
        <w:spacing w:before="0" w:after="0" w:line="192" w:lineRule="auto"/>
        <w:ind w:firstLine="840"/>
        <w:jc w:val="both"/>
        <w:rPr>
          <w:sz w:val="35"/>
        </w:rPr>
        <w:sectPr>
          <w:headerReference r:id="rId25" w:type="default"/>
          <w:footerReference r:id="rId26" w:type="default"/>
          <w:type w:val="continuous"/>
          <w:pgSz w:w="11900" w:h="16840"/>
          <w:pgMar w:top="1440" w:right="1440" w:bottom="1440" w:left="1440" w:header="720" w:footer="720" w:gutter="0"/>
          <w:cols w:space="720" w:num="1"/>
        </w:sectPr>
      </w:pPr>
      <w:r>
        <w:rPr>
          <w:rFonts w:hint="eastAsia" w:ascii="宋体" w:hAnsi="宋体" w:eastAsia="宋体"/>
          <w:b/>
          <w:color w:val="000000"/>
          <w:sz w:val="35"/>
        </w:rPr>
        <w:t>（四）项目效益情况</w:t>
      </w:r>
    </w:p>
    <w:p w14:paraId="37EFE024">
      <w:pPr>
        <w:wordWrap w:val="0"/>
        <w:spacing w:before="0" w:after="0" w:line="264" w:lineRule="auto"/>
        <w:ind w:left="20" w:right="60" w:firstLine="660"/>
        <w:jc w:val="both"/>
        <w:rPr>
          <w:sz w:val="35"/>
        </w:rPr>
      </w:pPr>
      <w:r>
        <w:rPr>
          <w:rFonts w:hint="eastAsia" w:ascii="宋体" w:hAnsi="宋体" w:eastAsia="宋体"/>
          <w:color w:val="000000"/>
          <w:sz w:val="35"/>
        </w:rPr>
        <w:t>项目效益类指标包括项目实施效益和满意度两方面的内容，由</w:t>
      </w:r>
      <w:r>
        <w:rPr>
          <w:rFonts w:hint="eastAsia" w:ascii="Calibri" w:hAnsi="Calibri" w:eastAsia="Calibri"/>
          <w:color w:val="000000"/>
          <w:sz w:val="35"/>
        </w:rPr>
        <w:t>2</w:t>
      </w:r>
      <w:r>
        <w:rPr>
          <w:rFonts w:hint="eastAsia" w:ascii="宋体" w:hAnsi="宋体" w:eastAsia="宋体"/>
          <w:color w:val="000000"/>
          <w:sz w:val="35"/>
        </w:rPr>
        <w:t>个三级指标构成，权重分为</w:t>
      </w:r>
      <w:r>
        <w:rPr>
          <w:rFonts w:hint="eastAsia" w:ascii="Calibri" w:hAnsi="Calibri" w:eastAsia="Calibri"/>
          <w:color w:val="000000"/>
          <w:sz w:val="35"/>
        </w:rPr>
        <w:t>20</w:t>
      </w:r>
      <w:r>
        <w:rPr>
          <w:rFonts w:hint="eastAsia" w:ascii="宋体" w:hAnsi="宋体" w:eastAsia="宋体"/>
          <w:color w:val="000000"/>
          <w:sz w:val="35"/>
        </w:rPr>
        <w:t>分，实际得分</w:t>
      </w:r>
      <w:r>
        <w:rPr>
          <w:rFonts w:hint="eastAsia" w:ascii="Calibri" w:hAnsi="Calibri" w:eastAsia="Calibri"/>
          <w:color w:val="000000"/>
          <w:sz w:val="35"/>
        </w:rPr>
        <w:t>20</w:t>
      </w:r>
      <w:r>
        <w:rPr>
          <w:rFonts w:hint="eastAsia" w:ascii="宋体" w:hAnsi="宋体" w:eastAsia="宋体"/>
          <w:color w:val="000000"/>
          <w:sz w:val="35"/>
        </w:rPr>
        <w:t>分，得分率为</w:t>
      </w:r>
      <w:r>
        <w:rPr>
          <w:rFonts w:hint="eastAsia" w:ascii="Calibri" w:hAnsi="Calibri" w:eastAsia="Calibri"/>
          <w:color w:val="000000"/>
          <w:sz w:val="35"/>
        </w:rPr>
        <w:t>100</w:t>
      </w:r>
      <w:r>
        <w:rPr>
          <w:rFonts w:hint="eastAsia" w:ascii="宋体" w:hAnsi="宋体" w:eastAsia="宋体"/>
          <w:color w:val="000000"/>
          <w:sz w:val="35"/>
        </w:rPr>
        <w:t>％。有效避免了涉访涉诉事件的发生，持续深化维护社会稳定，稳步促进社会和谐发展，大力推进市自建房改造项目落地，改善人居环境，提高居民幸福感。</w:t>
      </w:r>
    </w:p>
    <w:p w14:paraId="625A7BE4">
      <w:pPr>
        <w:wordWrap w:val="0"/>
        <w:spacing w:before="0" w:after="0" w:line="240" w:lineRule="auto"/>
        <w:ind w:firstLine="0"/>
        <w:jc w:val="both"/>
        <w:rPr>
          <w:rFonts w:hint="eastAsia" w:ascii="宋体" w:hAnsi="宋体" w:eastAsia="宋体"/>
          <w:color w:val="000000"/>
          <w:sz w:val="21"/>
        </w:rPr>
      </w:pPr>
    </w:p>
    <w:p w14:paraId="2C860D6D">
      <w:pPr>
        <w:wordWrap w:val="0"/>
        <w:spacing w:before="0" w:after="0" w:line="201" w:lineRule="auto"/>
        <w:ind w:firstLine="680"/>
        <w:jc w:val="both"/>
        <w:rPr>
          <w:sz w:val="35"/>
        </w:rPr>
      </w:pPr>
      <w:r>
        <w:rPr>
          <w:rFonts w:hint="eastAsia" w:ascii="宋体" w:hAnsi="宋体" w:eastAsia="宋体"/>
          <w:color w:val="000000"/>
          <w:sz w:val="35"/>
        </w:rPr>
        <w:t>具体效益指标及满意度指标完成情况如下：</w:t>
      </w:r>
    </w:p>
    <w:p w14:paraId="66866023">
      <w:pPr>
        <w:wordWrap w:val="0"/>
        <w:spacing w:before="0" w:after="0" w:line="240" w:lineRule="auto"/>
        <w:ind w:firstLine="0"/>
        <w:jc w:val="both"/>
        <w:rPr>
          <w:rFonts w:hint="eastAsia" w:ascii="宋体" w:hAnsi="宋体" w:eastAsia="宋体"/>
          <w:color w:val="000000"/>
          <w:sz w:val="21"/>
        </w:rPr>
      </w:pPr>
    </w:p>
    <w:p w14:paraId="6932BBA0">
      <w:pPr>
        <w:wordWrap w:val="0"/>
        <w:spacing w:before="0" w:after="0" w:line="192" w:lineRule="auto"/>
        <w:ind w:firstLine="680"/>
        <w:jc w:val="both"/>
        <w:rPr>
          <w:sz w:val="35"/>
        </w:rPr>
      </w:pPr>
      <w:r>
        <w:rPr>
          <w:rFonts w:hint="eastAsia" w:ascii="Calibri" w:hAnsi="Calibri" w:eastAsia="Calibri"/>
          <w:color w:val="000000"/>
          <w:sz w:val="35"/>
        </w:rPr>
        <w:t>1</w:t>
      </w:r>
      <w:r>
        <w:rPr>
          <w:rFonts w:hint="eastAsia" w:ascii="宋体" w:hAnsi="宋体" w:eastAsia="宋体"/>
          <w:color w:val="000000"/>
          <w:sz w:val="35"/>
        </w:rPr>
        <w:t>．实施效益</w:t>
      </w:r>
    </w:p>
    <w:p w14:paraId="7042B7F5">
      <w:pPr>
        <w:wordWrap w:val="0"/>
        <w:spacing w:before="0" w:after="0" w:line="264" w:lineRule="auto"/>
        <w:ind w:left="20" w:right="60" w:firstLine="660"/>
        <w:jc w:val="both"/>
        <w:rPr>
          <w:sz w:val="35"/>
        </w:rPr>
      </w:pPr>
      <w:r>
        <w:rPr>
          <w:rFonts w:hint="eastAsia" w:ascii="宋体" w:hAnsi="宋体" w:eastAsia="宋体"/>
          <w:color w:val="000000"/>
          <w:sz w:val="35"/>
        </w:rPr>
        <w:t>社会效益指标：及时化解社会矛盾风险，指标值：及时化解，实际完成情况：完全达到预期，指标完成率：</w:t>
      </w:r>
      <w:r>
        <w:rPr>
          <w:rFonts w:hint="eastAsia" w:ascii="Calibri" w:hAnsi="Calibri" w:eastAsia="Calibri"/>
          <w:color w:val="000000"/>
          <w:sz w:val="35"/>
        </w:rPr>
        <w:t>100</w:t>
      </w:r>
      <w:r>
        <w:rPr>
          <w:rFonts w:hint="eastAsia" w:ascii="宋体" w:hAnsi="宋体" w:eastAsia="宋体"/>
          <w:color w:val="000000"/>
          <w:sz w:val="35"/>
        </w:rPr>
        <w:t>％。因该项目资金足额及时完成支付，履行了与征收户的协议，因此判定业绩值为</w:t>
      </w:r>
      <w:r>
        <w:rPr>
          <w:rFonts w:hint="eastAsia" w:ascii="Calibri" w:hAnsi="Calibri" w:eastAsia="Calibri"/>
          <w:color w:val="000000"/>
          <w:sz w:val="35"/>
        </w:rPr>
        <w:t>100</w:t>
      </w:r>
      <w:r>
        <w:rPr>
          <w:rFonts w:hint="eastAsia" w:ascii="宋体" w:hAnsi="宋体" w:eastAsia="宋体"/>
          <w:color w:val="000000"/>
          <w:sz w:val="35"/>
        </w:rPr>
        <w:t>％。。</w:t>
      </w:r>
    </w:p>
    <w:p w14:paraId="24164956">
      <w:pPr>
        <w:wordWrap w:val="0"/>
        <w:spacing w:before="0" w:after="0" w:line="240" w:lineRule="auto"/>
        <w:ind w:firstLine="0"/>
        <w:jc w:val="both"/>
        <w:rPr>
          <w:rFonts w:hint="eastAsia" w:ascii="宋体" w:hAnsi="宋体" w:eastAsia="宋体"/>
          <w:color w:val="000000"/>
          <w:sz w:val="21"/>
        </w:rPr>
      </w:pPr>
    </w:p>
    <w:p w14:paraId="62FCA18C">
      <w:pPr>
        <w:wordWrap w:val="0"/>
        <w:spacing w:before="0" w:after="0" w:line="192" w:lineRule="auto"/>
        <w:ind w:firstLine="680"/>
        <w:jc w:val="both"/>
        <w:rPr>
          <w:sz w:val="35"/>
        </w:rPr>
      </w:pPr>
      <w:r>
        <w:rPr>
          <w:rFonts w:hint="eastAsia" w:ascii="Calibri" w:hAnsi="Calibri" w:eastAsia="Calibri"/>
          <w:color w:val="000000"/>
          <w:sz w:val="35"/>
        </w:rPr>
        <w:t>2</w:t>
      </w:r>
      <w:r>
        <w:rPr>
          <w:rFonts w:hint="eastAsia" w:ascii="宋体" w:hAnsi="宋体" w:eastAsia="宋体"/>
          <w:color w:val="000000"/>
          <w:sz w:val="35"/>
        </w:rPr>
        <w:t>．满意度</w:t>
      </w:r>
    </w:p>
    <w:p w14:paraId="18875B1B">
      <w:pPr>
        <w:wordWrap w:val="0"/>
        <w:spacing w:before="0" w:after="0" w:line="264" w:lineRule="auto"/>
        <w:ind w:left="20" w:right="60" w:firstLine="660"/>
        <w:jc w:val="both"/>
        <w:rPr>
          <w:sz w:val="35"/>
        </w:rPr>
      </w:pPr>
      <w:r>
        <w:rPr>
          <w:rFonts w:hint="eastAsia" w:ascii="宋体" w:hAnsi="宋体" w:eastAsia="宋体"/>
          <w:color w:val="000000"/>
          <w:sz w:val="35"/>
        </w:rPr>
        <w:t>满意度指标：征收户满意度，指标值：大于等于</w:t>
      </w:r>
      <w:r>
        <w:rPr>
          <w:rFonts w:hint="eastAsia" w:ascii="Calibri" w:hAnsi="Calibri" w:eastAsia="Calibri"/>
          <w:color w:val="000000"/>
          <w:sz w:val="35"/>
        </w:rPr>
        <w:t>95</w:t>
      </w:r>
      <w:r>
        <w:rPr>
          <w:rFonts w:hint="eastAsia" w:ascii="宋体" w:hAnsi="宋体" w:eastAsia="宋体"/>
          <w:color w:val="000000"/>
          <w:sz w:val="35"/>
        </w:rPr>
        <w:t>％，实际完成情况：</w:t>
      </w:r>
      <w:r>
        <w:rPr>
          <w:rFonts w:hint="eastAsia" w:ascii="Calibri" w:hAnsi="Calibri" w:eastAsia="Calibri"/>
          <w:color w:val="000000"/>
          <w:sz w:val="35"/>
        </w:rPr>
        <w:t>95</w:t>
      </w:r>
      <w:r>
        <w:rPr>
          <w:rFonts w:hint="eastAsia" w:ascii="宋体" w:hAnsi="宋体" w:eastAsia="宋体"/>
          <w:color w:val="000000"/>
          <w:sz w:val="35"/>
        </w:rPr>
        <w:t>％，指标完成率：</w:t>
      </w:r>
      <w:r>
        <w:rPr>
          <w:rFonts w:hint="eastAsia" w:ascii="Calibri" w:hAnsi="Calibri" w:eastAsia="Calibri"/>
          <w:color w:val="000000"/>
          <w:sz w:val="35"/>
        </w:rPr>
        <w:t>100</w:t>
      </w:r>
      <w:r>
        <w:rPr>
          <w:rFonts w:hint="eastAsia" w:ascii="宋体" w:hAnsi="宋体" w:eastAsia="宋体"/>
          <w:color w:val="000000"/>
          <w:sz w:val="35"/>
        </w:rPr>
        <w:t>％。共有</w:t>
      </w:r>
      <w:r>
        <w:rPr>
          <w:rFonts w:hint="eastAsia" w:ascii="Calibri" w:hAnsi="Calibri" w:eastAsia="Calibri"/>
          <w:color w:val="000000"/>
          <w:sz w:val="35"/>
        </w:rPr>
        <w:t>20</w:t>
      </w:r>
      <w:r>
        <w:rPr>
          <w:rFonts w:hint="eastAsia" w:ascii="宋体" w:hAnsi="宋体" w:eastAsia="宋体"/>
          <w:color w:val="000000"/>
          <w:sz w:val="35"/>
        </w:rPr>
        <w:t>份调查问卷，分为小题、综合评分及其他建议。综合</w:t>
      </w:r>
      <w:r>
        <w:rPr>
          <w:rFonts w:hint="eastAsia" w:ascii="Calibri" w:hAnsi="Calibri" w:eastAsia="Calibri"/>
          <w:color w:val="000000"/>
          <w:sz w:val="35"/>
        </w:rPr>
        <w:t>20</w:t>
      </w:r>
      <w:r>
        <w:rPr>
          <w:rFonts w:hint="eastAsia" w:ascii="宋体" w:hAnsi="宋体" w:eastAsia="宋体"/>
          <w:color w:val="000000"/>
          <w:sz w:val="35"/>
        </w:rPr>
        <w:t>份问卷平均得分为</w:t>
      </w:r>
      <w:r>
        <w:rPr>
          <w:rFonts w:hint="eastAsia" w:ascii="Calibri" w:hAnsi="Calibri" w:eastAsia="Calibri"/>
          <w:color w:val="000000"/>
          <w:sz w:val="35"/>
        </w:rPr>
        <w:t>95</w:t>
      </w:r>
      <w:r>
        <w:rPr>
          <w:rFonts w:hint="eastAsia" w:ascii="宋体" w:hAnsi="宋体" w:eastAsia="宋体"/>
          <w:color w:val="000000"/>
          <w:sz w:val="35"/>
        </w:rPr>
        <w:t>％，因此判定业绩值为</w:t>
      </w:r>
      <w:r>
        <w:rPr>
          <w:rFonts w:hint="eastAsia" w:ascii="Calibri" w:hAnsi="Calibri" w:eastAsia="Calibri"/>
          <w:color w:val="000000"/>
          <w:sz w:val="35"/>
        </w:rPr>
        <w:t>100</w:t>
      </w:r>
      <w:r>
        <w:rPr>
          <w:rFonts w:hint="eastAsia" w:ascii="宋体" w:hAnsi="宋体" w:eastAsia="宋体"/>
          <w:color w:val="000000"/>
          <w:sz w:val="35"/>
        </w:rPr>
        <w:t>％。</w:t>
      </w:r>
    </w:p>
    <w:p w14:paraId="00A638E2">
      <w:pPr>
        <w:wordWrap w:val="0"/>
        <w:spacing w:before="0" w:after="0" w:line="240" w:lineRule="auto"/>
        <w:ind w:firstLine="680"/>
        <w:jc w:val="both"/>
        <w:rPr>
          <w:sz w:val="35"/>
        </w:rPr>
      </w:pPr>
      <w:r>
        <w:rPr>
          <w:rFonts w:hint="eastAsia" w:ascii="宋体" w:hAnsi="宋体" w:eastAsia="宋体"/>
          <w:b/>
          <w:color w:val="000000"/>
          <w:sz w:val="35"/>
        </w:rPr>
        <w:t>五、主要经验及做法、存在的问题及原因分析</w:t>
      </w:r>
    </w:p>
    <w:p w14:paraId="1C616211">
      <w:pPr>
        <w:wordWrap w:val="0"/>
        <w:spacing w:before="106" w:after="0" w:line="240" w:lineRule="auto"/>
        <w:ind w:firstLine="840"/>
        <w:jc w:val="both"/>
        <w:rPr>
          <w:sz w:val="35"/>
        </w:rPr>
      </w:pPr>
      <w:r>
        <w:rPr>
          <w:rFonts w:hint="eastAsia" w:ascii="宋体" w:hAnsi="宋体" w:eastAsia="宋体"/>
          <w:b/>
          <w:color w:val="000000"/>
          <w:sz w:val="35"/>
        </w:rPr>
        <w:t>（一）主要经验及做法</w:t>
      </w:r>
    </w:p>
    <w:p w14:paraId="40C1C835">
      <w:pPr>
        <w:wordWrap w:val="0"/>
        <w:spacing w:before="0" w:after="0" w:line="264" w:lineRule="auto"/>
        <w:ind w:left="20" w:right="60" w:firstLine="660"/>
        <w:jc w:val="both"/>
        <w:rPr>
          <w:sz w:val="35"/>
        </w:rPr>
        <w:sectPr>
          <w:headerReference r:id="rId27" w:type="default"/>
          <w:footerReference r:id="rId28" w:type="default"/>
          <w:type w:val="continuous"/>
          <w:pgSz w:w="11901" w:h="16841"/>
          <w:pgMar w:top="1200" w:right="1680" w:bottom="1440" w:left="1680" w:header="600" w:footer="720" w:gutter="0"/>
          <w:cols w:space="720" w:num="1"/>
        </w:sectPr>
      </w:pPr>
      <w:r>
        <w:rPr>
          <w:rFonts w:hint="eastAsia" w:ascii="宋体" w:hAnsi="宋体" w:eastAsia="宋体"/>
          <w:color w:val="000000"/>
          <w:sz w:val="35"/>
        </w:rPr>
        <w:t>强化统筹协调，凝聚工作合力，建立跨部门联席会议机制，形成“主要领导牵头、专班推进、责任到人”的组织体系，确保任务分解清晰、责任传导到位。注重规划引领，夯实前期基础。坚持“规划先行、科学论证”，通过多轮可行性研究精准匹配资源需求，避免重复建设和资源浪费。创新过程管理，提升执行效能 实施“周调度、月通报、季考核”动态监管模式，</w:t>
      </w:r>
    </w:p>
    <w:p w14:paraId="3CB1EB7B">
      <w:pPr>
        <w:wordWrap w:val="0"/>
        <w:spacing w:before="0" w:after="0" w:line="247" w:lineRule="auto"/>
        <w:ind w:left="80" w:right="440" w:hanging="40"/>
        <w:jc w:val="both"/>
        <w:rPr>
          <w:sz w:val="35"/>
        </w:rPr>
      </w:pPr>
      <w:r>
        <w:rPr>
          <w:rFonts w:hint="eastAsia" w:ascii="宋体" w:hAnsi="宋体" w:eastAsia="宋体"/>
          <w:color w:val="000000"/>
          <w:sz w:val="35"/>
        </w:rPr>
        <w:t>实时跟踪项目进度，及时化解难点堵点。整合资源渠道，强化要素保障 统筹财政资金与社会资本，优化配置人力、物力资源，形成“政府引导＋市场参与”的多元支撑格局。聚焦民生需求，突出惠民实效以群众满意度为导向，通过走访调研、意见征集等方式动态调整实施方案，确保项目成果惠及民生。</w:t>
      </w:r>
    </w:p>
    <w:p w14:paraId="39338E1A">
      <w:pPr>
        <w:wordWrap w:val="0"/>
        <w:spacing w:before="0" w:after="0" w:line="240" w:lineRule="auto"/>
        <w:ind w:firstLine="0"/>
        <w:jc w:val="both"/>
        <w:rPr>
          <w:rFonts w:hint="eastAsia" w:ascii="宋体" w:hAnsi="宋体" w:eastAsia="宋体"/>
          <w:color w:val="000000"/>
          <w:sz w:val="21"/>
        </w:rPr>
      </w:pPr>
    </w:p>
    <w:p w14:paraId="29C7EDE7">
      <w:pPr>
        <w:wordWrap w:val="0"/>
        <w:spacing w:before="0" w:after="0" w:line="247" w:lineRule="auto"/>
        <w:ind w:left="40" w:right="440" w:firstLine="640"/>
        <w:jc w:val="both"/>
        <w:rPr>
          <w:sz w:val="35"/>
        </w:rPr>
      </w:pPr>
      <w:r>
        <w:rPr>
          <w:rFonts w:hint="eastAsia" w:ascii="宋体" w:hAnsi="宋体" w:eastAsia="宋体"/>
          <w:color w:val="000000"/>
          <w:sz w:val="35"/>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3F35FEF">
      <w:pPr>
        <w:wordWrap w:val="0"/>
        <w:spacing w:before="0" w:after="0" w:line="247" w:lineRule="auto"/>
        <w:ind w:left="40" w:right="440" w:firstLine="640"/>
        <w:jc w:val="both"/>
        <w:rPr>
          <w:sz w:val="35"/>
        </w:rPr>
      </w:pPr>
      <w:r>
        <w:rPr>
          <w:rFonts w:hint="eastAsia" w:ascii="宋体" w:hAnsi="宋体" w:eastAsia="宋体"/>
          <w:color w:val="000000"/>
          <w:sz w:val="35"/>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5DA6F4C">
      <w:pPr>
        <w:wordWrap w:val="0"/>
        <w:spacing w:before="0" w:after="0" w:line="240" w:lineRule="auto"/>
        <w:ind w:firstLine="0"/>
        <w:jc w:val="both"/>
        <w:rPr>
          <w:rFonts w:hint="eastAsia" w:ascii="宋体" w:hAnsi="宋体" w:eastAsia="宋体"/>
          <w:color w:val="000000"/>
          <w:sz w:val="21"/>
        </w:rPr>
      </w:pPr>
    </w:p>
    <w:p w14:paraId="1310A8AF">
      <w:pPr>
        <w:wordWrap w:val="0"/>
        <w:spacing w:before="0" w:after="0" w:line="192" w:lineRule="auto"/>
        <w:ind w:firstLine="820"/>
        <w:jc w:val="both"/>
        <w:rPr>
          <w:sz w:val="35"/>
        </w:rPr>
      </w:pPr>
      <w:r>
        <w:rPr>
          <w:rFonts w:hint="eastAsia" w:ascii="宋体" w:hAnsi="宋体" w:eastAsia="宋体"/>
          <w:b/>
          <w:color w:val="000000"/>
          <w:sz w:val="35"/>
        </w:rPr>
        <w:t>（二）存在的问题及原因分析</w:t>
      </w:r>
    </w:p>
    <w:p w14:paraId="09B136EC">
      <w:pPr>
        <w:wordWrap w:val="0"/>
        <w:spacing w:before="0" w:after="0" w:line="247" w:lineRule="auto"/>
        <w:ind w:left="40" w:right="320" w:firstLine="640"/>
        <w:jc w:val="both"/>
        <w:rPr>
          <w:sz w:val="35"/>
        </w:rPr>
      </w:pPr>
      <w:r>
        <w:rPr>
          <w:rFonts w:hint="eastAsia" w:ascii="Calibri" w:hAnsi="Calibri" w:eastAsia="Calibri"/>
          <w:color w:val="000000"/>
          <w:sz w:val="35"/>
        </w:rPr>
        <w:t>1</w:t>
      </w:r>
      <w:r>
        <w:rPr>
          <w:rFonts w:hint="eastAsia" w:ascii="宋体" w:hAnsi="宋体" w:eastAsia="宋体"/>
          <w:color w:val="000000"/>
          <w:sz w:val="35"/>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F2EF303">
      <w:pPr>
        <w:wordWrap w:val="0"/>
        <w:spacing w:before="0" w:after="0" w:line="240" w:lineRule="auto"/>
        <w:ind w:firstLine="0"/>
        <w:jc w:val="both"/>
        <w:rPr>
          <w:rFonts w:hint="eastAsia" w:ascii="宋体" w:hAnsi="宋体" w:eastAsia="宋体"/>
          <w:color w:val="000000"/>
          <w:sz w:val="21"/>
        </w:rPr>
      </w:pPr>
    </w:p>
    <w:p w14:paraId="65E67FC7">
      <w:pPr>
        <w:wordWrap w:val="0"/>
        <w:spacing w:before="0" w:after="0" w:line="247" w:lineRule="auto"/>
        <w:ind w:left="40" w:right="440" w:firstLine="640"/>
        <w:jc w:val="both"/>
        <w:rPr>
          <w:sz w:val="35"/>
        </w:rPr>
      </w:pPr>
      <w:r>
        <w:rPr>
          <w:rFonts w:hint="eastAsia" w:ascii="Calibri" w:hAnsi="Calibri" w:eastAsia="Calibri"/>
          <w:color w:val="000000"/>
          <w:sz w:val="35"/>
        </w:rPr>
        <w:t>2</w:t>
      </w:r>
      <w:r>
        <w:rPr>
          <w:rFonts w:hint="eastAsia" w:ascii="宋体" w:hAnsi="宋体" w:eastAsia="宋体"/>
          <w:color w:val="000000"/>
          <w:sz w:val="35"/>
        </w:rPr>
        <w:t>．因轮岗、调动，等因素使我单位绩效工作人员流动频繁，造成了工作衔接不到位的情况。</w:t>
      </w:r>
    </w:p>
    <w:p w14:paraId="36B52DC0">
      <w:pPr>
        <w:wordWrap w:val="0"/>
        <w:spacing w:before="0" w:after="0" w:line="230" w:lineRule="auto"/>
        <w:ind w:firstLine="680"/>
        <w:jc w:val="both"/>
        <w:rPr>
          <w:sz w:val="32"/>
        </w:rPr>
        <w:sectPr>
          <w:headerReference r:id="rId29" w:type="default"/>
          <w:footerReference r:id="rId30" w:type="default"/>
          <w:type w:val="continuous"/>
          <w:pgSz w:w="11900" w:h="16840"/>
          <w:pgMar w:top="1440" w:right="1440" w:bottom="1440" w:left="1440" w:header="720" w:footer="720" w:gutter="0"/>
          <w:cols w:space="720" w:num="1"/>
        </w:sectPr>
      </w:pPr>
      <w:r>
        <w:rPr>
          <w:rFonts w:hint="eastAsia" w:ascii="Calibri" w:hAnsi="Calibri" w:eastAsia="Calibri"/>
          <w:color w:val="000000"/>
          <w:sz w:val="32"/>
        </w:rPr>
        <w:t>3</w:t>
      </w:r>
      <w:r>
        <w:rPr>
          <w:rFonts w:hint="eastAsia" w:ascii="宋体" w:hAnsi="宋体" w:eastAsia="宋体"/>
          <w:color w:val="000000"/>
          <w:sz w:val="32"/>
        </w:rPr>
        <w:t>．动态调整机制滞后，对政策变化、市场波动等外部因素</w:t>
      </w:r>
    </w:p>
    <w:p w14:paraId="07671579">
      <w:pPr>
        <w:wordWrap w:val="0"/>
        <w:spacing w:before="0" w:after="0" w:line="196" w:lineRule="auto"/>
        <w:ind w:firstLine="20"/>
        <w:jc w:val="both"/>
        <w:rPr>
          <w:sz w:val="35"/>
        </w:rPr>
      </w:pPr>
      <w:r>
        <w:rPr>
          <w:rFonts w:hint="eastAsia" w:ascii="宋体" w:hAnsi="宋体" w:eastAsia="宋体"/>
          <w:color w:val="000000"/>
          <w:sz w:val="35"/>
        </w:rPr>
        <w:t>预判不足，应急预案和资源调配机制灵活性有待提升。</w:t>
      </w:r>
    </w:p>
    <w:p w14:paraId="52D32971">
      <w:pPr>
        <w:wordWrap w:val="0"/>
        <w:spacing w:before="0" w:after="0" w:line="240" w:lineRule="auto"/>
        <w:ind w:left="20" w:right="80" w:firstLine="640"/>
        <w:jc w:val="both"/>
        <w:rPr>
          <w:sz w:val="35"/>
        </w:rPr>
      </w:pPr>
      <w:r>
        <w:rPr>
          <w:rFonts w:hint="eastAsia" w:ascii="Calibri" w:hAnsi="Calibri" w:eastAsia="Calibri"/>
          <w:color w:val="000000"/>
          <w:sz w:val="35"/>
        </w:rPr>
        <w:t>4</w:t>
      </w:r>
      <w:r>
        <w:rPr>
          <w:rFonts w:hint="eastAsia" w:ascii="宋体" w:hAnsi="宋体" w:eastAsia="宋体"/>
          <w:color w:val="000000"/>
          <w:sz w:val="35"/>
        </w:rPr>
        <w:t>．长效管理机制不健全，重建设轻运维倾向仍存，项目后期管护责任主体不明确，可持续性保障措施需进一步完善。</w:t>
      </w:r>
    </w:p>
    <w:p w14:paraId="783D3799">
      <w:pPr>
        <w:wordWrap w:val="0"/>
        <w:spacing w:before="0" w:after="0" w:line="240" w:lineRule="auto"/>
        <w:ind w:firstLine="0"/>
        <w:jc w:val="both"/>
        <w:rPr>
          <w:rFonts w:hint="eastAsia" w:ascii="宋体" w:hAnsi="宋体" w:eastAsia="宋体"/>
          <w:color w:val="000000"/>
          <w:sz w:val="21"/>
        </w:rPr>
      </w:pPr>
    </w:p>
    <w:p w14:paraId="4D1B3305">
      <w:pPr>
        <w:wordWrap w:val="0"/>
        <w:spacing w:before="0" w:after="0" w:line="240" w:lineRule="auto"/>
        <w:ind w:left="20" w:right="80" w:firstLine="800"/>
        <w:jc w:val="both"/>
        <w:rPr>
          <w:sz w:val="35"/>
        </w:rPr>
      </w:pPr>
      <w:r>
        <w:rPr>
          <w:rFonts w:hint="eastAsia" w:ascii="Calibri" w:hAnsi="Calibri" w:eastAsia="Calibri"/>
          <w:color w:val="000000"/>
          <w:sz w:val="35"/>
        </w:rPr>
        <w:t>5</w:t>
      </w:r>
      <w:r>
        <w:rPr>
          <w:rFonts w:hint="eastAsia" w:ascii="宋体" w:hAnsi="宋体" w:eastAsia="宋体"/>
          <w:color w:val="000000"/>
          <w:sz w:val="35"/>
        </w:rPr>
        <w:t>．风险防控存在薄弱环节，对资金使用、合同履约等关键环节的合规性审查不够系统，风险预警和防控能力需加强。</w:t>
      </w:r>
    </w:p>
    <w:p w14:paraId="5535D27D">
      <w:pPr>
        <w:wordWrap w:val="0"/>
        <w:spacing w:before="0" w:after="0" w:line="240" w:lineRule="auto"/>
        <w:ind w:firstLine="0"/>
        <w:jc w:val="both"/>
        <w:rPr>
          <w:rFonts w:hint="eastAsia" w:ascii="宋体" w:hAnsi="宋体" w:eastAsia="宋体"/>
          <w:color w:val="000000"/>
          <w:sz w:val="21"/>
        </w:rPr>
      </w:pPr>
    </w:p>
    <w:p w14:paraId="56BCFF6B">
      <w:pPr>
        <w:wordWrap w:val="0"/>
        <w:spacing w:before="0" w:after="0" w:line="192" w:lineRule="auto"/>
        <w:ind w:firstLine="660"/>
        <w:jc w:val="both"/>
        <w:rPr>
          <w:sz w:val="35"/>
        </w:rPr>
      </w:pPr>
      <w:r>
        <w:rPr>
          <w:rFonts w:hint="eastAsia" w:ascii="宋体" w:hAnsi="宋体" w:eastAsia="宋体"/>
          <w:b/>
          <w:color w:val="000000"/>
          <w:sz w:val="35"/>
        </w:rPr>
        <w:t>六、有关建议</w:t>
      </w:r>
    </w:p>
    <w:p w14:paraId="50347442">
      <w:pPr>
        <w:wordWrap w:val="0"/>
        <w:spacing w:before="0" w:after="0" w:line="240" w:lineRule="auto"/>
        <w:ind w:left="20" w:right="80" w:firstLine="640"/>
        <w:jc w:val="both"/>
        <w:rPr>
          <w:sz w:val="35"/>
        </w:rPr>
      </w:pPr>
      <w:r>
        <w:rPr>
          <w:rFonts w:hint="eastAsia" w:ascii="Calibri" w:hAnsi="Calibri" w:eastAsia="Calibri"/>
          <w:color w:val="000000"/>
          <w:sz w:val="35"/>
        </w:rPr>
        <w:t>1</w:t>
      </w:r>
      <w:r>
        <w:rPr>
          <w:rFonts w:hint="eastAsia" w:ascii="宋体" w:hAnsi="宋体" w:eastAsia="宋体"/>
          <w:color w:val="000000"/>
          <w:sz w:val="35"/>
        </w:rPr>
        <w:t>．多进行有关绩效管理工作方面的培训。积极组织第三方开展绩效管理工作培训，进一步夯实业务基础，提高我单位绩效人员水平。</w:t>
      </w:r>
    </w:p>
    <w:p w14:paraId="1BEAD13B">
      <w:pPr>
        <w:wordWrap w:val="0"/>
        <w:spacing w:before="0" w:after="0" w:line="240" w:lineRule="auto"/>
        <w:ind w:firstLine="0"/>
        <w:jc w:val="both"/>
        <w:rPr>
          <w:rFonts w:hint="eastAsia" w:ascii="宋体" w:hAnsi="宋体" w:eastAsia="宋体"/>
          <w:color w:val="000000"/>
          <w:sz w:val="21"/>
        </w:rPr>
      </w:pPr>
    </w:p>
    <w:p w14:paraId="72CAF9AC">
      <w:pPr>
        <w:wordWrap w:val="0"/>
        <w:spacing w:before="0" w:after="0" w:line="240" w:lineRule="auto"/>
        <w:ind w:left="20" w:right="80" w:firstLine="640"/>
        <w:jc w:val="both"/>
        <w:rPr>
          <w:sz w:val="35"/>
        </w:rPr>
      </w:pPr>
      <w:r>
        <w:rPr>
          <w:rFonts w:hint="eastAsia" w:ascii="Calibri" w:hAnsi="Calibri" w:eastAsia="Calibri"/>
          <w:color w:val="000000"/>
          <w:sz w:val="35"/>
        </w:rPr>
        <w:t>2</w:t>
      </w:r>
      <w:r>
        <w:rPr>
          <w:rFonts w:hint="eastAsia" w:ascii="宋体" w:hAnsi="宋体" w:eastAsia="宋体"/>
          <w:color w:val="000000"/>
          <w:sz w:val="35"/>
        </w:rPr>
        <w:t>．专门设定对绩效工作人员定职、定岗、定责等相关制度措施，进一步提升我单位绩效管理工作业务水平，扎实做好绩效管理工作。</w:t>
      </w:r>
    </w:p>
    <w:p w14:paraId="201BB538">
      <w:pPr>
        <w:wordWrap w:val="0"/>
        <w:spacing w:before="0" w:after="0" w:line="240" w:lineRule="auto"/>
        <w:ind w:firstLine="0"/>
        <w:jc w:val="both"/>
        <w:rPr>
          <w:rFonts w:hint="eastAsia" w:ascii="宋体" w:hAnsi="宋体" w:eastAsia="宋体"/>
          <w:color w:val="000000"/>
          <w:sz w:val="21"/>
        </w:rPr>
      </w:pPr>
    </w:p>
    <w:p w14:paraId="7827FA23">
      <w:pPr>
        <w:wordWrap w:val="0"/>
        <w:spacing w:before="0" w:after="0" w:line="240" w:lineRule="auto"/>
        <w:ind w:left="20" w:right="80" w:firstLine="640"/>
        <w:jc w:val="both"/>
        <w:rPr>
          <w:sz w:val="35"/>
        </w:rPr>
      </w:pPr>
      <w:r>
        <w:rPr>
          <w:rFonts w:hint="eastAsia" w:ascii="Calibri" w:hAnsi="Calibri" w:eastAsia="Calibri"/>
          <w:color w:val="000000"/>
          <w:sz w:val="35"/>
        </w:rPr>
        <w:t>3</w:t>
      </w:r>
      <w:r>
        <w:rPr>
          <w:rFonts w:hint="eastAsia" w:ascii="宋体" w:hAnsi="宋体" w:eastAsia="宋体"/>
          <w:color w:val="000000"/>
          <w:sz w:val="35"/>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262209B">
      <w:pPr>
        <w:wordWrap w:val="0"/>
        <w:spacing w:before="0" w:after="0" w:line="240" w:lineRule="auto"/>
        <w:ind w:firstLine="0"/>
        <w:jc w:val="both"/>
        <w:rPr>
          <w:rFonts w:hint="eastAsia" w:ascii="宋体" w:hAnsi="宋体" w:eastAsia="宋体"/>
          <w:color w:val="000000"/>
          <w:sz w:val="21"/>
        </w:rPr>
      </w:pPr>
    </w:p>
    <w:p w14:paraId="7D726E02">
      <w:pPr>
        <w:wordWrap w:val="0"/>
        <w:spacing w:before="0" w:after="0" w:line="240" w:lineRule="auto"/>
        <w:ind w:left="20" w:right="80" w:firstLine="640"/>
        <w:jc w:val="both"/>
        <w:rPr>
          <w:sz w:val="35"/>
        </w:rPr>
      </w:pPr>
      <w:r>
        <w:rPr>
          <w:rFonts w:hint="eastAsia" w:ascii="Calibri" w:hAnsi="Calibri" w:eastAsia="Calibri"/>
          <w:color w:val="000000"/>
          <w:sz w:val="35"/>
        </w:rPr>
        <w:t>4</w:t>
      </w:r>
      <w:r>
        <w:rPr>
          <w:rFonts w:hint="eastAsia" w:ascii="宋体" w:hAnsi="宋体" w:eastAsia="宋体"/>
          <w:color w:val="000000"/>
          <w:sz w:val="35"/>
        </w:rPr>
        <w:t>．进一步完善项目评价过程中有关数据和资料的收集、整理、审核及分析。项目启动时同步做好档案的归纳与整理，及时整理、收集、汇总，健全档案资料。项目后续管理有待进一步加强和跟踪。</w:t>
      </w:r>
    </w:p>
    <w:p w14:paraId="6228443F">
      <w:pPr>
        <w:wordWrap w:val="0"/>
        <w:spacing w:before="0" w:after="0" w:line="240" w:lineRule="auto"/>
        <w:ind w:firstLine="0"/>
        <w:jc w:val="both"/>
        <w:rPr>
          <w:rFonts w:hint="eastAsia" w:ascii="宋体" w:hAnsi="宋体" w:eastAsia="宋体"/>
          <w:color w:val="000000"/>
          <w:sz w:val="21"/>
        </w:rPr>
      </w:pPr>
    </w:p>
    <w:p w14:paraId="1C1FC73C">
      <w:pPr>
        <w:wordWrap w:val="0"/>
        <w:spacing w:before="0" w:after="0" w:line="240" w:lineRule="auto"/>
        <w:ind w:left="20" w:right="80" w:firstLine="640"/>
        <w:jc w:val="both"/>
        <w:rPr>
          <w:sz w:val="35"/>
        </w:rPr>
        <w:sectPr>
          <w:headerReference r:id="rId31" w:type="default"/>
          <w:footerReference r:id="rId32" w:type="default"/>
          <w:type w:val="continuous"/>
          <w:pgSz w:w="11901" w:h="16841"/>
          <w:pgMar w:top="1440" w:right="1680" w:bottom="1440" w:left="1680" w:header="720" w:footer="720" w:gutter="0"/>
          <w:cols w:space="720" w:num="1"/>
        </w:sectPr>
      </w:pPr>
      <w:r>
        <w:rPr>
          <w:rFonts w:hint="eastAsia" w:ascii="Calibri" w:hAnsi="Calibri" w:eastAsia="Calibri"/>
          <w:color w:val="000000"/>
          <w:sz w:val="35"/>
        </w:rPr>
        <w:t>5</w:t>
      </w:r>
      <w:r>
        <w:rPr>
          <w:rFonts w:hint="eastAsia" w:ascii="宋体" w:hAnsi="宋体" w:eastAsia="宋体"/>
          <w:color w:val="000000"/>
          <w:sz w:val="35"/>
        </w:rPr>
        <w:t>．进一步加强对绩效管理工作的组织领导，提高对预算绩效管理工作重要性的认识，总结经验查找问题，抓紧研究制定更全面更完善的绩效评价管理办法。结合食品安全考核建立绩</w:t>
      </w:r>
    </w:p>
    <w:p w14:paraId="62389DE0">
      <w:pPr>
        <w:wordWrap w:val="0"/>
        <w:spacing w:before="0" w:after="0" w:line="280" w:lineRule="auto"/>
        <w:ind w:left="40" w:right="20" w:firstLine="0"/>
        <w:jc w:val="both"/>
        <w:rPr>
          <w:sz w:val="35"/>
        </w:rPr>
      </w:pPr>
      <w:r>
        <w:rPr>
          <w:rFonts w:hint="eastAsia" w:ascii="宋体" w:hAnsi="宋体" w:eastAsia="宋体"/>
          <w:color w:val="000000"/>
          <w:sz w:val="35"/>
        </w:rPr>
        <w:t>效工作考核制度，加大全局对全面实施预算绩效管理和绩效管理工作的学习力度，让“花钱必问效，无效必问责”的理念深入工作每个环节。</w:t>
      </w:r>
    </w:p>
    <w:p w14:paraId="4ED78A7C">
      <w:pPr>
        <w:wordWrap w:val="0"/>
        <w:spacing w:before="0" w:after="0" w:line="240" w:lineRule="auto"/>
        <w:ind w:firstLine="680"/>
        <w:jc w:val="both"/>
        <w:rPr>
          <w:sz w:val="35"/>
        </w:rPr>
      </w:pPr>
      <w:r>
        <w:rPr>
          <w:rFonts w:hint="eastAsia" w:ascii="宋体" w:hAnsi="宋体" w:eastAsia="宋体"/>
          <w:b/>
          <w:color w:val="000000"/>
          <w:sz w:val="35"/>
        </w:rPr>
        <w:t>七、其他需要说明的问题</w:t>
      </w:r>
    </w:p>
    <w:p w14:paraId="521426E0">
      <w:pPr>
        <w:wordWrap w:val="0"/>
        <w:spacing w:before="0" w:after="0" w:line="240" w:lineRule="auto"/>
        <w:ind w:firstLine="0"/>
        <w:jc w:val="both"/>
        <w:rPr>
          <w:rFonts w:hint="eastAsia" w:ascii="宋体" w:hAnsi="宋体" w:eastAsia="宋体"/>
          <w:color w:val="000000"/>
          <w:sz w:val="21"/>
        </w:rPr>
      </w:pPr>
    </w:p>
    <w:p w14:paraId="25FDB54A">
      <w:pPr>
        <w:wordWrap w:val="0"/>
        <w:spacing w:before="0" w:after="0" w:line="280" w:lineRule="auto"/>
        <w:ind w:left="40" w:right="20" w:firstLine="640"/>
        <w:jc w:val="both"/>
        <w:rPr>
          <w:sz w:val="35"/>
        </w:rPr>
      </w:pPr>
      <w:r>
        <w:rPr>
          <w:rFonts w:hint="eastAsia" w:ascii="宋体" w:hAnsi="宋体" w:eastAsia="宋体"/>
          <w:color w:val="000000"/>
          <w:sz w:val="35"/>
        </w:rPr>
        <w:t>在产出指标时错误设置了不定值的目标值，导致最终实际</w:t>
      </w:r>
      <w:r>
        <w:rPr>
          <w:rFonts w:hint="eastAsia" w:ascii="Calibri" w:hAnsi="Calibri" w:eastAsia="Calibri"/>
          <w:color w:val="000000"/>
          <w:sz w:val="35"/>
        </w:rPr>
        <w:t>100</w:t>
      </w:r>
      <w:r>
        <w:rPr>
          <w:rFonts w:hint="eastAsia" w:ascii="宋体" w:hAnsi="宋体" w:eastAsia="宋体"/>
          <w:color w:val="000000"/>
          <w:sz w:val="35"/>
        </w:rPr>
        <w:t>％完成的指标完成值超过</w:t>
      </w:r>
      <w:r>
        <w:rPr>
          <w:rFonts w:hint="eastAsia" w:ascii="Calibri" w:hAnsi="Calibri" w:eastAsia="Calibri"/>
          <w:color w:val="000000"/>
          <w:sz w:val="35"/>
        </w:rPr>
        <w:t>100</w:t>
      </w:r>
      <w:r>
        <w:rPr>
          <w:rFonts w:hint="eastAsia" w:ascii="宋体" w:hAnsi="宋体" w:eastAsia="宋体"/>
          <w:color w:val="000000"/>
          <w:sz w:val="35"/>
        </w:rPr>
        <w:t>％，今后应当在设置指标目标时采用确定值。</w:t>
      </w:r>
    </w:p>
    <w:p w14:paraId="125D7C36">
      <w:pPr>
        <w:wordWrap w:val="0"/>
        <w:spacing w:before="0" w:after="0" w:line="240" w:lineRule="auto"/>
        <w:ind w:firstLine="0"/>
        <w:jc w:val="both"/>
        <w:rPr>
          <w:rFonts w:hint="eastAsia" w:ascii="宋体" w:hAnsi="宋体" w:eastAsia="宋体"/>
          <w:color w:val="000000"/>
          <w:sz w:val="21"/>
        </w:rPr>
      </w:pPr>
    </w:p>
    <w:p w14:paraId="57CAE248">
      <w:pPr>
        <w:spacing w:line="1" w:lineRule="exact"/>
      </w:pPr>
      <w:bookmarkStart w:id="0" w:name="_GoBack"/>
      <w:bookmarkEnd w:id="0"/>
    </w:p>
    <w:sectPr>
      <w:headerReference r:id="rId33" w:type="default"/>
      <w:footerReference r:id="rId34" w:type="default"/>
      <w:type w:val="continuous"/>
      <w:pgSz w:w="11900" w:h="16840"/>
      <w:pgMar w:top="1920" w:right="2880" w:bottom="1920" w:left="1200" w:header="600" w:footer="144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86A7E">
    <w:pPr>
      <w:spacing w:line="206" w:lineRule="auto"/>
      <w:jc w:val="center"/>
    </w:pPr>
    <w:r>
      <w:rPr>
        <w:rFonts w:hint="eastAsia" w:ascii="Calibri" w:hAnsi="Calibri" w:eastAsia="Calibri"/>
        <w:color w:val="000000"/>
        <w:sz w:val="19"/>
      </w:rPr>
      <w:t>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5C828">
    <w:pPr>
      <w:spacing w:line="235" w:lineRule="auto"/>
      <w:jc w:val="center"/>
    </w:pPr>
    <w:r>
      <w:rPr>
        <w:rFonts w:hint="eastAsia" w:ascii="Calibri" w:hAnsi="Calibri" w:eastAsia="Calibri"/>
        <w:color w:val="000000"/>
        <w:sz w:val="18"/>
      </w:rPr>
      <w:t>11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A9DB5">
    <w:pPr>
      <w:spacing w:line="143" w:lineRule="auto"/>
      <w:jc w:val="center"/>
    </w:pPr>
    <w:r>
      <w:rPr>
        <w:rFonts w:hint="eastAsia" w:ascii="Calibri" w:hAnsi="Calibri" w:eastAsia="Calibri"/>
        <w:color w:val="000000"/>
        <w:sz w:val="19"/>
      </w:rPr>
      <w:t>12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7427C">
    <w:pPr>
      <w:spacing w:line="119" w:lineRule="auto"/>
      <w:jc w:val="center"/>
    </w:pPr>
    <w:r>
      <w:rPr>
        <w:rFonts w:hint="eastAsia" w:ascii="Calibri" w:hAnsi="Calibri" w:eastAsia="Calibri"/>
        <w:color w:val="000000"/>
        <w:sz w:val="19"/>
      </w:rPr>
      <w:t>13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45EA6">
    <w:pPr>
      <w:spacing w:line="115" w:lineRule="auto"/>
      <w:jc w:val="center"/>
    </w:pPr>
    <w:r>
      <w:rPr>
        <w:rFonts w:hint="eastAsia" w:ascii="Calibri" w:hAnsi="Calibri" w:eastAsia="Calibri"/>
        <w:color w:val="000000"/>
        <w:sz w:val="17"/>
      </w:rPr>
      <w:t>14</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A27B7">
    <w:pPr>
      <w:spacing w:line="105" w:lineRule="auto"/>
      <w:jc w:val="center"/>
    </w:pPr>
    <w:r>
      <w:rPr>
        <w:rFonts w:hint="eastAsia" w:ascii="Calibri" w:hAnsi="Calibri" w:eastAsia="Calibri"/>
        <w:color w:val="000000"/>
        <w:sz w:val="18"/>
      </w:rPr>
      <w:t>15</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FF702">
    <w:pPr>
      <w:spacing w:line="129" w:lineRule="auto"/>
      <w:jc w:val="center"/>
    </w:pPr>
    <w:r>
      <w:rPr>
        <w:rFonts w:hint="eastAsia" w:ascii="Calibri" w:hAnsi="Calibri" w:eastAsia="Calibri"/>
        <w:color w:val="000000"/>
        <w:sz w:val="18"/>
      </w:rPr>
      <w:t>16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CF191">
    <w:pPr>
      <w:spacing w:line="119" w:lineRule="auto"/>
      <w:jc w:val="center"/>
    </w:pPr>
    <w:r>
      <w:rPr>
        <w:rFonts w:hint="eastAsia" w:ascii="Calibri" w:hAnsi="Calibri" w:eastAsia="Calibri"/>
        <w:color w:val="000000"/>
        <w:sz w:val="19"/>
      </w:rPr>
      <w:t>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8E6CE">
    <w:pPr>
      <w:spacing w:line="182" w:lineRule="auto"/>
      <w:jc w:val="center"/>
    </w:pPr>
    <w:r>
      <w:rPr>
        <w:rFonts w:hint="eastAsia" w:ascii="Calibri" w:hAnsi="Calibri" w:eastAsia="Calibri"/>
        <w:color w:val="000000"/>
        <w:sz w:val="19"/>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6E3E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E4739">
    <w:pPr>
      <w:spacing w:line="192" w:lineRule="auto"/>
      <w:jc w:val="center"/>
    </w:pPr>
    <w:r>
      <w:rPr>
        <w:rFonts w:hint="eastAsia" w:ascii="Calibri" w:hAnsi="Calibri" w:eastAsia="Calibri"/>
        <w:color w:val="000000"/>
        <w:sz w:val="18"/>
      </w:rPr>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FE590">
    <w:pPr>
      <w:spacing w:line="192" w:lineRule="auto"/>
      <w:jc w:val="center"/>
    </w:pPr>
    <w:r>
      <w:rPr>
        <w:rFonts w:hint="eastAsia" w:ascii="Calibri" w:hAnsi="Calibri" w:eastAsia="Calibri"/>
        <w:color w:val="000000"/>
        <w:sz w:val="18"/>
      </w:rPr>
      <w:t>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C1B58">
    <w:pPr>
      <w:spacing w:line="182" w:lineRule="auto"/>
      <w:jc w:val="center"/>
    </w:pPr>
    <w:r>
      <w:rPr>
        <w:rFonts w:hint="eastAsia" w:ascii="Calibri" w:hAnsi="Calibri" w:eastAsia="Calibri"/>
        <w:color w:val="000000"/>
        <w:sz w:val="19"/>
      </w:rPr>
      <w:t>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829A7">
    <w:pPr>
      <w:spacing w:line="192" w:lineRule="auto"/>
      <w:jc w:val="center"/>
    </w:pPr>
    <w:r>
      <w:rPr>
        <w:rFonts w:hint="eastAsia" w:ascii="Calibri" w:hAnsi="Calibri" w:eastAsia="Calibri"/>
        <w:color w:val="000000"/>
        <w:sz w:val="20"/>
      </w:rPr>
      <w:t>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45D0F">
    <w:pPr>
      <w:spacing w:line="182" w:lineRule="auto"/>
      <w:jc w:val="center"/>
    </w:pPr>
    <w:r>
      <w:rPr>
        <w:rFonts w:hint="eastAsia" w:ascii="Calibri" w:hAnsi="Calibri" w:eastAsia="Calibri"/>
        <w:color w:val="000000"/>
        <w:sz w:val="19"/>
      </w:rPr>
      <w:t>9</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9B8FA">
    <w:pPr>
      <w:spacing w:line="129" w:lineRule="auto"/>
      <w:jc w:val="center"/>
    </w:pPr>
    <w:r>
      <w:rPr>
        <w:rFonts w:hint="eastAsia" w:ascii="Calibri" w:hAnsi="Calibri" w:eastAsia="Calibri"/>
        <w:color w:val="000000"/>
        <w:sz w:val="18"/>
      </w:rPr>
      <w:t>10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1B3F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0D13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9F787"/>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8C50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5C68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9F636"/>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0575D"/>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47A7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9127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B5D5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C0B7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5DA6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B7E1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6BAF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E03D2"/>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6843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CE1B9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Arial"/>
      <w:sz w:val="21"/>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image" Target="media/image2.png"/><Relationship Id="rId36" Type="http://schemas.openxmlformats.org/officeDocument/2006/relationships/image" Target="media/image1.png"/><Relationship Id="rId35" Type="http://schemas.openxmlformats.org/officeDocument/2006/relationships/theme" Target="theme/theme1.xml"/><Relationship Id="rId34" Type="http://schemas.openxmlformats.org/officeDocument/2006/relationships/footer" Target="footer16.xml"/><Relationship Id="rId33" Type="http://schemas.openxmlformats.org/officeDocument/2006/relationships/header" Target="header16.xml"/><Relationship Id="rId32" Type="http://schemas.openxmlformats.org/officeDocument/2006/relationships/footer" Target="footer15.xml"/><Relationship Id="rId31" Type="http://schemas.openxmlformats.org/officeDocument/2006/relationships/header" Target="header15.xml"/><Relationship Id="rId30" Type="http://schemas.openxmlformats.org/officeDocument/2006/relationships/footer" Target="footer14.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header" Target="header13.xml"/><Relationship Id="rId26" Type="http://schemas.openxmlformats.org/officeDocument/2006/relationships/footer" Target="footer12.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7656</Words>
  <Characters>7979</Characters>
  <TotalTime>1</TotalTime>
  <ScaleCrop>false</ScaleCrop>
  <LinksUpToDate>false</LinksUpToDate>
  <CharactersWithSpaces>7982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2025-11-04T15:36:00Z</dcterms:created>
  <dc:creator>INTSIG</dc:creator>
  <dc:description>Intsig Word Converter</dc:description>
  <cp:lastModifiedBy>白羊</cp:lastModifiedBy>
  <dcterms:modified xsi:type="dcterms:W3CDTF">2025-11-05T04:10:54Z</dcterms:modified>
  <dc:title>wordbuilder</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eyJoZGlkIjoiYjM4NWYyMWE2NWU1OGNiMmIxMmZkYzA5MWEwNzJlZmIiLCJ1c2VySWQiOiI0MzE2NzY3NzkifQ==</vt:lpwstr>
  </property>
  <property fmtid="{D5CDD505-2E9C-101B-9397-08002B2CF9AE}" pid="3" name="KSOProductBuildVer">
    <vt:lpwstr>2052-12.1.0.23542</vt:lpwstr>
  </property>
  <property fmtid="{D5CDD505-2E9C-101B-9397-08002B2CF9AE}" pid="4" name="ICV">
    <vt:lpwstr>989F0FB78A8A4B8EB494551ED08DB19E_12</vt:lpwstr>
  </property>
</Properties>
</file>