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乌鲁木齐市水磨沟区人民代表大会常务委员会办公室2024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18AF448">
      <w:r>
        <w:br w:type="page"/>
      </w:r>
    </w:p>
    <w:p w14:paraId="6B759132">
      <w:pPr>
        <w:spacing w:line="640" w:lineRule="exact"/>
        <w:jc w:val="center"/>
        <w:outlineLvl w:val="1"/>
      </w:pPr>
      <w:r>
        <w:rPr>
          <w:rFonts w:ascii="黑体" w:hAnsi="黑体" w:eastAsia="黑体"/>
          <w:sz w:val="32"/>
        </w:rPr>
        <w:t>第一部分 单位概况</w:t>
      </w:r>
    </w:p>
    <w:p w14:paraId="6854FB41">
      <w:pPr>
        <w:spacing w:line="640" w:lineRule="exact"/>
        <w:ind w:firstLine="640"/>
        <w:jc w:val="both"/>
        <w:outlineLvl w:val="2"/>
      </w:pPr>
      <w:r>
        <w:rPr>
          <w:rFonts w:ascii="黑体" w:hAnsi="黑体" w:eastAsia="黑体"/>
          <w:sz w:val="32"/>
        </w:rPr>
        <w:t>一、主要职能</w:t>
      </w:r>
    </w:p>
    <w:p w14:paraId="23194FD5">
      <w:pPr>
        <w:spacing w:line="580" w:lineRule="exact"/>
        <w:ind w:firstLine="640"/>
        <w:jc w:val="both"/>
      </w:pPr>
      <w:r>
        <w:rPr>
          <w:rFonts w:ascii="仿宋_GB2312" w:hAnsi="仿宋_GB2312" w:eastAsia="仿宋_GB2312"/>
          <w:sz w:val="32"/>
        </w:rPr>
        <w:t>区人大常委会办公室是区人大常委会的综合办事机构，在区人大常委会和主任会议领导下开展工作。主要职责是。</w:t>
      </w:r>
    </w:p>
    <w:p w14:paraId="13511321">
      <w:pPr>
        <w:spacing w:line="580" w:lineRule="exact"/>
        <w:ind w:firstLine="640"/>
        <w:jc w:val="both"/>
      </w:pPr>
      <w:r>
        <w:rPr>
          <w:rFonts w:ascii="仿宋_GB2312" w:hAnsi="仿宋_GB2312" w:eastAsia="仿宋_GB2312"/>
          <w:sz w:val="32"/>
        </w:rPr>
        <w:t>（一）负责区人民代表大会、区人大常委会、主任会议和其他重要会议的组织和会务工作。</w:t>
      </w:r>
    </w:p>
    <w:p w14:paraId="69BEE52C">
      <w:pPr>
        <w:spacing w:line="580" w:lineRule="exact"/>
        <w:ind w:firstLine="640"/>
        <w:jc w:val="both"/>
      </w:pPr>
      <w:r>
        <w:rPr>
          <w:rFonts w:ascii="仿宋_GB2312" w:hAnsi="仿宋_GB2312" w:eastAsia="仿宋_GB2312"/>
          <w:sz w:val="32"/>
        </w:rPr>
        <w:t>（二）负责区人大常委会党组、区人大常委会、区人大常委会机关党组、区人大常委会办公室等重要文件，区人大常委会年度工作要点和计划安排的起草工作。</w:t>
      </w:r>
    </w:p>
    <w:p w14:paraId="4B96D669">
      <w:pPr>
        <w:spacing w:line="580" w:lineRule="exact"/>
        <w:ind w:firstLine="640"/>
        <w:jc w:val="both"/>
      </w:pPr>
      <w:r>
        <w:rPr>
          <w:rFonts w:ascii="仿宋_GB2312" w:hAnsi="仿宋_GB2312" w:eastAsia="仿宋_GB2312"/>
          <w:sz w:val="32"/>
        </w:rPr>
        <w:t>（三）负责区人民代表大会文件汇编工作；整理编发区人大常委会主任会议纪要；负责区人大常委会大事记工作以及图书资料的管理工作。</w:t>
      </w:r>
    </w:p>
    <w:p w14:paraId="5A5679F3">
      <w:pPr>
        <w:spacing w:line="580" w:lineRule="exact"/>
        <w:ind w:firstLine="640"/>
        <w:jc w:val="both"/>
      </w:pPr>
      <w:r>
        <w:rPr>
          <w:rFonts w:ascii="仿宋_GB2312" w:hAnsi="仿宋_GB2312" w:eastAsia="仿宋_GB2312"/>
          <w:sz w:val="32"/>
        </w:rPr>
        <w:t>（四）负责机关各工作室及工作人员目标管理绩效考核，组织完成机关的年度工作计划和总结。</w:t>
      </w:r>
    </w:p>
    <w:p w14:paraId="5BCB3B07">
      <w:pPr>
        <w:spacing w:line="580" w:lineRule="exact"/>
        <w:ind w:firstLine="640"/>
        <w:jc w:val="both"/>
      </w:pPr>
      <w:r>
        <w:rPr>
          <w:rFonts w:ascii="仿宋_GB2312" w:hAnsi="仿宋_GB2312" w:eastAsia="仿宋_GB2312"/>
          <w:sz w:val="32"/>
        </w:rPr>
        <w:t>（五）负责区人大常委会机关思想建设、制度建设、组织建设、作风建设、效能考核和精神文明创建等工作。</w:t>
      </w:r>
    </w:p>
    <w:p w14:paraId="243B47AD">
      <w:pPr>
        <w:spacing w:line="580" w:lineRule="exact"/>
        <w:ind w:firstLine="640"/>
        <w:jc w:val="both"/>
      </w:pPr>
      <w:r>
        <w:rPr>
          <w:rFonts w:ascii="仿宋_GB2312" w:hAnsi="仿宋_GB2312" w:eastAsia="仿宋_GB2312"/>
          <w:sz w:val="32"/>
        </w:rPr>
        <w:t>（六）负责区人大常委会机关文电、档案、文印、计算机管理、信息化建设和通讯联络等工作。</w:t>
      </w:r>
    </w:p>
    <w:p w14:paraId="0129FF42">
      <w:pPr>
        <w:spacing w:line="580" w:lineRule="exact"/>
        <w:ind w:firstLine="640"/>
        <w:jc w:val="both"/>
      </w:pPr>
      <w:r>
        <w:rPr>
          <w:rFonts w:ascii="仿宋_GB2312" w:hAnsi="仿宋_GB2312" w:eastAsia="仿宋_GB2312"/>
          <w:sz w:val="32"/>
        </w:rPr>
        <w:t>（七）负责区人大常委会机关的人事、工资、财务管理、安全保卫、后勤保障和离退休人员服务工作。</w:t>
      </w:r>
    </w:p>
    <w:p w14:paraId="75F3626E">
      <w:pPr>
        <w:spacing w:line="580" w:lineRule="exact"/>
        <w:ind w:firstLine="640"/>
        <w:jc w:val="both"/>
      </w:pPr>
      <w:r>
        <w:rPr>
          <w:rFonts w:ascii="仿宋_GB2312" w:hAnsi="仿宋_GB2312" w:eastAsia="仿宋_GB2312"/>
          <w:sz w:val="32"/>
        </w:rPr>
        <w:t>（八）根据区人大常委会主任会议的决定和安排，负责协调各工作机构的工作，督办区人大常委会领导交办的重要事项。</w:t>
      </w:r>
    </w:p>
    <w:p w14:paraId="043943E8">
      <w:pPr>
        <w:spacing w:line="580" w:lineRule="exact"/>
        <w:ind w:firstLine="640"/>
        <w:jc w:val="both"/>
      </w:pPr>
      <w:r>
        <w:rPr>
          <w:rFonts w:ascii="仿宋_GB2312" w:hAnsi="仿宋_GB2312" w:eastAsia="仿宋_GB2312"/>
          <w:sz w:val="32"/>
        </w:rPr>
        <w:t>（九）负责办理人民来信来访，催办、督办区人大常委会交办、转办的信访事项。</w:t>
      </w:r>
    </w:p>
    <w:p w14:paraId="726A5261">
      <w:pPr>
        <w:spacing w:line="580" w:lineRule="exact"/>
        <w:ind w:firstLine="640"/>
        <w:jc w:val="both"/>
      </w:pPr>
      <w:r>
        <w:rPr>
          <w:rFonts w:ascii="仿宋_GB2312" w:hAnsi="仿宋_GB2312" w:eastAsia="仿宋_GB2312"/>
          <w:sz w:val="32"/>
        </w:rPr>
        <w:t>（十）负责协调机关各办事机构的各项工作。</w:t>
      </w:r>
    </w:p>
    <w:p w14:paraId="071B96C1">
      <w:pPr>
        <w:spacing w:line="580" w:lineRule="exact"/>
        <w:ind w:firstLine="640"/>
        <w:jc w:val="both"/>
      </w:pPr>
      <w:r>
        <w:rPr>
          <w:rFonts w:ascii="仿宋_GB2312" w:hAnsi="仿宋_GB2312" w:eastAsia="仿宋_GB2312"/>
          <w:sz w:val="32"/>
        </w:rPr>
        <w:t>（十一）加强调查研究，搞好信息交流，提出需区人大常委会会议、主任会议审议讨论事项的意见和建议。</w:t>
      </w:r>
    </w:p>
    <w:p w14:paraId="078A2BBD">
      <w:pPr>
        <w:spacing w:line="580" w:lineRule="exact"/>
        <w:ind w:firstLine="640"/>
        <w:jc w:val="both"/>
      </w:pPr>
      <w:r>
        <w:rPr>
          <w:rFonts w:ascii="仿宋_GB2312" w:hAnsi="仿宋_GB2312" w:eastAsia="仿宋_GB2312"/>
          <w:sz w:val="32"/>
        </w:rPr>
        <w:t>（十二）负责办理机关日常行政后勤、财务、车辆管理等工作。</w:t>
      </w:r>
    </w:p>
    <w:p w14:paraId="0DB69A0F">
      <w:pPr>
        <w:spacing w:line="580" w:lineRule="exact"/>
        <w:ind w:firstLine="640"/>
        <w:jc w:val="both"/>
      </w:pPr>
      <w:r>
        <w:rPr>
          <w:rFonts w:ascii="仿宋_GB2312" w:hAnsi="仿宋_GB2312" w:eastAsia="仿宋_GB2312"/>
          <w:sz w:val="32"/>
        </w:rPr>
        <w:t>（十三）承办区人大及其常委会、主任会议交办的其他事项。</w:t>
      </w:r>
    </w:p>
    <w:p w14:paraId="40F193A3">
      <w:pPr>
        <w:spacing w:line="640" w:lineRule="exact"/>
        <w:ind w:firstLine="640"/>
        <w:jc w:val="both"/>
        <w:outlineLvl w:val="2"/>
      </w:pPr>
      <w:r>
        <w:rPr>
          <w:rFonts w:ascii="黑体" w:hAnsi="黑体" w:eastAsia="黑体"/>
          <w:sz w:val="32"/>
        </w:rPr>
        <w:t>二、机构设置及人员情况</w:t>
      </w:r>
    </w:p>
    <w:p w14:paraId="213849F4">
      <w:pPr>
        <w:spacing w:line="580" w:lineRule="exact"/>
        <w:ind w:firstLine="640"/>
        <w:jc w:val="both"/>
      </w:pPr>
      <w:r>
        <w:rPr>
          <w:rFonts w:ascii="仿宋_GB2312" w:hAnsi="仿宋_GB2312" w:eastAsia="仿宋_GB2312"/>
          <w:sz w:val="32"/>
        </w:rPr>
        <w:t>乌鲁木齐市水磨沟区人民代表大会常务委员会办公室2024年度，实有人数15人，其中：在职人员14人，增加5人；离休人员0人，增加0人；退休人员1人,增加0人。</w:t>
      </w:r>
    </w:p>
    <w:p w14:paraId="0E620AA1">
      <w:pPr>
        <w:spacing w:line="580" w:lineRule="exact"/>
        <w:ind w:firstLine="640"/>
        <w:jc w:val="both"/>
      </w:pPr>
      <w:r>
        <w:rPr>
          <w:rFonts w:ascii="仿宋_GB2312" w:hAnsi="仿宋_GB2312" w:eastAsia="仿宋_GB2312"/>
          <w:sz w:val="32"/>
        </w:rPr>
        <w:t>乌鲁木齐市水磨沟区人民代表大会常务委员会办公室无下属预算单位，下设</w:t>
      </w:r>
      <w:r>
        <w:rPr>
          <w:rFonts w:hint="eastAsia" w:ascii="仿宋_GB2312" w:hAnsi="仿宋_GB2312" w:eastAsia="仿宋_GB2312"/>
          <w:sz w:val="32"/>
          <w:lang w:val="en-US" w:eastAsia="zh-CN"/>
        </w:rPr>
        <w:t>0</w:t>
      </w:r>
      <w:r>
        <w:rPr>
          <w:rFonts w:ascii="仿宋_GB2312" w:hAnsi="仿宋_GB2312" w:eastAsia="仿宋_GB2312"/>
          <w:sz w:val="32"/>
        </w:rPr>
        <w:t>个科室，分别是：</w:t>
      </w:r>
      <w:r>
        <w:rPr>
          <w:rFonts w:hint="eastAsia" w:ascii="仿宋_GB2312" w:hAnsi="仿宋_GB2312" w:eastAsia="仿宋_GB2312"/>
          <w:sz w:val="32"/>
          <w:lang w:val="en-US" w:eastAsia="zh-CN"/>
        </w:rPr>
        <w:t>本单位无下设科室</w:t>
      </w:r>
      <w:r>
        <w:rPr>
          <w:rFonts w:ascii="仿宋_GB2312" w:hAnsi="仿宋_GB2312" w:eastAsia="仿宋_GB2312"/>
          <w:sz w:val="32"/>
        </w:rPr>
        <w:t>。</w:t>
      </w:r>
    </w:p>
    <w:p w14:paraId="2C0EC342">
      <w:r>
        <w:br w:type="page"/>
      </w:r>
    </w:p>
    <w:p w14:paraId="7BE8DC64">
      <w:pPr>
        <w:spacing w:line="240" w:lineRule="auto"/>
        <w:jc w:val="center"/>
        <w:outlineLvl w:val="1"/>
      </w:pPr>
      <w:r>
        <w:rPr>
          <w:rFonts w:ascii="黑体" w:hAnsi="黑体" w:eastAsia="黑体"/>
          <w:sz w:val="32"/>
        </w:rPr>
        <w:t>第二部分 部门决算情况说明</w:t>
      </w:r>
    </w:p>
    <w:p w14:paraId="7C8E91C8">
      <w:pPr>
        <w:spacing w:line="640" w:lineRule="exact"/>
        <w:ind w:firstLine="640"/>
        <w:jc w:val="both"/>
        <w:outlineLvl w:val="2"/>
      </w:pPr>
      <w:r>
        <w:rPr>
          <w:rFonts w:ascii="黑体" w:hAnsi="黑体" w:eastAsia="黑体"/>
          <w:sz w:val="32"/>
        </w:rPr>
        <w:t>一、收入支出决算总体情况说明</w:t>
      </w:r>
    </w:p>
    <w:p w14:paraId="5B9E559F">
      <w:pPr>
        <w:spacing w:line="580" w:lineRule="exact"/>
        <w:ind w:firstLine="640"/>
        <w:jc w:val="both"/>
      </w:pPr>
      <w:r>
        <w:rPr>
          <w:rFonts w:ascii="仿宋_GB2312" w:hAnsi="仿宋_GB2312" w:eastAsia="仿宋_GB2312"/>
          <w:b/>
          <w:sz w:val="32"/>
        </w:rPr>
        <w:t>2024年度收入总计280.80万元，</w:t>
      </w:r>
      <w:r>
        <w:rPr>
          <w:rFonts w:ascii="仿宋_GB2312" w:hAnsi="仿宋_GB2312" w:eastAsia="仿宋_GB2312"/>
          <w:b w:val="0"/>
          <w:sz w:val="32"/>
        </w:rPr>
        <w:t>其中：本年收入合计274.96万元，使用非财政拨款结余（含专用结余）0.00万元，年初结转和结余5.84万元。</w:t>
      </w:r>
    </w:p>
    <w:p w14:paraId="35F2F021">
      <w:pPr>
        <w:spacing w:line="580" w:lineRule="exact"/>
        <w:ind w:firstLine="640"/>
        <w:jc w:val="both"/>
      </w:pPr>
      <w:r>
        <w:rPr>
          <w:rFonts w:ascii="仿宋_GB2312" w:hAnsi="仿宋_GB2312" w:eastAsia="仿宋_GB2312"/>
          <w:b/>
          <w:sz w:val="32"/>
        </w:rPr>
        <w:t>2024年度支出总计280.80万元，</w:t>
      </w:r>
      <w:r>
        <w:rPr>
          <w:rFonts w:ascii="仿宋_GB2312" w:hAnsi="仿宋_GB2312" w:eastAsia="仿宋_GB2312"/>
          <w:b w:val="0"/>
          <w:sz w:val="32"/>
        </w:rPr>
        <w:t>其中：本年支出合计274.96万元，结余分配0.00万元，年末结转和结余5.84万元。</w:t>
      </w:r>
    </w:p>
    <w:p w14:paraId="2A5ABF8E">
      <w:pPr>
        <w:spacing w:line="580" w:lineRule="exact"/>
        <w:ind w:firstLine="640"/>
        <w:jc w:val="both"/>
      </w:pPr>
      <w:r>
        <w:rPr>
          <w:rFonts w:ascii="仿宋_GB2312" w:hAnsi="仿宋_GB2312" w:eastAsia="仿宋_GB2312"/>
          <w:b w:val="0"/>
          <w:sz w:val="32"/>
        </w:rPr>
        <w:t>收入支出总体与上年相比，增加0.34万元，增长0.12%，主要原因是：本年在职人员增加，在职人员工资调增、社保、公积金基数调增，人员经费增加。</w:t>
      </w:r>
    </w:p>
    <w:p w14:paraId="2D3D0094">
      <w:pPr>
        <w:spacing w:line="640" w:lineRule="exact"/>
        <w:ind w:firstLine="640"/>
        <w:jc w:val="both"/>
        <w:outlineLvl w:val="2"/>
      </w:pPr>
      <w:r>
        <w:rPr>
          <w:rFonts w:ascii="黑体" w:hAnsi="黑体" w:eastAsia="黑体"/>
          <w:sz w:val="32"/>
        </w:rPr>
        <w:t>二、收入决算情况说明</w:t>
      </w:r>
    </w:p>
    <w:p w14:paraId="261FB34E">
      <w:pPr>
        <w:spacing w:line="580" w:lineRule="exact"/>
        <w:ind w:firstLine="640"/>
        <w:jc w:val="both"/>
      </w:pPr>
      <w:r>
        <w:rPr>
          <w:rFonts w:ascii="仿宋_GB2312" w:hAnsi="仿宋_GB2312" w:eastAsia="仿宋_GB2312"/>
          <w:b/>
          <w:sz w:val="32"/>
        </w:rPr>
        <w:t>本年收入274.96万元，</w:t>
      </w:r>
      <w:r>
        <w:rPr>
          <w:rFonts w:ascii="仿宋_GB2312" w:hAnsi="仿宋_GB2312" w:eastAsia="仿宋_GB2312"/>
          <w:b w:val="0"/>
          <w:sz w:val="32"/>
        </w:rPr>
        <w:t>其中：财政拨款收入274.94万元，占99.99%；上级补助收入0.00万元，占0.00%；事业收入0.00万元，占0.00%；经营收入0.00万元，占0.00%；附属单位上缴收入0.00万元，占0.00%；其他收入0.02万元，占0.007%。</w:t>
      </w:r>
    </w:p>
    <w:p w14:paraId="215258A6">
      <w:pPr>
        <w:spacing w:line="640" w:lineRule="exact"/>
        <w:ind w:firstLine="640"/>
        <w:jc w:val="both"/>
        <w:outlineLvl w:val="2"/>
      </w:pPr>
      <w:r>
        <w:rPr>
          <w:rFonts w:ascii="黑体" w:hAnsi="黑体" w:eastAsia="黑体"/>
          <w:sz w:val="32"/>
        </w:rPr>
        <w:t>三、支出决算情况说明</w:t>
      </w:r>
    </w:p>
    <w:p w14:paraId="4353A79A">
      <w:pPr>
        <w:spacing w:line="580" w:lineRule="exact"/>
        <w:ind w:firstLine="640"/>
        <w:jc w:val="both"/>
      </w:pPr>
      <w:r>
        <w:rPr>
          <w:rFonts w:ascii="仿宋_GB2312" w:hAnsi="仿宋_GB2312" w:eastAsia="仿宋_GB2312"/>
          <w:b/>
          <w:sz w:val="32"/>
        </w:rPr>
        <w:t>本年支出274.96万元，</w:t>
      </w:r>
      <w:r>
        <w:rPr>
          <w:rFonts w:ascii="仿宋_GB2312" w:hAnsi="仿宋_GB2312" w:eastAsia="仿宋_GB2312"/>
          <w:b w:val="0"/>
          <w:sz w:val="32"/>
        </w:rPr>
        <w:t>其中：基本支出245.99万元，占89.46%；项目支出28.97万元，占10.54%；上缴上级支出0.00万元，占0.00%；经营支出0.00万元，占0.00%；对附属单位补助支出0.00万元，占0.00%。</w:t>
      </w:r>
    </w:p>
    <w:p w14:paraId="593D20AA">
      <w:pPr>
        <w:spacing w:line="640" w:lineRule="exact"/>
        <w:ind w:firstLine="640"/>
        <w:jc w:val="both"/>
        <w:outlineLvl w:val="2"/>
      </w:pPr>
      <w:r>
        <w:rPr>
          <w:rFonts w:ascii="黑体" w:hAnsi="黑体" w:eastAsia="黑体"/>
          <w:sz w:val="32"/>
        </w:rPr>
        <w:t>四、财政拨款收入支出决算总体情况说明</w:t>
      </w:r>
    </w:p>
    <w:p w14:paraId="5B001B9D">
      <w:pPr>
        <w:spacing w:line="580" w:lineRule="exact"/>
        <w:ind w:firstLine="640"/>
        <w:jc w:val="both"/>
      </w:pPr>
      <w:r>
        <w:rPr>
          <w:rFonts w:ascii="仿宋_GB2312" w:hAnsi="仿宋_GB2312" w:eastAsia="仿宋_GB2312"/>
          <w:b/>
          <w:sz w:val="32"/>
        </w:rPr>
        <w:t>2024年度财政拨款收入总计274.94万元，</w:t>
      </w:r>
      <w:r>
        <w:rPr>
          <w:rFonts w:ascii="仿宋_GB2312" w:hAnsi="仿宋_GB2312" w:eastAsia="仿宋_GB2312"/>
          <w:b w:val="0"/>
          <w:sz w:val="32"/>
        </w:rPr>
        <w:t>其中：年初财政拨款结转和结余0.00万元，本年财政拨款收入274.94万元。</w:t>
      </w:r>
      <w:r>
        <w:rPr>
          <w:rFonts w:ascii="仿宋_GB2312" w:hAnsi="仿宋_GB2312" w:eastAsia="仿宋_GB2312"/>
          <w:b/>
          <w:sz w:val="32"/>
        </w:rPr>
        <w:t>财政拨款支出总计274.94万元，</w:t>
      </w:r>
      <w:r>
        <w:rPr>
          <w:rFonts w:ascii="仿宋_GB2312" w:hAnsi="仿宋_GB2312" w:eastAsia="仿宋_GB2312"/>
          <w:b w:val="0"/>
          <w:sz w:val="32"/>
        </w:rPr>
        <w:t>其中：年末财政拨款结转和结余0.00万元，本年财政拨款支出274.94万元。</w:t>
      </w:r>
    </w:p>
    <w:p w14:paraId="3078DD4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增加2.78万元，增长1.02%，主要原因是：本年在职人员增加，在职人员工资调增、社保、公积金基数调增，人员经费增加。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年初预算数751.78万元，决算数274.94万元，预决算差异率-63.43%，主要原因是：年中调减包联领导工作经费、基层人大补助经费，导致预决算存在差异。</w:t>
      </w:r>
    </w:p>
    <w:p w14:paraId="04B57201">
      <w:pPr>
        <w:spacing w:line="640" w:lineRule="exact"/>
        <w:ind w:firstLine="640"/>
        <w:jc w:val="both"/>
        <w:outlineLvl w:val="2"/>
      </w:pPr>
      <w:r>
        <w:rPr>
          <w:rFonts w:ascii="黑体" w:hAnsi="黑体" w:eastAsia="黑体"/>
          <w:sz w:val="32"/>
        </w:rPr>
        <w:t>五、一般公共预算财政拨款支出决算情况说明</w:t>
      </w:r>
    </w:p>
    <w:p w14:paraId="1469AA08">
      <w:pPr>
        <w:spacing w:line="640" w:lineRule="exact"/>
        <w:ind w:firstLine="640"/>
        <w:jc w:val="both"/>
        <w:outlineLvl w:val="3"/>
      </w:pPr>
      <w:r>
        <w:rPr>
          <w:rFonts w:ascii="楷体_GB2312" w:hAnsi="楷体_GB2312" w:eastAsia="楷体_GB2312"/>
          <w:b/>
          <w:sz w:val="32"/>
        </w:rPr>
        <w:t>（一）一般公共预算财政拨款支出决算总体情况</w:t>
      </w:r>
    </w:p>
    <w:p w14:paraId="09249C1C">
      <w:pPr>
        <w:spacing w:line="580" w:lineRule="exact"/>
        <w:ind w:firstLine="640"/>
        <w:jc w:val="both"/>
      </w:pPr>
      <w:r>
        <w:rPr>
          <w:rFonts w:ascii="仿宋_GB2312" w:hAnsi="仿宋_GB2312" w:eastAsia="仿宋_GB2312"/>
          <w:b/>
          <w:sz w:val="32"/>
        </w:rPr>
        <w:t>2024年度一般公共预算财政拨款支出274.94万元，</w:t>
      </w:r>
      <w:r>
        <w:rPr>
          <w:rFonts w:ascii="仿宋_GB2312" w:hAnsi="仿宋_GB2312" w:eastAsia="仿宋_GB2312"/>
          <w:b w:val="0"/>
          <w:sz w:val="32"/>
        </w:rPr>
        <w:t>占本年支出合计的99.99%。</w:t>
      </w:r>
      <w:r>
        <w:rPr>
          <w:rFonts w:ascii="仿宋_GB2312" w:hAnsi="仿宋_GB2312" w:eastAsia="仿宋_GB2312"/>
          <w:b/>
          <w:sz w:val="32"/>
        </w:rPr>
        <w:t>与上年相比，</w:t>
      </w:r>
      <w:r>
        <w:rPr>
          <w:rFonts w:ascii="仿宋_GB2312" w:hAnsi="仿宋_GB2312" w:eastAsia="仿宋_GB2312"/>
          <w:b w:val="0"/>
          <w:sz w:val="32"/>
        </w:rPr>
        <w:t>增加5.88万元，增长2.19%，主要原因是：本年在职人员增加，在职人员工资调增、社保、公积金基数调增，人员经费增加。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年初预算数751.78万元，决算数274.94万元，预决算差异率-63.43%，主要原因是：年中调减包联领导工作经费、基层人大补助经费，导致预决算存在差异。</w:t>
      </w:r>
    </w:p>
    <w:p w14:paraId="7D7D0C78">
      <w:pPr>
        <w:spacing w:line="640" w:lineRule="exact"/>
        <w:ind w:firstLine="640"/>
        <w:jc w:val="both"/>
        <w:outlineLvl w:val="3"/>
      </w:pPr>
      <w:r>
        <w:rPr>
          <w:rFonts w:ascii="楷体_GB2312" w:hAnsi="楷体_GB2312" w:eastAsia="楷体_GB2312"/>
          <w:b/>
          <w:sz w:val="32"/>
        </w:rPr>
        <w:t>（二）一般公共预算财政拨款支出决算结构情况</w:t>
      </w:r>
    </w:p>
    <w:p w14:paraId="5C883013">
      <w:pPr>
        <w:spacing w:line="580" w:lineRule="exact"/>
        <w:ind w:firstLine="640"/>
        <w:jc w:val="both"/>
      </w:pPr>
      <w:r>
        <w:rPr>
          <w:rFonts w:ascii="仿宋_GB2312" w:hAnsi="仿宋_GB2312" w:eastAsia="仿宋_GB2312"/>
          <w:b w:val="0"/>
          <w:sz w:val="32"/>
        </w:rPr>
        <w:t>1.一般公共服务支出(类)254.01万元,占92.39%。</w:t>
      </w:r>
    </w:p>
    <w:p w14:paraId="1D43AC12">
      <w:pPr>
        <w:spacing w:line="580" w:lineRule="exact"/>
        <w:ind w:firstLine="640"/>
        <w:jc w:val="both"/>
      </w:pPr>
      <w:r>
        <w:rPr>
          <w:rFonts w:ascii="仿宋_GB2312" w:hAnsi="仿宋_GB2312" w:eastAsia="仿宋_GB2312"/>
          <w:b w:val="0"/>
          <w:sz w:val="32"/>
        </w:rPr>
        <w:t>2.社会保障和就业支出(类)20.93万元,占7.61%。</w:t>
      </w:r>
    </w:p>
    <w:p w14:paraId="14D5B425">
      <w:pPr>
        <w:spacing w:line="640" w:lineRule="exact"/>
        <w:ind w:firstLine="640"/>
        <w:jc w:val="both"/>
        <w:outlineLvl w:val="3"/>
      </w:pPr>
      <w:r>
        <w:rPr>
          <w:rFonts w:ascii="楷体_GB2312" w:hAnsi="楷体_GB2312" w:eastAsia="楷体_GB2312"/>
          <w:b/>
          <w:sz w:val="32"/>
        </w:rPr>
        <w:t>（三）一般公共预算财政拨款支出决算具体情况</w:t>
      </w:r>
    </w:p>
    <w:p w14:paraId="648203A9">
      <w:pPr>
        <w:spacing w:line="580" w:lineRule="exact"/>
        <w:ind w:firstLine="640"/>
        <w:jc w:val="both"/>
      </w:pPr>
      <w:r>
        <w:rPr>
          <w:rFonts w:ascii="仿宋_GB2312" w:hAnsi="仿宋_GB2312" w:eastAsia="仿宋_GB2312"/>
          <w:b w:val="0"/>
          <w:sz w:val="32"/>
        </w:rPr>
        <w:t>1.一般公共服务支出(类)人大事务(款)行政运行(项):支出决算数为225.04万元，比上年决算增加50.01万元，增长28.57%,主要原因是：本年在职人员增加，在职人员工资调增、公积金基数调增，人员经费增加。</w:t>
      </w:r>
    </w:p>
    <w:p w14:paraId="29C092D3">
      <w:pPr>
        <w:spacing w:line="580" w:lineRule="exact"/>
        <w:ind w:firstLine="640"/>
        <w:jc w:val="both"/>
      </w:pPr>
      <w:r>
        <w:rPr>
          <w:rFonts w:ascii="仿宋_GB2312" w:hAnsi="仿宋_GB2312" w:eastAsia="仿宋_GB2312"/>
          <w:b w:val="0"/>
          <w:sz w:val="32"/>
        </w:rPr>
        <w:t>2.一般公共服务支出(类)人大事务(款)人大会议(项):支出决算数为23.55万元，比上年决算增加23.55万元，增长100.00%,主要原因是：本年增加人大会议经费支出。</w:t>
      </w:r>
    </w:p>
    <w:p w14:paraId="23E43D7C">
      <w:pPr>
        <w:spacing w:line="580" w:lineRule="exact"/>
        <w:ind w:firstLine="640"/>
        <w:jc w:val="both"/>
      </w:pPr>
      <w:r>
        <w:rPr>
          <w:rFonts w:ascii="仿宋_GB2312" w:hAnsi="仿宋_GB2312" w:eastAsia="仿宋_GB2312"/>
          <w:b w:val="0"/>
          <w:sz w:val="32"/>
        </w:rPr>
        <w:t>3.一般公共服务支出(类)人大事务(款)其他人大事务支出(项):支出决算数为5.42万元，比上年决算减少63.10万元，下降92.09%,主要原因是：本年减少雇员、临聘人员劳务费支出。</w:t>
      </w:r>
    </w:p>
    <w:p w14:paraId="6FCC8AA2">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0.83万元，比上年决算增加0.83万元，增长100.00%,主要原因是：本年功能科目调整，行政单位离退休上年度在主科目列支，本年单独列支，导致经费较上年增加。</w:t>
      </w:r>
    </w:p>
    <w:p w14:paraId="199C5157">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20.10万元，比上年决算增加10.98万元，增长120.39%,主要原因是：本年在职人员增加，人员工资基数调增，养老缴费基数上涨，养老保险缴费较上年增加。</w:t>
      </w:r>
    </w:p>
    <w:p w14:paraId="2B454AE2">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0.00万元，比上年决算减少16.39万元，下降100.00%,主要原因是：本年度无新增退休人员，职业年金缴费较上年减少。</w:t>
      </w:r>
    </w:p>
    <w:p w14:paraId="0C891D87">
      <w:pPr>
        <w:spacing w:line="640" w:lineRule="exact"/>
        <w:ind w:firstLine="640"/>
        <w:jc w:val="both"/>
        <w:outlineLvl w:val="2"/>
      </w:pPr>
      <w:r>
        <w:rPr>
          <w:rFonts w:ascii="黑体" w:hAnsi="黑体" w:eastAsia="黑体"/>
          <w:sz w:val="32"/>
        </w:rPr>
        <w:t>六、一般公共预算财政拨款基本支出决算情况说明</w:t>
      </w:r>
    </w:p>
    <w:p w14:paraId="163E9062">
      <w:pPr>
        <w:spacing w:line="580" w:lineRule="exact"/>
        <w:ind w:firstLine="640"/>
        <w:jc w:val="both"/>
      </w:pPr>
      <w:r>
        <w:rPr>
          <w:rFonts w:ascii="仿宋_GB2312" w:hAnsi="仿宋_GB2312" w:eastAsia="仿宋_GB2312"/>
          <w:b w:val="0"/>
          <w:sz w:val="32"/>
        </w:rPr>
        <w:t>2024年度一般公共预算财政拨款基本支出245.97万元，其中：</w:t>
      </w:r>
      <w:r>
        <w:rPr>
          <w:rFonts w:ascii="仿宋_GB2312" w:hAnsi="仿宋_GB2312" w:eastAsia="仿宋_GB2312"/>
          <w:b/>
          <w:sz w:val="32"/>
        </w:rPr>
        <w:t>人员经费242.16万元，</w:t>
      </w:r>
      <w:r>
        <w:rPr>
          <w:rFonts w:ascii="仿宋_GB2312" w:hAnsi="仿宋_GB2312" w:eastAsia="仿宋_GB2312"/>
          <w:b w:val="0"/>
          <w:sz w:val="32"/>
        </w:rPr>
        <w:t>包括：基本工资、津贴补贴、奖金、机关事业单位基本养老保险缴费、职工基本医疗保险缴费、公务员医疗补助缴费、其他社会保障缴费、住房公积金、退休费。</w:t>
      </w:r>
    </w:p>
    <w:p w14:paraId="4494C232">
      <w:pPr>
        <w:spacing w:line="580" w:lineRule="exact"/>
        <w:ind w:firstLine="640"/>
        <w:jc w:val="both"/>
      </w:pPr>
      <w:r>
        <w:rPr>
          <w:rFonts w:ascii="仿宋_GB2312" w:hAnsi="仿宋_GB2312" w:eastAsia="仿宋_GB2312"/>
          <w:b/>
          <w:sz w:val="32"/>
        </w:rPr>
        <w:t>公用经费3.82万元，</w:t>
      </w:r>
      <w:r>
        <w:rPr>
          <w:rFonts w:ascii="仿宋_GB2312" w:hAnsi="仿宋_GB2312" w:eastAsia="仿宋_GB2312"/>
          <w:b w:val="0"/>
          <w:sz w:val="32"/>
        </w:rPr>
        <w:t>包括：办公费、邮电费。</w:t>
      </w:r>
    </w:p>
    <w:p w14:paraId="0B46A6A4">
      <w:pPr>
        <w:spacing w:line="640" w:lineRule="exact"/>
        <w:ind w:firstLine="640"/>
        <w:jc w:val="both"/>
        <w:outlineLvl w:val="2"/>
      </w:pPr>
      <w:r>
        <w:rPr>
          <w:rFonts w:ascii="黑体" w:hAnsi="黑体" w:eastAsia="黑体"/>
          <w:sz w:val="32"/>
        </w:rPr>
        <w:t>七、政府性基金预算财政拨款收入支出决算情况说明</w:t>
      </w:r>
    </w:p>
    <w:p w14:paraId="27629AAC">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DFBA180">
      <w:pPr>
        <w:spacing w:line="640" w:lineRule="exact"/>
        <w:ind w:firstLine="640"/>
        <w:jc w:val="both"/>
        <w:outlineLvl w:val="2"/>
      </w:pPr>
      <w:r>
        <w:rPr>
          <w:rFonts w:ascii="黑体" w:hAnsi="黑体" w:eastAsia="黑体"/>
          <w:sz w:val="32"/>
        </w:rPr>
        <w:t>八、国有资本经营预算财政拨款收入支出决算情况说明</w:t>
      </w:r>
    </w:p>
    <w:p w14:paraId="56A33475">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A2B46A3">
      <w:pPr>
        <w:spacing w:line="640" w:lineRule="exact"/>
        <w:ind w:firstLine="640"/>
        <w:jc w:val="both"/>
        <w:outlineLvl w:val="2"/>
      </w:pPr>
      <w:r>
        <w:rPr>
          <w:rFonts w:ascii="黑体" w:hAnsi="黑体" w:eastAsia="黑体"/>
          <w:sz w:val="32"/>
        </w:rPr>
        <w:t>九、财政拨款“三公”经费支出决算情况说明</w:t>
      </w:r>
    </w:p>
    <w:p w14:paraId="18575405">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0BB1FE14">
      <w:pPr>
        <w:spacing w:line="580" w:lineRule="exact"/>
        <w:ind w:firstLine="640"/>
        <w:jc w:val="both"/>
      </w:pPr>
      <w:r>
        <w:rPr>
          <w:rFonts w:ascii="仿宋_GB2312" w:hAnsi="仿宋_GB2312" w:eastAsia="仿宋_GB2312"/>
          <w:b/>
          <w:sz w:val="32"/>
        </w:rPr>
        <w:t>具体情况如下：</w:t>
      </w:r>
    </w:p>
    <w:p w14:paraId="4C8FB74B">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439E144E">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3辆，与公务用车保有量差异原因是：本单位车辆借给其他单位使用，车辆费用由使用单位支付。</w:t>
      </w:r>
    </w:p>
    <w:p w14:paraId="76DD1BD9">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5BB0B77A">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64147BD2">
      <w:pPr>
        <w:spacing w:line="640" w:lineRule="exact"/>
        <w:ind w:firstLine="640"/>
        <w:jc w:val="both"/>
        <w:outlineLvl w:val="2"/>
      </w:pPr>
      <w:r>
        <w:rPr>
          <w:rFonts w:ascii="黑体" w:hAnsi="黑体" w:eastAsia="黑体"/>
          <w:sz w:val="32"/>
        </w:rPr>
        <w:t>十、其他重要事项的情况说明</w:t>
      </w:r>
    </w:p>
    <w:p w14:paraId="5B028280">
      <w:pPr>
        <w:spacing w:line="640" w:lineRule="exact"/>
        <w:ind w:firstLine="640"/>
        <w:jc w:val="both"/>
        <w:outlineLvl w:val="3"/>
      </w:pPr>
      <w:r>
        <w:rPr>
          <w:rFonts w:ascii="楷体_GB2312" w:hAnsi="楷体_GB2312" w:eastAsia="楷体_GB2312"/>
          <w:b/>
          <w:sz w:val="32"/>
        </w:rPr>
        <w:t>（一）机关运行经费及公用经费支出情况</w:t>
      </w:r>
    </w:p>
    <w:p w14:paraId="508D382C">
      <w:pPr>
        <w:spacing w:line="580" w:lineRule="exact"/>
        <w:ind w:firstLine="640"/>
        <w:jc w:val="both"/>
      </w:pPr>
      <w:r>
        <w:rPr>
          <w:rFonts w:ascii="仿宋_GB2312" w:hAnsi="仿宋_GB2312" w:eastAsia="仿宋_GB2312"/>
          <w:b w:val="0"/>
          <w:sz w:val="32"/>
        </w:rPr>
        <w:t>2024年度乌鲁木齐市水磨沟区人民代表大会常务委员会办公室（行政单位和参照公务员法管理事业单位）机关运行经费支出3.82万元，比上年减少0.49万元，下降11.37%，主要原因是：本年度差旅费、电话费、印刷费支出减少，导致机关运行经费支出减少。</w:t>
      </w:r>
    </w:p>
    <w:p w14:paraId="5FD8183B">
      <w:pPr>
        <w:spacing w:line="640" w:lineRule="exact"/>
        <w:ind w:firstLine="640"/>
        <w:jc w:val="both"/>
        <w:outlineLvl w:val="3"/>
      </w:pPr>
      <w:r>
        <w:rPr>
          <w:rFonts w:ascii="楷体_GB2312" w:hAnsi="楷体_GB2312" w:eastAsia="楷体_GB2312"/>
          <w:b/>
          <w:sz w:val="32"/>
        </w:rPr>
        <w:t>（二）政府采购情况</w:t>
      </w:r>
    </w:p>
    <w:p w14:paraId="10E10F8E">
      <w:pPr>
        <w:spacing w:line="580" w:lineRule="exact"/>
        <w:ind w:firstLine="640"/>
        <w:jc w:val="both"/>
      </w:pPr>
      <w:r>
        <w:rPr>
          <w:rFonts w:ascii="仿宋_GB2312" w:hAnsi="仿宋_GB2312" w:eastAsia="仿宋_GB2312"/>
          <w:b w:val="0"/>
          <w:sz w:val="32"/>
        </w:rPr>
        <w:t>2024年度政府采购支出总额0.42万元，其中：政府采购货物支出0.42万元、政府采购工程支出0.00万元、政府采购服务支出0.00万元。</w:t>
      </w:r>
    </w:p>
    <w:p w14:paraId="2367D428">
      <w:pPr>
        <w:spacing w:line="580" w:lineRule="exact"/>
        <w:ind w:firstLine="640"/>
        <w:jc w:val="both"/>
      </w:pPr>
      <w:r>
        <w:rPr>
          <w:rFonts w:ascii="仿宋_GB2312" w:hAnsi="仿宋_GB2312" w:eastAsia="仿宋_GB2312"/>
          <w:b w:val="0"/>
          <w:sz w:val="32"/>
        </w:rPr>
        <w:t>授予中小企业合同金额0.42万元，占政府采购支出总额的100.00%，其中：授予小微企业合同金额0.42万元，占政府采购支出总额的100.00%。</w:t>
      </w:r>
    </w:p>
    <w:p w14:paraId="0C52DC25">
      <w:pPr>
        <w:spacing w:line="640" w:lineRule="exact"/>
        <w:ind w:firstLine="640"/>
        <w:jc w:val="both"/>
        <w:outlineLvl w:val="3"/>
      </w:pPr>
      <w:r>
        <w:rPr>
          <w:rFonts w:ascii="楷体_GB2312" w:hAnsi="楷体_GB2312" w:eastAsia="楷体_GB2312"/>
          <w:b/>
          <w:sz w:val="32"/>
        </w:rPr>
        <w:t>（三）国有资产占用情况说明</w:t>
      </w:r>
    </w:p>
    <w:p w14:paraId="579DAEC2">
      <w:pPr>
        <w:spacing w:line="580" w:lineRule="exact"/>
        <w:ind w:firstLine="640"/>
        <w:jc w:val="both"/>
      </w:pPr>
      <w:r>
        <w:rPr>
          <w:rFonts w:ascii="仿宋_GB2312" w:hAnsi="仿宋_GB2312" w:eastAsia="仿宋_GB2312"/>
          <w:b w:val="0"/>
          <w:sz w:val="32"/>
        </w:rPr>
        <w:t>截至2024年12月31日，房屋0.00平方米，价值0.00万元。车辆3辆，价值51.90万元，其中：副部（省）级及以上领导用车0辆、主要负责人用车0辆、机要通信用车0辆、应急保障用车0辆、执法执勤用车0辆、特种专业技术用车0辆、离退休干部服务用车0辆、其他用车3辆，其他用车主要是：本单位业务用车。单价100万元（含）以上设备（不含车辆）0台（套）。</w:t>
      </w:r>
    </w:p>
    <w:p w14:paraId="0C8FA611">
      <w:pPr>
        <w:spacing w:line="640" w:lineRule="exact"/>
        <w:ind w:firstLine="640"/>
        <w:jc w:val="both"/>
        <w:outlineLvl w:val="2"/>
      </w:pPr>
      <w:r>
        <w:rPr>
          <w:rFonts w:ascii="黑体" w:hAnsi="黑体" w:eastAsia="黑体"/>
          <w:sz w:val="32"/>
        </w:rPr>
        <w:t>十一、预算绩效的情况说明</w:t>
      </w:r>
    </w:p>
    <w:p w14:paraId="76A186D5">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280.80万元，实际执行总额274.96万元；预算绩效评价项目2个，全年预算数52.48万元，全年执行数35.18万元。预算绩效管理取得的成效：水磨沟</w:t>
      </w:r>
      <w:r>
        <w:rPr>
          <w:rFonts w:hint="eastAsia" w:ascii="仿宋_GB2312" w:hAnsi="仿宋_GB2312" w:eastAsia="仿宋_GB2312"/>
          <w:b w:val="0"/>
          <w:sz w:val="32"/>
          <w:lang w:eastAsia="zh-CN"/>
        </w:rPr>
        <w:t>区人</w:t>
      </w:r>
      <w:r>
        <w:rPr>
          <w:rFonts w:ascii="仿宋_GB2312" w:hAnsi="仿宋_GB2312" w:eastAsia="仿宋_GB2312"/>
          <w:b w:val="0"/>
          <w:sz w:val="32"/>
        </w:rPr>
        <w:t>大常委会办公室坚持以习近平新时代中国特色社会主义思想为指导，深入学习贯彻党的二十大精神、二中、三中全会精神，贯彻落实自治区党委、市委及区委安排部署精神，贯彻落实自治区人大、市人大工作会议精神，坚定不移坚持党对人大工作的全面领导，旗帜鲜明讲政治，增强“四个意识”、坚定“四个自信”、做到“两个维护”，不断提升服务保障能力，开创新时代人大工作新局面。按计划召开水磨沟区第十七届人民代表大会第五次会议，听取和审议各项工作报告，加强对“一府一委两院”的监督，充分发挥好人大代表作用，认真履行好人大常委会的各项职能，适应新常态，展现新作为，变化变革，敢于担当，</w:t>
      </w:r>
      <w:r>
        <w:rPr>
          <w:rFonts w:hint="eastAsia" w:ascii="仿宋_GB2312" w:hAnsi="仿宋_GB2312" w:eastAsia="仿宋_GB2312"/>
          <w:b w:val="0"/>
          <w:sz w:val="32"/>
          <w:lang w:eastAsia="zh-CN"/>
        </w:rPr>
        <w:t>不忘初心、</w:t>
      </w:r>
      <w:r>
        <w:rPr>
          <w:rFonts w:ascii="仿宋_GB2312" w:hAnsi="仿宋_GB2312" w:eastAsia="仿宋_GB2312"/>
          <w:b w:val="0"/>
          <w:sz w:val="32"/>
        </w:rPr>
        <w:t>继续前进，为维护社会稳定、推动经济健康发展、改善民生、建设法治水区做出新的贡献。按时发放雇员工资，保障办公室工作正常开展。发现的问题及原因：1.相关绩效管理方面专业知识的系统性学习有待加强。各项指标的设置要进一步优化、完善，主要在细化、量化上改进。在绩效自评过程中，</w:t>
      </w:r>
      <w:r>
        <w:rPr>
          <w:rFonts w:hint="eastAsia" w:ascii="仿宋_GB2312" w:hAnsi="仿宋_GB2312" w:eastAsia="仿宋_GB2312"/>
          <w:b w:val="0"/>
          <w:sz w:val="32"/>
          <w:lang w:eastAsia="zh-CN"/>
        </w:rPr>
        <w:t>由于</w:t>
      </w:r>
      <w:r>
        <w:rPr>
          <w:rFonts w:ascii="仿宋_GB2312" w:hAnsi="仿宋_GB2312" w:eastAsia="仿宋_GB2312"/>
          <w:b w:val="0"/>
          <w:sz w:val="32"/>
        </w:rPr>
        <w:t>部分人员缺乏相关绩效管理专业知识，评价工作还存在自我审定的局限性，影响评价质量。2.因轮岗、调动等因素使</w:t>
      </w:r>
      <w:r>
        <w:rPr>
          <w:rFonts w:hint="eastAsia" w:ascii="仿宋_GB2312" w:hAnsi="仿宋_GB2312" w:eastAsia="仿宋_GB2312"/>
          <w:b w:val="0"/>
          <w:sz w:val="32"/>
          <w:lang w:eastAsia="zh-CN"/>
        </w:rPr>
        <w:t>本单位</w:t>
      </w:r>
      <w:r>
        <w:rPr>
          <w:rFonts w:ascii="仿宋_GB2312" w:hAnsi="仿宋_GB2312" w:eastAsia="仿宋_GB2312"/>
          <w:b w:val="0"/>
          <w:sz w:val="32"/>
        </w:rPr>
        <w:t>绩效工作人员流动频繁，</w:t>
      </w:r>
      <w:r>
        <w:rPr>
          <w:rFonts w:hint="eastAsia" w:ascii="仿宋_GB2312" w:hAnsi="仿宋_GB2312" w:eastAsia="仿宋_GB2312"/>
          <w:b w:val="0"/>
          <w:sz w:val="32"/>
          <w:lang w:eastAsia="zh-CN"/>
        </w:rPr>
        <w:t>造成</w:t>
      </w:r>
      <w:r>
        <w:rPr>
          <w:rFonts w:ascii="仿宋_GB2312" w:hAnsi="仿宋_GB2312" w:eastAsia="仿宋_GB2312"/>
          <w:b w:val="0"/>
          <w:sz w:val="32"/>
        </w:rPr>
        <w:t>工作衔接不到位的情况。下一步改进措施：建议区人大办公室财务工作有关人员</w:t>
      </w:r>
      <w:r>
        <w:rPr>
          <w:rFonts w:hint="eastAsia" w:ascii="仿宋_GB2312" w:hAnsi="仿宋_GB2312" w:eastAsia="仿宋_GB2312"/>
          <w:b w:val="0"/>
          <w:sz w:val="32"/>
          <w:lang w:eastAsia="zh-CN"/>
        </w:rPr>
        <w:t>加强</w:t>
      </w:r>
      <w:r>
        <w:rPr>
          <w:rFonts w:ascii="仿宋_GB2312" w:hAnsi="仿宋_GB2312" w:eastAsia="仿宋_GB2312"/>
          <w:b w:val="0"/>
          <w:sz w:val="32"/>
        </w:rPr>
        <w:t>从预算绩效管理的政策性、专业性和客观性等方面掌握绩效目标设置的合理性、规范性和全面性，从而达到从政策依据、项目实施内容、实现的效果等层面设置预算绩效目标。具体附整体支出绩效自评表，项目支出绩效自评表和评价报告。</w:t>
      </w:r>
    </w:p>
    <w:p w14:paraId="5532AC5F">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084905E8">
        <w:tblPrEx>
          <w:tblCellMar>
            <w:top w:w="0" w:type="dxa"/>
            <w:left w:w="108" w:type="dxa"/>
            <w:bottom w:w="0" w:type="dxa"/>
            <w:right w:w="108" w:type="dxa"/>
          </w:tblCellMar>
        </w:tblPrEx>
        <w:tc>
          <w:tcPr>
            <w:tcW w:w="8840" w:type="dxa"/>
            <w:gridSpan w:val="8"/>
            <w:vAlign w:val="center"/>
          </w:tcPr>
          <w:p w14:paraId="5BFC1911">
            <w:pPr>
              <w:jc w:val="center"/>
            </w:pPr>
            <w:r>
              <w:rPr>
                <w:rFonts w:ascii="宋体" w:hAnsi="宋体" w:eastAsia="宋体"/>
                <w:sz w:val="24"/>
              </w:rPr>
              <w:t>单位整体支出绩效自评表</w:t>
            </w:r>
          </w:p>
        </w:tc>
      </w:tr>
      <w:tr w14:paraId="16F402DE">
        <w:tblPrEx>
          <w:tblCellMar>
            <w:top w:w="0" w:type="dxa"/>
            <w:left w:w="108" w:type="dxa"/>
            <w:bottom w:w="0" w:type="dxa"/>
            <w:right w:w="108" w:type="dxa"/>
          </w:tblCellMar>
        </w:tblPrEx>
        <w:tc>
          <w:tcPr>
            <w:tcW w:w="8840" w:type="dxa"/>
            <w:gridSpan w:val="8"/>
            <w:vAlign w:val="center"/>
          </w:tcPr>
          <w:p w14:paraId="15A19568">
            <w:pPr>
              <w:jc w:val="center"/>
            </w:pPr>
            <w:r>
              <w:rPr>
                <w:rFonts w:ascii="宋体" w:hAnsi="宋体" w:eastAsia="宋体"/>
                <w:sz w:val="24"/>
              </w:rPr>
              <w:t>（2024年度）</w:t>
            </w:r>
          </w:p>
        </w:tc>
      </w:tr>
      <w:tr w14:paraId="5A0F6233">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AF2857">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4F25EA">
            <w:pPr>
              <w:jc w:val="center"/>
            </w:pPr>
            <w:r>
              <w:rPr>
                <w:rFonts w:ascii="宋体" w:hAnsi="宋体" w:eastAsia="宋体"/>
                <w:sz w:val="16"/>
              </w:rPr>
              <w:t>乌鲁木齐市水磨沟区人民代表大会常务委员会办公室</w:t>
            </w:r>
          </w:p>
        </w:tc>
      </w:tr>
      <w:tr w14:paraId="6A8AD4D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40BA0F">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CD9497">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3C2904">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63FA05">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B7E9EE">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40F32B">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BCC8E2">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810061">
            <w:pPr>
              <w:jc w:val="center"/>
            </w:pPr>
            <w:r>
              <w:rPr>
                <w:rFonts w:ascii="宋体" w:hAnsi="宋体" w:eastAsia="宋体"/>
                <w:sz w:val="16"/>
              </w:rPr>
              <w:t>得分</w:t>
            </w:r>
          </w:p>
        </w:tc>
      </w:tr>
      <w:tr w14:paraId="7B52AF1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AEE6A8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B544AA">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4545EA">
            <w:pPr>
              <w:jc w:val="center"/>
            </w:pPr>
            <w:r>
              <w:rPr>
                <w:rFonts w:ascii="宋体" w:hAnsi="宋体" w:eastAsia="宋体"/>
                <w:sz w:val="16"/>
              </w:rPr>
              <w:t>751.78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436F46">
            <w:pPr>
              <w:jc w:val="center"/>
            </w:pPr>
            <w:r>
              <w:rPr>
                <w:rFonts w:ascii="宋体" w:hAnsi="宋体" w:eastAsia="宋体"/>
                <w:sz w:val="16"/>
              </w:rPr>
              <w:t>280.80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B0E2F3">
            <w:pPr>
              <w:jc w:val="center"/>
            </w:pPr>
            <w:r>
              <w:rPr>
                <w:rFonts w:ascii="宋体" w:hAnsi="宋体" w:eastAsia="宋体"/>
                <w:sz w:val="16"/>
              </w:rPr>
              <w:t>274.96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A8117B">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013167">
            <w:pPr>
              <w:jc w:val="center"/>
            </w:pPr>
            <w:r>
              <w:rPr>
                <w:rFonts w:ascii="宋体" w:hAnsi="宋体" w:eastAsia="宋体"/>
                <w:sz w:val="16"/>
              </w:rPr>
              <w:t>97.92%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98D78C">
            <w:pPr>
              <w:jc w:val="center"/>
            </w:pPr>
            <w:r>
              <w:rPr>
                <w:rFonts w:ascii="宋体" w:hAnsi="宋体" w:eastAsia="宋体"/>
                <w:sz w:val="16"/>
              </w:rPr>
              <w:t>9.79</w:t>
            </w:r>
          </w:p>
        </w:tc>
      </w:tr>
      <w:tr w14:paraId="0097EDF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708286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2CB21B">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F7F1F3">
            <w:pPr>
              <w:jc w:val="center"/>
            </w:pPr>
            <w:r>
              <w:rPr>
                <w:rFonts w:ascii="宋体" w:hAnsi="宋体" w:eastAsia="宋体"/>
                <w:sz w:val="16"/>
              </w:rPr>
              <w:t>15.32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039DB8">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538BD0">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39F74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D0417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57B6ED">
            <w:pPr>
              <w:jc w:val="center"/>
            </w:pPr>
            <w:r>
              <w:rPr>
                <w:rFonts w:ascii="宋体" w:hAnsi="宋体" w:eastAsia="宋体"/>
                <w:sz w:val="16"/>
              </w:rPr>
              <w:t>-</w:t>
            </w:r>
          </w:p>
        </w:tc>
      </w:tr>
      <w:tr w14:paraId="73BD2A9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C21444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93688B">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2E9E94">
            <w:pPr>
              <w:jc w:val="center"/>
            </w:pPr>
            <w:r>
              <w:rPr>
                <w:rFonts w:ascii="宋体" w:hAnsi="宋体" w:eastAsia="宋体"/>
                <w:sz w:val="16"/>
              </w:rPr>
              <w:t>736.46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DCC2CD">
            <w:pPr>
              <w:jc w:val="center"/>
            </w:pPr>
            <w:r>
              <w:rPr>
                <w:rFonts w:ascii="宋体" w:hAnsi="宋体" w:eastAsia="宋体"/>
                <w:sz w:val="16"/>
              </w:rPr>
              <w:t>280.80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CC4374">
            <w:pPr>
              <w:jc w:val="center"/>
            </w:pPr>
            <w:r>
              <w:rPr>
                <w:rFonts w:ascii="宋体" w:hAnsi="宋体" w:eastAsia="宋体"/>
                <w:sz w:val="16"/>
              </w:rPr>
              <w:t>274.96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FA98C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58EC02">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ACD5BF">
            <w:pPr>
              <w:jc w:val="center"/>
            </w:pPr>
            <w:r>
              <w:rPr>
                <w:rFonts w:ascii="宋体" w:hAnsi="宋体" w:eastAsia="宋体"/>
                <w:sz w:val="16"/>
              </w:rPr>
              <w:t>-</w:t>
            </w:r>
          </w:p>
        </w:tc>
      </w:tr>
      <w:tr w14:paraId="5614B31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D81515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605D64">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CFF21E">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934414">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117B4B">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6A04B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D1F88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89976E">
            <w:pPr>
              <w:jc w:val="center"/>
            </w:pPr>
            <w:r>
              <w:rPr>
                <w:rFonts w:ascii="宋体" w:hAnsi="宋体" w:eastAsia="宋体"/>
                <w:sz w:val="16"/>
              </w:rPr>
              <w:t>-</w:t>
            </w:r>
          </w:p>
        </w:tc>
      </w:tr>
      <w:tr w14:paraId="265FB4B4">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217ED6">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A69FF43">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38BEC6">
            <w:pPr>
              <w:jc w:val="center"/>
            </w:pPr>
            <w:r>
              <w:rPr>
                <w:rFonts w:ascii="宋体" w:hAnsi="宋体" w:eastAsia="宋体"/>
                <w:sz w:val="16"/>
              </w:rPr>
              <w:t>实际完成情况</w:t>
            </w:r>
          </w:p>
        </w:tc>
      </w:tr>
      <w:tr w14:paraId="436BAAE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2768D11"/>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7A395B5">
            <w:pPr>
              <w:jc w:val="both"/>
            </w:pPr>
            <w:r>
              <w:rPr>
                <w:rFonts w:ascii="宋体" w:hAnsi="宋体" w:eastAsia="宋体"/>
                <w:sz w:val="16"/>
              </w:rPr>
              <w:t>人大常委会办公室采取有效的资金使用管理措施，严格履行资金审批程序，确保资金使用达到预期效果。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1、区人大常委会的主要工作职责按照《选举法》《组织法》《代表法》《监督法》《</w:t>
            </w:r>
            <w:r>
              <w:rPr>
                <w:rFonts w:hint="eastAsia" w:ascii="宋体" w:hAnsi="宋体"/>
                <w:sz w:val="16"/>
                <w:lang w:eastAsia="zh-CN"/>
              </w:rPr>
              <w:t>中华人民共和国立法法</w:t>
            </w:r>
            <w:r>
              <w:rPr>
                <w:rFonts w:ascii="宋体" w:hAnsi="宋体" w:eastAsia="宋体"/>
                <w:sz w:val="16"/>
              </w:rPr>
              <w:t>》等规定履行。</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负责区人民代表大会会议、区人大常委会会议、区人大常委会主任会议等有关会议的服务工作，至少完成8次常委会会议、19次主任会议的召开，通过召开区人大常委会会议和主任会议，发挥人大对“一府一委两院”的监督作用。</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3、负责做好本区域市人大代表和区人大代表的有关服务工作。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4、负责区人大常委会组成人员、区人大常委会主任会议组成人员进行有关执法检查，视察等工作，组织代表完成不少于15次代表活动，通过组织代表执法检查、视察调研、部门工作评议等活动，保障人大代表履职，全面提升人大代表履职能力，夯实代表履职基础，充分发挥代表作用</w:t>
            </w:r>
            <w:r>
              <w:rPr>
                <w:rFonts w:hint="eastAsia" w:ascii="宋体" w:hAnsi="宋体"/>
                <w:sz w:val="16"/>
                <w:lang w:eastAsia="zh-CN"/>
              </w:rPr>
              <w:t>。</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5、负责区人大常委会办公室的文秘、档案、信访、人事、纪检、行政后勤等工作。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6、负责全区人大系统干部和区代表培训管理的有关工作。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7、承办市委和上级人大交办的其他工作。</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227F7F4">
            <w:pPr>
              <w:jc w:val="both"/>
            </w:pPr>
            <w:r>
              <w:rPr>
                <w:rFonts w:ascii="宋体" w:hAnsi="宋体" w:eastAsia="宋体"/>
                <w:sz w:val="16"/>
              </w:rPr>
              <w:t>人大常委会办公室采取有效的资金使用管理措施，严格履行资金审批程序，确保资金使用达到预期效果。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1、区人大常委会的主要工作职责按照《选举法》《组织法》《代表法》《监督法》《</w:t>
            </w:r>
            <w:r>
              <w:rPr>
                <w:rFonts w:hint="eastAsia" w:ascii="宋体" w:hAnsi="宋体"/>
                <w:sz w:val="16"/>
                <w:lang w:eastAsia="zh-CN"/>
              </w:rPr>
              <w:t>中华人民共和国立法法</w:t>
            </w:r>
            <w:r>
              <w:rPr>
                <w:rFonts w:ascii="宋体" w:hAnsi="宋体" w:eastAsia="宋体"/>
                <w:sz w:val="16"/>
              </w:rPr>
              <w:t>》等规定履行。</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2、负责区人民代表大会会议、区人大常委会会议、区人大常委会主任会议等有关会议的服务工作，</w:t>
            </w:r>
            <w:r>
              <w:rPr>
                <w:rFonts w:hint="eastAsia" w:ascii="宋体" w:hAnsi="宋体"/>
                <w:sz w:val="16"/>
                <w:lang w:eastAsia="zh-CN"/>
              </w:rPr>
              <w:t>截至</w:t>
            </w:r>
            <w:r>
              <w:rPr>
                <w:rFonts w:ascii="宋体" w:hAnsi="宋体" w:eastAsia="宋体"/>
                <w:sz w:val="16"/>
              </w:rPr>
              <w:t>2024年底，完成6次常委会会议、15次主任会议，通过召开区人大常委会会议和主任会议，发挥人大对“一府一委两院”的监督作用。</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3、负责做好本区域市人大代表和区人大代表的有关服务工作。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4、负责区人大常委会组成人员、区人大常委会主任会议组成人员进行有关执法检查，视察等工作，组织代表完成20次代表活动，通过组织代表执法检查、视察调研、部门工作评议等活动，保障人大代表履职，全面提升人大代表履职能力，夯实代表履职基础，充分发挥代表作用</w:t>
            </w:r>
            <w:r>
              <w:rPr>
                <w:rFonts w:hint="eastAsia" w:ascii="宋体" w:hAnsi="宋体"/>
                <w:sz w:val="16"/>
                <w:lang w:eastAsia="zh-CN"/>
              </w:rPr>
              <w:t>。</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5、负责区人大常委会办公室的文秘、档案、信访、人事、纪检、行政后勤等工作。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6、负责全区人大系统干部和区代表培训管理的有关工作。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7、承办市委和上级人大交办的其他工作。</w:t>
            </w:r>
          </w:p>
        </w:tc>
      </w:tr>
      <w:tr w14:paraId="79560ED9">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7A8036">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23801F">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0C5DD1">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C4EC96">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0661BC">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FFBE6A">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C26C61">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60E93A">
            <w:pPr>
              <w:jc w:val="center"/>
            </w:pPr>
            <w:r>
              <w:rPr>
                <w:rFonts w:ascii="宋体" w:hAnsi="宋体" w:eastAsia="宋体"/>
                <w:sz w:val="16"/>
              </w:rPr>
              <w:t>得分</w:t>
            </w:r>
          </w:p>
        </w:tc>
      </w:tr>
      <w:tr w14:paraId="707314E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04E7B4">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588D03">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ABC682">
            <w:pPr>
              <w:jc w:val="center"/>
            </w:pPr>
            <w:r>
              <w:rPr>
                <w:rFonts w:ascii="宋体" w:hAnsi="宋体" w:eastAsia="宋体"/>
                <w:sz w:val="16"/>
              </w:rPr>
              <w:t>召开人大常委会会议次数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15A79F">
            <w:pPr>
              <w:jc w:val="center"/>
            </w:pPr>
            <w:r>
              <w:rPr>
                <w:rFonts w:ascii="宋体" w:hAnsi="宋体" w:eastAsia="宋体"/>
                <w:sz w:val="16"/>
              </w:rPr>
              <w:t>&gt;=8次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38B2DE">
            <w:pPr>
              <w:jc w:val="center"/>
            </w:pPr>
            <w:r>
              <w:rPr>
                <w:rFonts w:ascii="宋体" w:hAnsi="宋体" w:eastAsia="宋体"/>
                <w:sz w:val="16"/>
              </w:rPr>
              <w:t>2023年区人大常委会工作报告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3CEF63">
            <w:pPr>
              <w:jc w:val="center"/>
            </w:pPr>
            <w:r>
              <w:rPr>
                <w:rFonts w:ascii="宋体" w:hAnsi="宋体" w:eastAsia="宋体"/>
                <w:sz w:val="16"/>
              </w:rPr>
              <w:t>6次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2E96A6">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FBA3A7">
            <w:pPr>
              <w:jc w:val="center"/>
            </w:pPr>
            <w:r>
              <w:rPr>
                <w:rFonts w:ascii="宋体" w:hAnsi="宋体" w:eastAsia="宋体"/>
                <w:sz w:val="16"/>
              </w:rPr>
              <w:t>15</w:t>
            </w:r>
          </w:p>
        </w:tc>
      </w:tr>
      <w:tr w14:paraId="48557FF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1FDC88A"/>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C886AC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7891C2">
            <w:pPr>
              <w:jc w:val="center"/>
            </w:pPr>
            <w:r>
              <w:rPr>
                <w:rFonts w:ascii="宋体" w:hAnsi="宋体" w:eastAsia="宋体"/>
                <w:sz w:val="16"/>
              </w:rPr>
              <w:t>召开主任会议次数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07E567">
            <w:pPr>
              <w:jc w:val="center"/>
            </w:pPr>
            <w:r>
              <w:rPr>
                <w:rFonts w:ascii="宋体" w:hAnsi="宋体" w:eastAsia="宋体"/>
                <w:sz w:val="16"/>
              </w:rPr>
              <w:t>&lt;=19次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461A7A">
            <w:pPr>
              <w:jc w:val="center"/>
            </w:pPr>
            <w:r>
              <w:rPr>
                <w:rFonts w:ascii="宋体" w:hAnsi="宋体" w:eastAsia="宋体"/>
                <w:sz w:val="16"/>
              </w:rPr>
              <w:t>2023年区人大常委会工作报告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99EBFD">
            <w:pPr>
              <w:jc w:val="center"/>
            </w:pPr>
            <w:r>
              <w:rPr>
                <w:rFonts w:ascii="宋体" w:hAnsi="宋体" w:eastAsia="宋体"/>
                <w:sz w:val="16"/>
              </w:rPr>
              <w:t>15次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528145">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96C02C">
            <w:pPr>
              <w:jc w:val="center"/>
            </w:pPr>
            <w:r>
              <w:rPr>
                <w:rFonts w:ascii="宋体" w:hAnsi="宋体" w:eastAsia="宋体"/>
                <w:sz w:val="16"/>
              </w:rPr>
              <w:t>15.79</w:t>
            </w:r>
          </w:p>
        </w:tc>
      </w:tr>
      <w:tr w14:paraId="62EA9EB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7160A2B"/>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21DF0E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FDC0FC">
            <w:pPr>
              <w:jc w:val="center"/>
            </w:pPr>
            <w:r>
              <w:rPr>
                <w:rFonts w:ascii="宋体" w:hAnsi="宋体" w:eastAsia="宋体"/>
                <w:sz w:val="16"/>
              </w:rPr>
              <w:t>组织代表活动次数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976D74">
            <w:pPr>
              <w:jc w:val="center"/>
            </w:pPr>
            <w:r>
              <w:rPr>
                <w:rFonts w:ascii="宋体" w:hAnsi="宋体" w:eastAsia="宋体"/>
                <w:sz w:val="16"/>
              </w:rPr>
              <w:t>&gt;=15次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B0ACC0">
            <w:pPr>
              <w:jc w:val="center"/>
            </w:pPr>
            <w:r>
              <w:rPr>
                <w:rFonts w:ascii="宋体" w:hAnsi="宋体" w:eastAsia="宋体"/>
                <w:sz w:val="16"/>
              </w:rPr>
              <w:t>2023年区人大常委会工作报告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149D8D">
            <w:pPr>
              <w:jc w:val="center"/>
            </w:pPr>
            <w:r>
              <w:rPr>
                <w:rFonts w:ascii="宋体" w:hAnsi="宋体" w:eastAsia="宋体"/>
                <w:sz w:val="16"/>
              </w:rPr>
              <w:t>20次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6212FB">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116316">
            <w:pPr>
              <w:jc w:val="center"/>
            </w:pPr>
            <w:r>
              <w:rPr>
                <w:rFonts w:ascii="宋体" w:hAnsi="宋体" w:eastAsia="宋体"/>
                <w:sz w:val="16"/>
              </w:rPr>
              <w:t>20</w:t>
            </w:r>
          </w:p>
        </w:tc>
      </w:tr>
      <w:tr w14:paraId="12755D8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3A3CEE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F44608">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22B103">
            <w:pPr>
              <w:jc w:val="center"/>
            </w:pPr>
            <w:r>
              <w:rPr>
                <w:rFonts w:ascii="宋体" w:hAnsi="宋体" w:eastAsia="宋体"/>
                <w:sz w:val="16"/>
              </w:rPr>
              <w:t>工作完成率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00E3A6">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A5FA22">
            <w:pPr>
              <w:jc w:val="center"/>
            </w:pPr>
            <w:r>
              <w:rPr>
                <w:rFonts w:ascii="宋体" w:hAnsi="宋体" w:eastAsia="宋体"/>
                <w:sz w:val="16"/>
              </w:rPr>
              <w:t>2023年区人大常委会工作报告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ECB387">
            <w:pPr>
              <w:jc w:val="center"/>
            </w:pPr>
            <w:r>
              <w:rPr>
                <w:rFonts w:ascii="宋体" w:hAnsi="宋体" w:eastAsia="宋体"/>
                <w:sz w:val="16"/>
              </w:rPr>
              <w:t>95.75%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6FB5A7">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808B54">
            <w:pPr>
              <w:jc w:val="center"/>
            </w:pPr>
            <w:r>
              <w:rPr>
                <w:rFonts w:ascii="宋体" w:hAnsi="宋体" w:eastAsia="宋体"/>
                <w:sz w:val="16"/>
              </w:rPr>
              <w:t>28.73</w:t>
            </w:r>
          </w:p>
        </w:tc>
      </w:tr>
    </w:tbl>
    <w:p w14:paraId="2BB8C5D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776"/>
        <w:gridCol w:w="696"/>
        <w:gridCol w:w="632"/>
        <w:gridCol w:w="632"/>
      </w:tblGrid>
      <w:tr w14:paraId="69C3E30C">
        <w:tc>
          <w:tcPr>
            <w:tcW w:w="8848" w:type="dxa"/>
            <w:gridSpan w:val="14"/>
            <w:vAlign w:val="center"/>
          </w:tcPr>
          <w:p w14:paraId="489238AC">
            <w:pPr>
              <w:jc w:val="center"/>
            </w:pPr>
            <w:r>
              <w:rPr>
                <w:rFonts w:ascii="宋体" w:hAnsi="宋体" w:eastAsia="宋体"/>
                <w:sz w:val="24"/>
              </w:rPr>
              <w:t>项目支出绩效自评表</w:t>
            </w:r>
          </w:p>
        </w:tc>
      </w:tr>
      <w:tr w14:paraId="3EA7299D">
        <w:tblPrEx>
          <w:tblCellMar>
            <w:top w:w="0" w:type="dxa"/>
            <w:left w:w="108" w:type="dxa"/>
            <w:bottom w:w="0" w:type="dxa"/>
            <w:right w:w="108" w:type="dxa"/>
          </w:tblCellMar>
        </w:tblPrEx>
        <w:tc>
          <w:tcPr>
            <w:tcW w:w="8848" w:type="dxa"/>
            <w:gridSpan w:val="14"/>
            <w:vAlign w:val="center"/>
          </w:tcPr>
          <w:p w14:paraId="0514DFE7">
            <w:pPr>
              <w:jc w:val="center"/>
            </w:pPr>
            <w:r>
              <w:rPr>
                <w:rFonts w:ascii="宋体" w:hAnsi="宋体" w:eastAsia="宋体"/>
                <w:sz w:val="24"/>
              </w:rPr>
              <w:t>(2024年度)</w:t>
            </w:r>
          </w:p>
        </w:tc>
      </w:tr>
      <w:tr w14:paraId="20480FD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CF80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31109B1">
            <w:pPr>
              <w:jc w:val="center"/>
            </w:pPr>
            <w:r>
              <w:rPr>
                <w:rFonts w:ascii="宋体" w:hAnsi="宋体" w:eastAsia="宋体"/>
                <w:sz w:val="16"/>
              </w:rPr>
              <w:t>乌财行</w:t>
            </w:r>
            <w:r>
              <w:rPr>
                <w:rFonts w:hint="eastAsia" w:ascii="宋体" w:hAnsi="宋体"/>
                <w:sz w:val="16"/>
                <w:lang w:eastAsia="zh-CN"/>
              </w:rPr>
              <w:t>〔2023〕236号</w:t>
            </w:r>
            <w:r>
              <w:rPr>
                <w:rFonts w:ascii="宋体" w:hAnsi="宋体" w:eastAsia="宋体"/>
                <w:sz w:val="16"/>
              </w:rPr>
              <w:t>关于提前下达2024年度自治区基层人大补助经费的通知</w:t>
            </w:r>
          </w:p>
        </w:tc>
      </w:tr>
      <w:tr w14:paraId="4161680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3207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24BA8E">
            <w:pPr>
              <w:jc w:val="center"/>
            </w:pPr>
            <w:r>
              <w:rPr>
                <w:rFonts w:ascii="宋体" w:hAnsi="宋体" w:eastAsia="宋体"/>
                <w:sz w:val="16"/>
              </w:rPr>
              <w:t>乌鲁木齐市水磨沟区人民代表大会常务委员会办公室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24B1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B731069">
            <w:pPr>
              <w:jc w:val="center"/>
            </w:pPr>
            <w:r>
              <w:rPr>
                <w:rFonts w:ascii="宋体" w:hAnsi="宋体" w:eastAsia="宋体"/>
                <w:sz w:val="16"/>
              </w:rPr>
              <w:t>乌鲁木齐市水磨沟区人民代表大会常务委员会办公室</w:t>
            </w:r>
          </w:p>
        </w:tc>
      </w:tr>
      <w:tr w14:paraId="504B821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CDB15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6FDA7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D3D7B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18A46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2CF6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8CBE09">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EC6AC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22D7D">
            <w:pPr>
              <w:jc w:val="center"/>
            </w:pPr>
            <w:r>
              <w:rPr>
                <w:rFonts w:ascii="宋体" w:hAnsi="宋体" w:eastAsia="宋体"/>
                <w:sz w:val="16"/>
              </w:rPr>
              <w:t>得分</w:t>
            </w:r>
          </w:p>
        </w:tc>
      </w:tr>
      <w:tr w14:paraId="32E763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5163C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F5CB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B0B52">
            <w:pPr>
              <w:jc w:val="center"/>
            </w:pPr>
            <w:r>
              <w:rPr>
                <w:rFonts w:ascii="宋体" w:hAnsi="宋体" w:eastAsia="宋体"/>
                <w:sz w:val="16"/>
              </w:rPr>
              <w:t>13.01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CB3E6C">
            <w:pPr>
              <w:jc w:val="center"/>
            </w:pPr>
            <w:r>
              <w:rPr>
                <w:rFonts w:ascii="宋体" w:hAnsi="宋体" w:eastAsia="宋体"/>
                <w:sz w:val="16"/>
              </w:rPr>
              <w:t>13.01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F7B92D">
            <w:pPr>
              <w:jc w:val="center"/>
            </w:pPr>
            <w:r>
              <w:rPr>
                <w:rFonts w:ascii="宋体" w:hAnsi="宋体" w:eastAsia="宋体"/>
                <w:sz w:val="16"/>
              </w:rPr>
              <w:t>11.63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52C43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E5278B">
            <w:pPr>
              <w:jc w:val="center"/>
            </w:pPr>
            <w:r>
              <w:rPr>
                <w:rFonts w:ascii="宋体" w:hAnsi="宋体" w:eastAsia="宋体"/>
                <w:sz w:val="16"/>
              </w:rPr>
              <w:t>89.4%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5274F">
            <w:pPr>
              <w:jc w:val="center"/>
            </w:pPr>
            <w:r>
              <w:rPr>
                <w:rFonts w:ascii="宋体" w:hAnsi="宋体" w:eastAsia="宋体"/>
                <w:sz w:val="16"/>
              </w:rPr>
              <w:t>8.94分</w:t>
            </w:r>
          </w:p>
        </w:tc>
      </w:tr>
      <w:tr w14:paraId="6E3269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8F21F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E1D7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9D37FF">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034DFD">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4AEF22">
            <w:pPr>
              <w:jc w:val="center"/>
            </w:pPr>
            <w:r>
              <w:rPr>
                <w:rFonts w:ascii="宋体" w:hAnsi="宋体" w:eastAsia="宋体"/>
                <w:sz w:val="16"/>
              </w:rPr>
              <w:t>11.63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7F35D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21E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5C393">
            <w:pPr>
              <w:jc w:val="center"/>
            </w:pPr>
            <w:r>
              <w:rPr>
                <w:rFonts w:ascii="宋体" w:hAnsi="宋体" w:eastAsia="宋体"/>
                <w:sz w:val="16"/>
              </w:rPr>
              <w:t>-</w:t>
            </w:r>
          </w:p>
        </w:tc>
      </w:tr>
      <w:tr w14:paraId="612C62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E8F04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A60E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DF742">
            <w:pPr>
              <w:jc w:val="center"/>
            </w:pPr>
            <w:r>
              <w:rPr>
                <w:rFonts w:ascii="宋体" w:hAnsi="宋体" w:eastAsia="宋体"/>
                <w:sz w:val="16"/>
              </w:rPr>
              <w:t>1.01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6DCA26">
            <w:pPr>
              <w:jc w:val="center"/>
            </w:pPr>
            <w:r>
              <w:rPr>
                <w:rFonts w:ascii="宋体" w:hAnsi="宋体" w:eastAsia="宋体"/>
                <w:sz w:val="16"/>
              </w:rPr>
              <w:t>1.01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08DB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B2A9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C944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716C6">
            <w:pPr>
              <w:jc w:val="center"/>
            </w:pPr>
            <w:r>
              <w:rPr>
                <w:rFonts w:ascii="宋体" w:hAnsi="宋体" w:eastAsia="宋体"/>
                <w:sz w:val="16"/>
              </w:rPr>
              <w:t>-</w:t>
            </w:r>
          </w:p>
        </w:tc>
      </w:tr>
      <w:tr w14:paraId="4481522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BD296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F8F20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41A012">
            <w:pPr>
              <w:jc w:val="center"/>
            </w:pPr>
            <w:r>
              <w:rPr>
                <w:rFonts w:ascii="宋体" w:hAnsi="宋体" w:eastAsia="宋体"/>
                <w:sz w:val="16"/>
              </w:rPr>
              <w:t>总体目标完成情况</w:t>
            </w:r>
          </w:p>
        </w:tc>
      </w:tr>
      <w:tr w14:paraId="1B8CB5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7974B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3B8A76">
            <w:pPr>
              <w:jc w:val="both"/>
            </w:pPr>
            <w:r>
              <w:rPr>
                <w:rFonts w:ascii="宋体" w:hAnsi="宋体" w:eastAsia="宋体"/>
                <w:sz w:val="16"/>
              </w:rPr>
              <w:t>项目资金用于本级代表工作室的建设及街道社区代表联络站的建设。购买建设“家、室、站”办公家具、办公用品等，严格控制经费使用，保障专款专用，开展立法监督等工作，</w:t>
            </w:r>
            <w:r>
              <w:rPr>
                <w:rFonts w:hint="eastAsia" w:ascii="宋体" w:hAnsi="宋体"/>
                <w:sz w:val="16"/>
                <w:lang w:eastAsia="zh-CN"/>
              </w:rPr>
              <w:t>提高</w:t>
            </w:r>
            <w:r>
              <w:rPr>
                <w:rFonts w:ascii="宋体" w:hAnsi="宋体" w:eastAsia="宋体"/>
                <w:sz w:val="16"/>
              </w:rPr>
              <w:t>基层人大办公条件，提高基层代表履职能力，让代表对办公条件满意舒心。该项目经费主要用于全区15个街道代表联络站建设经费，每个街道经费标准为8673元，15个×8673元/个=13.01万元。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2201AE">
            <w:pPr>
              <w:jc w:val="both"/>
            </w:pPr>
            <w:r>
              <w:rPr>
                <w:rFonts w:ascii="宋体" w:hAnsi="宋体" w:eastAsia="宋体"/>
                <w:sz w:val="16"/>
              </w:rPr>
              <w:t>项目资金用于弥补各区（县）人大常委会开展监督、代表工作和视察调研执法检查、“两个联系”等活动，支持联络站建设</w:t>
            </w:r>
            <w:r>
              <w:rPr>
                <w:rFonts w:hint="eastAsia" w:ascii="宋体" w:hAnsi="宋体"/>
                <w:sz w:val="16"/>
                <w:lang w:eastAsia="zh-CN"/>
              </w:rPr>
              <w:t>运转</w:t>
            </w:r>
            <w:r>
              <w:rPr>
                <w:rFonts w:ascii="宋体" w:hAnsi="宋体" w:eastAsia="宋体"/>
                <w:sz w:val="16"/>
              </w:rPr>
              <w:t>以及街道人大工作购置办公用品等。自治区人大拨付的12万元基层人大补助经费，区人大本级留57900元，下拨至街道62100元。按照进站的四级全国、自治区、市、区四级人大代表207人，每人300元标准向15个街道共拨付62100元。共使用111414.40元，其中，购买办公用品27486.80元；订阅</w:t>
            </w:r>
            <w:r>
              <w:rPr>
                <w:rFonts w:hint="eastAsia" w:ascii="宋体" w:hAnsi="宋体"/>
                <w:sz w:val="16"/>
                <w:lang w:eastAsia="zh-CN"/>
              </w:rPr>
              <w:t>报刊</w:t>
            </w:r>
            <w:bookmarkStart w:id="0" w:name="_GoBack"/>
            <w:bookmarkEnd w:id="0"/>
            <w:r>
              <w:rPr>
                <w:rFonts w:ascii="宋体" w:hAnsi="宋体" w:eastAsia="宋体"/>
                <w:sz w:val="16"/>
              </w:rPr>
              <w:t>29045.60元；代表及人大干部培训16886元；联络站建设10180元；开展代表工作27516元；慰问代表300元。2024年下拨的12万元中剩余8585.60元未使用，往年结余10100元未使用。</w:t>
            </w:r>
          </w:p>
        </w:tc>
      </w:tr>
      <w:tr w14:paraId="118B839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24CD0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D85B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63AB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E802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413C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ACE3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7E8A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8A8B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75AD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CB53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AA63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BE60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1E2E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2C625">
            <w:pPr>
              <w:jc w:val="center"/>
            </w:pPr>
            <w:r>
              <w:rPr>
                <w:rFonts w:ascii="宋体" w:hAnsi="宋体" w:eastAsia="宋体"/>
                <w:sz w:val="16"/>
              </w:rPr>
              <w:t>偏差原因分析及改进措施</w:t>
            </w:r>
          </w:p>
        </w:tc>
      </w:tr>
      <w:tr w14:paraId="057DA86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CE4C5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DC31A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409A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FACDA">
            <w:pPr>
              <w:jc w:val="center"/>
            </w:pPr>
            <w:r>
              <w:rPr>
                <w:rFonts w:ascii="宋体" w:hAnsi="宋体" w:eastAsia="宋体"/>
                <w:sz w:val="16"/>
              </w:rPr>
              <w:t>街道数量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29507">
            <w:pPr>
              <w:jc w:val="center"/>
            </w:pPr>
            <w:r>
              <w:rPr>
                <w:rFonts w:ascii="宋体" w:hAnsi="宋体" w:eastAsia="宋体"/>
                <w:sz w:val="16"/>
              </w:rPr>
              <w:t>=15个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640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D6347">
            <w:pPr>
              <w:jc w:val="center"/>
            </w:pPr>
            <w:r>
              <w:rPr>
                <w:rFonts w:ascii="宋体" w:hAnsi="宋体" w:eastAsia="宋体"/>
                <w:sz w:val="16"/>
              </w:rPr>
              <w:t>当年指标，无上年完成值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432D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58B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234ED">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D0686">
            <w:pPr>
              <w:jc w:val="center"/>
            </w:pPr>
            <w:r>
              <w:rPr>
                <w:rFonts w:ascii="宋体" w:hAnsi="宋体" w:eastAsia="宋体"/>
                <w:sz w:val="16"/>
              </w:rPr>
              <w:t>=15个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067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12E3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873FB">
            <w:pPr>
              <w:jc w:val="center"/>
            </w:pPr>
          </w:p>
        </w:tc>
      </w:tr>
      <w:tr w14:paraId="0BCFF1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6C16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B9A2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EE29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40EF7">
            <w:pPr>
              <w:jc w:val="center"/>
            </w:pPr>
            <w:r>
              <w:rPr>
                <w:rFonts w:ascii="宋体" w:hAnsi="宋体" w:eastAsia="宋体"/>
                <w:sz w:val="16"/>
              </w:rPr>
              <w:t>代表联络站建设完成率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942F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19A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0CF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96C7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97C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FB752">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554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B7FF6">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7EDF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5310A">
            <w:pPr>
              <w:jc w:val="center"/>
            </w:pPr>
            <w:r>
              <w:rPr>
                <w:rFonts w:ascii="宋体" w:hAnsi="宋体" w:eastAsia="宋体"/>
                <w:sz w:val="16"/>
              </w:rPr>
              <w:t>财政积极配合水区人大工作，及时向15个街道人大工委拨付工作经费，完成值超出预期。</w:t>
            </w:r>
          </w:p>
        </w:tc>
      </w:tr>
      <w:tr w14:paraId="0FA5E8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6ABD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1658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0ABD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51982">
            <w:pPr>
              <w:jc w:val="center"/>
            </w:pPr>
            <w:r>
              <w:rPr>
                <w:rFonts w:ascii="宋体" w:hAnsi="宋体" w:eastAsia="宋体"/>
                <w:sz w:val="16"/>
              </w:rPr>
              <w:t>经费拨付完成率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B25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601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DE6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E99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149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11C0E">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4F2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B19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57A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DBB0B">
            <w:pPr>
              <w:jc w:val="center"/>
            </w:pPr>
          </w:p>
        </w:tc>
      </w:tr>
      <w:tr w14:paraId="7F7EE7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3544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545D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F0F6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14BF1">
            <w:pPr>
              <w:jc w:val="center"/>
            </w:pPr>
            <w:r>
              <w:rPr>
                <w:rFonts w:ascii="宋体" w:hAnsi="宋体" w:eastAsia="宋体"/>
                <w:sz w:val="16"/>
              </w:rPr>
              <w:t>街道代表联络站建设费用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41977">
            <w:pPr>
              <w:jc w:val="center"/>
            </w:pPr>
            <w:r>
              <w:rPr>
                <w:rFonts w:ascii="宋体" w:hAnsi="宋体" w:eastAsia="宋体"/>
                <w:sz w:val="16"/>
              </w:rPr>
              <w:t>=8673元/个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1587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7B05D">
            <w:pPr>
              <w:jc w:val="center"/>
            </w:pPr>
            <w:r>
              <w:rPr>
                <w:rFonts w:ascii="宋体" w:hAnsi="宋体" w:eastAsia="宋体"/>
                <w:sz w:val="16"/>
              </w:rPr>
              <w:t>当年指标，无上年完成值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B0AB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F5A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EDB41">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F2AF6">
            <w:pPr>
              <w:jc w:val="center"/>
            </w:pPr>
            <w:r>
              <w:rPr>
                <w:rFonts w:ascii="宋体" w:hAnsi="宋体" w:eastAsia="宋体"/>
                <w:sz w:val="16"/>
              </w:rPr>
              <w:t>=7427.6元/个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AB5CE">
            <w:pPr>
              <w:jc w:val="center"/>
            </w:pPr>
            <w:r>
              <w:rPr>
                <w:rFonts w:ascii="宋体" w:hAnsi="宋体" w:eastAsia="宋体"/>
                <w:sz w:val="16"/>
              </w:rPr>
              <w:t>86.14%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6CEF7">
            <w:pPr>
              <w:jc w:val="center"/>
            </w:pPr>
            <w:r>
              <w:rPr>
                <w:rFonts w:ascii="宋体" w:hAnsi="宋体" w:eastAsia="宋体"/>
                <w:sz w:val="16"/>
              </w:rPr>
              <w:t>17.23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E9519">
            <w:pPr>
              <w:jc w:val="center"/>
            </w:pPr>
            <w:r>
              <w:rPr>
                <w:rFonts w:ascii="宋体" w:hAnsi="宋体" w:eastAsia="宋体"/>
                <w:sz w:val="16"/>
              </w:rPr>
              <w:t>因财政库款紧张，优先用于“三保”支出，未能及时支付。</w:t>
            </w:r>
          </w:p>
        </w:tc>
      </w:tr>
      <w:tr w14:paraId="1ADAD9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7E482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2C3FC1">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21F57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1CAB1">
            <w:pPr>
              <w:jc w:val="center"/>
            </w:pPr>
            <w:r>
              <w:rPr>
                <w:rFonts w:ascii="宋体" w:hAnsi="宋体" w:eastAsia="宋体"/>
                <w:sz w:val="16"/>
              </w:rPr>
              <w:t>提高基层人大代表履职能力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66122">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003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2EE1A">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7E3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917C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CD471">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047D3">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435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962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E2C80">
            <w:pPr>
              <w:jc w:val="center"/>
            </w:pPr>
          </w:p>
        </w:tc>
      </w:tr>
      <w:tr w14:paraId="007A1A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2AF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B455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D793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DF33C">
            <w:pPr>
              <w:jc w:val="center"/>
            </w:pPr>
            <w:r>
              <w:rPr>
                <w:rFonts w:ascii="宋体" w:hAnsi="宋体" w:eastAsia="宋体"/>
                <w:sz w:val="16"/>
              </w:rPr>
              <w:t>改善基层人大办公环境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A989B">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6F8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75D5C">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33F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99D8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071C8">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AAC41">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599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6AB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6DDEE">
            <w:pPr>
              <w:jc w:val="center"/>
            </w:pPr>
          </w:p>
        </w:tc>
      </w:tr>
      <w:tr w14:paraId="4FEC94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5CF2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C75A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A3CB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64FA6">
            <w:pPr>
              <w:jc w:val="center"/>
            </w:pPr>
            <w:r>
              <w:rPr>
                <w:rFonts w:ascii="宋体" w:hAnsi="宋体" w:eastAsia="宋体"/>
                <w:sz w:val="16"/>
              </w:rPr>
              <w:t>人大代表满意度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8BFC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E1C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F6D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957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3489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993D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384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DA660">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9AA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2E0DD">
            <w:pPr>
              <w:jc w:val="center"/>
            </w:pPr>
            <w:r>
              <w:rPr>
                <w:rFonts w:ascii="宋体" w:hAnsi="宋体" w:eastAsia="宋体"/>
                <w:sz w:val="16"/>
              </w:rPr>
              <w:t>人大代表都很满意</w:t>
            </w:r>
          </w:p>
        </w:tc>
      </w:tr>
      <w:tr w14:paraId="1F54216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E109D2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A137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64E9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3964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853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A966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F9F9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27C4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0FDD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3F909">
            <w:pPr>
              <w:jc w:val="center"/>
            </w:pPr>
            <w:r>
              <w:rPr>
                <w:rFonts w:ascii="宋体" w:hAnsi="宋体" w:eastAsia="宋体"/>
                <w:sz w:val="16"/>
              </w:rPr>
              <w:t>96.17分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B437AE"/>
        </w:tc>
      </w:tr>
    </w:tbl>
    <w:p w14:paraId="3C10D75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632"/>
        <w:gridCol w:w="632"/>
        <w:gridCol w:w="632"/>
        <w:gridCol w:w="776"/>
        <w:gridCol w:w="632"/>
        <w:gridCol w:w="632"/>
        <w:gridCol w:w="632"/>
      </w:tblGrid>
      <w:tr w14:paraId="6CB0F7D9">
        <w:tblPrEx>
          <w:tblCellMar>
            <w:top w:w="0" w:type="dxa"/>
            <w:left w:w="108" w:type="dxa"/>
            <w:bottom w:w="0" w:type="dxa"/>
            <w:right w:w="108" w:type="dxa"/>
          </w:tblCellMar>
        </w:tblPrEx>
        <w:tc>
          <w:tcPr>
            <w:tcW w:w="8848" w:type="dxa"/>
            <w:gridSpan w:val="14"/>
            <w:vAlign w:val="center"/>
          </w:tcPr>
          <w:p w14:paraId="3AD9897C">
            <w:pPr>
              <w:jc w:val="center"/>
            </w:pPr>
            <w:r>
              <w:rPr>
                <w:rFonts w:ascii="宋体" w:hAnsi="宋体" w:eastAsia="宋体"/>
                <w:sz w:val="24"/>
              </w:rPr>
              <w:t>项目支出绩效自评表</w:t>
            </w:r>
          </w:p>
        </w:tc>
      </w:tr>
      <w:tr w14:paraId="04D7ABF9">
        <w:tblPrEx>
          <w:tblCellMar>
            <w:top w:w="0" w:type="dxa"/>
            <w:left w:w="108" w:type="dxa"/>
            <w:bottom w:w="0" w:type="dxa"/>
            <w:right w:w="108" w:type="dxa"/>
          </w:tblCellMar>
        </w:tblPrEx>
        <w:tc>
          <w:tcPr>
            <w:tcW w:w="8848" w:type="dxa"/>
            <w:gridSpan w:val="14"/>
            <w:vAlign w:val="center"/>
          </w:tcPr>
          <w:p w14:paraId="32852DC6">
            <w:pPr>
              <w:jc w:val="center"/>
            </w:pPr>
            <w:r>
              <w:rPr>
                <w:rFonts w:ascii="宋体" w:hAnsi="宋体" w:eastAsia="宋体"/>
                <w:sz w:val="24"/>
              </w:rPr>
              <w:t>(2024年度)</w:t>
            </w:r>
          </w:p>
        </w:tc>
      </w:tr>
      <w:tr w14:paraId="180A81E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A0FB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E42470F">
            <w:pPr>
              <w:jc w:val="center"/>
            </w:pPr>
            <w:r>
              <w:rPr>
                <w:rFonts w:ascii="宋体" w:hAnsi="宋体" w:eastAsia="宋体"/>
                <w:sz w:val="16"/>
              </w:rPr>
              <w:t>十七届四次会议经费</w:t>
            </w:r>
          </w:p>
        </w:tc>
      </w:tr>
      <w:tr w14:paraId="5001134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E933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579386">
            <w:pPr>
              <w:jc w:val="center"/>
            </w:pPr>
            <w:r>
              <w:rPr>
                <w:rFonts w:ascii="宋体" w:hAnsi="宋体" w:eastAsia="宋体"/>
                <w:sz w:val="16"/>
              </w:rPr>
              <w:t>乌鲁木齐市水磨沟区人民代表大会常务委员会办公室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8800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0D22E2B">
            <w:pPr>
              <w:jc w:val="center"/>
            </w:pPr>
            <w:r>
              <w:rPr>
                <w:rFonts w:ascii="宋体" w:hAnsi="宋体" w:eastAsia="宋体"/>
                <w:sz w:val="16"/>
              </w:rPr>
              <w:t>乌鲁木齐市水磨沟区人民代表大会常务委员会办公室</w:t>
            </w:r>
          </w:p>
        </w:tc>
      </w:tr>
      <w:tr w14:paraId="0C4F32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117C4A">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2E53F">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42984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FBDC8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6903D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65B78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168E7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975CB">
            <w:pPr>
              <w:jc w:val="center"/>
            </w:pPr>
            <w:r>
              <w:rPr>
                <w:rFonts w:ascii="宋体" w:hAnsi="宋体" w:eastAsia="宋体"/>
                <w:sz w:val="16"/>
              </w:rPr>
              <w:t>得分</w:t>
            </w:r>
          </w:p>
        </w:tc>
      </w:tr>
      <w:tr w14:paraId="0811F0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67979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9375B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EA7C21">
            <w:pPr>
              <w:jc w:val="center"/>
            </w:pPr>
            <w:r>
              <w:rPr>
                <w:rFonts w:ascii="宋体" w:hAnsi="宋体" w:eastAsia="宋体"/>
                <w:sz w:val="16"/>
              </w:rPr>
              <w:t>39.47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6D9F2E">
            <w:pPr>
              <w:jc w:val="center"/>
            </w:pPr>
            <w:r>
              <w:rPr>
                <w:rFonts w:ascii="宋体" w:hAnsi="宋体" w:eastAsia="宋体"/>
                <w:sz w:val="16"/>
              </w:rPr>
              <w:t>39.47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FA440">
            <w:pPr>
              <w:jc w:val="center"/>
            </w:pPr>
            <w:r>
              <w:rPr>
                <w:rFonts w:ascii="宋体" w:hAnsi="宋体" w:eastAsia="宋体"/>
                <w:sz w:val="16"/>
              </w:rPr>
              <w:t>23.55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9E7D2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AFE59B">
            <w:pPr>
              <w:jc w:val="center"/>
            </w:pPr>
            <w:r>
              <w:rPr>
                <w:rFonts w:ascii="宋体" w:hAnsi="宋体" w:eastAsia="宋体"/>
                <w:sz w:val="16"/>
              </w:rPr>
              <w:t>59.7%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7A689">
            <w:pPr>
              <w:jc w:val="center"/>
            </w:pPr>
            <w:r>
              <w:rPr>
                <w:rFonts w:ascii="宋体" w:hAnsi="宋体" w:eastAsia="宋体"/>
                <w:sz w:val="16"/>
              </w:rPr>
              <w:t>5.97分</w:t>
            </w:r>
          </w:p>
        </w:tc>
      </w:tr>
      <w:tr w14:paraId="5F008B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4610A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D7881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401FA">
            <w:pPr>
              <w:jc w:val="center"/>
            </w:pPr>
            <w:r>
              <w:rPr>
                <w:rFonts w:ascii="宋体" w:hAnsi="宋体" w:eastAsia="宋体"/>
                <w:sz w:val="16"/>
              </w:rPr>
              <w:t>39.47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88A5E9">
            <w:pPr>
              <w:jc w:val="center"/>
            </w:pPr>
            <w:r>
              <w:rPr>
                <w:rFonts w:ascii="宋体" w:hAnsi="宋体" w:eastAsia="宋体"/>
                <w:sz w:val="16"/>
              </w:rPr>
              <w:t>39.47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529EDF">
            <w:pPr>
              <w:jc w:val="center"/>
            </w:pPr>
            <w:r>
              <w:rPr>
                <w:rFonts w:ascii="宋体" w:hAnsi="宋体" w:eastAsia="宋体"/>
                <w:sz w:val="16"/>
              </w:rPr>
              <w:t>23.55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8368E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EA69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032E3">
            <w:pPr>
              <w:jc w:val="center"/>
            </w:pPr>
            <w:r>
              <w:rPr>
                <w:rFonts w:ascii="宋体" w:hAnsi="宋体" w:eastAsia="宋体"/>
                <w:sz w:val="16"/>
              </w:rPr>
              <w:t>-</w:t>
            </w:r>
          </w:p>
        </w:tc>
      </w:tr>
      <w:tr w14:paraId="1CDD3A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DB77A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231E2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678DF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0C0D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4CB03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A378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F2B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1D584">
            <w:pPr>
              <w:jc w:val="center"/>
            </w:pPr>
            <w:r>
              <w:rPr>
                <w:rFonts w:ascii="宋体" w:hAnsi="宋体" w:eastAsia="宋体"/>
                <w:sz w:val="16"/>
              </w:rPr>
              <w:t>-</w:t>
            </w:r>
          </w:p>
        </w:tc>
      </w:tr>
      <w:tr w14:paraId="544DEC8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F477B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7D5EA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C500845">
            <w:pPr>
              <w:jc w:val="center"/>
            </w:pPr>
            <w:r>
              <w:rPr>
                <w:rFonts w:ascii="宋体" w:hAnsi="宋体" w:eastAsia="宋体"/>
                <w:sz w:val="16"/>
              </w:rPr>
              <w:t>总体目标完成情况</w:t>
            </w:r>
          </w:p>
        </w:tc>
      </w:tr>
      <w:tr w14:paraId="1792F7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EF2B0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34D829">
            <w:pPr>
              <w:jc w:val="both"/>
            </w:pPr>
            <w:r>
              <w:rPr>
                <w:rFonts w:ascii="宋体" w:hAnsi="宋体" w:eastAsia="宋体"/>
                <w:sz w:val="16"/>
              </w:rPr>
              <w:t>区第十七届人民代表大会第四次会议，会期3天， 参会人员：人大代表181名，列席及特邀人员64名，工作人员54名，合计299名。费用标准440元/人/天，合计299人×440元/人天×3天=394680元。通过举行水磨沟区第十七届人民代表大会第四次会议，听取和审议各项报告，充分发挥好人大代表作用，认真履行好人大常委会的各项职能。</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475E23">
            <w:pPr>
              <w:jc w:val="both"/>
            </w:pPr>
            <w:r>
              <w:rPr>
                <w:rFonts w:ascii="宋体" w:hAnsi="宋体" w:eastAsia="宋体"/>
                <w:sz w:val="16"/>
              </w:rPr>
              <w:t>区第十七届人民代表大会第四次会议，会期3天， 参会人员：人大代表181名，列席及特邀人员64名，工作人员54名，合计299名。实际支付酒店场地、食宿等费用232310元，文印费3188.5元，共计235498.5元。人均会议费用为每人每天262.54元，因我区财力紧张，财政库款优先用于“三保”，剩余159181.50元未拨付使用。通过该项目的实施，会议确定经济发展、城市建设、民生改善等方面两个议案、27个建议；选举产生1名人大常委会副主任，5名人大常委会委员，党组织推荐的人选通过法定程序成为国家政权机关领导人员，使党管干部原则落实落地。</w:t>
            </w:r>
          </w:p>
        </w:tc>
      </w:tr>
      <w:tr w14:paraId="434780F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45A73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AE19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1EA0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A97C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4EAC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0D4BE">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E92A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3754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CF9E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52FB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FEB7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EF8B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2B39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71A49">
            <w:pPr>
              <w:jc w:val="center"/>
            </w:pPr>
            <w:r>
              <w:rPr>
                <w:rFonts w:ascii="宋体" w:hAnsi="宋体" w:eastAsia="宋体"/>
                <w:sz w:val="16"/>
              </w:rPr>
              <w:t>偏差原因分析及改进措施</w:t>
            </w:r>
          </w:p>
        </w:tc>
      </w:tr>
      <w:tr w14:paraId="54097ED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1EADD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B53D6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2BC8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6CECA">
            <w:pPr>
              <w:jc w:val="center"/>
            </w:pPr>
            <w:r>
              <w:rPr>
                <w:rFonts w:ascii="宋体" w:hAnsi="宋体" w:eastAsia="宋体"/>
                <w:sz w:val="16"/>
              </w:rPr>
              <w:t>参会人数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3351F">
            <w:pPr>
              <w:jc w:val="center"/>
            </w:pPr>
            <w:r>
              <w:rPr>
                <w:rFonts w:ascii="宋体" w:hAnsi="宋体" w:eastAsia="宋体"/>
                <w:sz w:val="16"/>
              </w:rPr>
              <w:t>=299人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D8D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24DB7">
            <w:pPr>
              <w:jc w:val="center"/>
            </w:pPr>
            <w:r>
              <w:rPr>
                <w:rFonts w:ascii="宋体" w:hAnsi="宋体" w:eastAsia="宋体"/>
                <w:sz w:val="16"/>
              </w:rPr>
              <w:t>311人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839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AC6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A5D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C971B">
            <w:pPr>
              <w:jc w:val="center"/>
            </w:pPr>
            <w:r>
              <w:rPr>
                <w:rFonts w:ascii="宋体" w:hAnsi="宋体" w:eastAsia="宋体"/>
                <w:sz w:val="16"/>
              </w:rPr>
              <w:t>=299人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DEC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E7E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6C04B">
            <w:pPr>
              <w:jc w:val="center"/>
            </w:pPr>
          </w:p>
        </w:tc>
      </w:tr>
      <w:tr w14:paraId="649A5D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0134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2502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D374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490BA">
            <w:pPr>
              <w:jc w:val="center"/>
            </w:pPr>
            <w:r>
              <w:rPr>
                <w:rFonts w:ascii="宋体" w:hAnsi="宋体" w:eastAsia="宋体"/>
                <w:sz w:val="16"/>
              </w:rPr>
              <w:t>审议各项工作报告通过率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629F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65A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EAC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CFD5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019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6CB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F3A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A2D04">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782D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4130B">
            <w:pPr>
              <w:jc w:val="center"/>
            </w:pPr>
            <w:r>
              <w:rPr>
                <w:rFonts w:ascii="宋体" w:hAnsi="宋体" w:eastAsia="宋体"/>
                <w:sz w:val="16"/>
              </w:rPr>
              <w:t>水磨沟区十七届人大四次会议通过</w:t>
            </w:r>
          </w:p>
        </w:tc>
      </w:tr>
      <w:tr w14:paraId="716835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BC62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D062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01F3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689DF">
            <w:pPr>
              <w:jc w:val="center"/>
            </w:pPr>
            <w:r>
              <w:rPr>
                <w:rFonts w:ascii="宋体" w:hAnsi="宋体" w:eastAsia="宋体"/>
                <w:sz w:val="16"/>
              </w:rPr>
              <w:t>会议期间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8917B">
            <w:pPr>
              <w:jc w:val="center"/>
            </w:pPr>
            <w:r>
              <w:rPr>
                <w:rFonts w:ascii="宋体" w:hAnsi="宋体" w:eastAsia="宋体"/>
                <w:sz w:val="16"/>
              </w:rPr>
              <w:t>=3天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DBE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2E916">
            <w:pPr>
              <w:jc w:val="center"/>
            </w:pPr>
            <w:r>
              <w:rPr>
                <w:rFonts w:ascii="宋体" w:hAnsi="宋体" w:eastAsia="宋体"/>
                <w:sz w:val="16"/>
              </w:rPr>
              <w:t>4天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6A9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E5A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093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9DDB7">
            <w:pPr>
              <w:jc w:val="center"/>
            </w:pPr>
            <w:r>
              <w:rPr>
                <w:rFonts w:ascii="宋体" w:hAnsi="宋体" w:eastAsia="宋体"/>
                <w:sz w:val="16"/>
              </w:rPr>
              <w:t>=3天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3A9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AF5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87A1C">
            <w:pPr>
              <w:jc w:val="center"/>
            </w:pPr>
          </w:p>
        </w:tc>
      </w:tr>
      <w:tr w14:paraId="321E16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1E51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3FBB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4E89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2E32F">
            <w:pPr>
              <w:jc w:val="center"/>
            </w:pPr>
            <w:r>
              <w:rPr>
                <w:rFonts w:ascii="宋体" w:hAnsi="宋体" w:eastAsia="宋体"/>
                <w:sz w:val="16"/>
              </w:rPr>
              <w:t>会议费标准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00D9E">
            <w:pPr>
              <w:jc w:val="center"/>
            </w:pPr>
            <w:r>
              <w:rPr>
                <w:rFonts w:ascii="宋体" w:hAnsi="宋体" w:eastAsia="宋体"/>
                <w:sz w:val="16"/>
              </w:rPr>
              <w:t>=440元/人/天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2323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890AB">
            <w:pPr>
              <w:jc w:val="center"/>
            </w:pPr>
            <w:r>
              <w:rPr>
                <w:rFonts w:ascii="宋体" w:hAnsi="宋体" w:eastAsia="宋体"/>
                <w:sz w:val="16"/>
              </w:rPr>
              <w:t>200元/人/天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2BEF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C71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2BF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F8567">
            <w:pPr>
              <w:jc w:val="center"/>
            </w:pPr>
            <w:r>
              <w:rPr>
                <w:rFonts w:ascii="宋体" w:hAnsi="宋体" w:eastAsia="宋体"/>
                <w:sz w:val="16"/>
              </w:rPr>
              <w:t>=262.54元/人/天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E4E32">
            <w:pPr>
              <w:jc w:val="center"/>
            </w:pPr>
            <w:r>
              <w:rPr>
                <w:rFonts w:ascii="宋体" w:hAnsi="宋体" w:eastAsia="宋体"/>
                <w:sz w:val="16"/>
              </w:rPr>
              <w:t>59.8%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44E92">
            <w:pPr>
              <w:jc w:val="center"/>
            </w:pPr>
            <w:r>
              <w:rPr>
                <w:rFonts w:ascii="宋体" w:hAnsi="宋体" w:eastAsia="宋体"/>
                <w:sz w:val="16"/>
              </w:rPr>
              <w:t>11.96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A2FBB">
            <w:pPr>
              <w:jc w:val="center"/>
            </w:pPr>
            <w:r>
              <w:rPr>
                <w:rFonts w:ascii="宋体" w:hAnsi="宋体" w:eastAsia="宋体"/>
                <w:sz w:val="16"/>
              </w:rPr>
              <w:t>因财政库款紧张，优先用于“三保”支出，未能及时支付。</w:t>
            </w:r>
          </w:p>
        </w:tc>
      </w:tr>
      <w:tr w14:paraId="48C44D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A0002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ADFD10">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8511A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AE6BF">
            <w:pPr>
              <w:jc w:val="center"/>
            </w:pPr>
            <w:r>
              <w:rPr>
                <w:rFonts w:ascii="宋体" w:hAnsi="宋体" w:eastAsia="宋体"/>
                <w:sz w:val="16"/>
              </w:rPr>
              <w:t>提升代表履职能力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80820">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435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440A5">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28E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2239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E11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C00D6">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F3E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86F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52447">
            <w:pPr>
              <w:jc w:val="center"/>
            </w:pPr>
          </w:p>
        </w:tc>
      </w:tr>
      <w:tr w14:paraId="3D3D1C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8A9C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073D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7029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D999F">
            <w:pPr>
              <w:jc w:val="center"/>
            </w:pPr>
            <w:r>
              <w:rPr>
                <w:rFonts w:ascii="宋体" w:hAnsi="宋体" w:eastAsia="宋体"/>
                <w:sz w:val="16"/>
              </w:rPr>
              <w:t>坚持和完善人民代表大会制度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543B8">
            <w:pPr>
              <w:jc w:val="center"/>
            </w:pPr>
            <w:r>
              <w:rPr>
                <w:rFonts w:ascii="宋体" w:hAnsi="宋体" w:eastAsia="宋体"/>
                <w:sz w:val="16"/>
              </w:rPr>
              <w:t>长期有效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50A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25424">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AB5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E847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D91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FD65E">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84C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126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C8E7A">
            <w:pPr>
              <w:jc w:val="center"/>
            </w:pPr>
          </w:p>
        </w:tc>
      </w:tr>
      <w:tr w14:paraId="4E7704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EB46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E457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54D8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E21E7">
            <w:pPr>
              <w:jc w:val="center"/>
            </w:pPr>
            <w:r>
              <w:rPr>
                <w:rFonts w:ascii="宋体" w:hAnsi="宋体" w:eastAsia="宋体"/>
                <w:sz w:val="16"/>
              </w:rPr>
              <w:t>参会人员满意度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B622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FF2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B4FD3">
            <w:pPr>
              <w:jc w:val="center"/>
            </w:pPr>
            <w:r>
              <w:rPr>
                <w:rFonts w:ascii="宋体" w:hAnsi="宋体" w:eastAsia="宋体"/>
                <w:sz w:val="16"/>
              </w:rPr>
              <w:t>99.25%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727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2692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B3D5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417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E3D58">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9AB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A721A">
            <w:pPr>
              <w:jc w:val="center"/>
            </w:pPr>
            <w:r>
              <w:rPr>
                <w:rFonts w:ascii="宋体" w:hAnsi="宋体" w:eastAsia="宋体"/>
                <w:sz w:val="16"/>
              </w:rPr>
              <w:t>代表对工作满意度达到100%</w:t>
            </w:r>
          </w:p>
        </w:tc>
      </w:tr>
      <w:tr w14:paraId="4ECCBAD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587C3A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A5AD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3E20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44EF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C58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DFC4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EAA4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2963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7713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C6F71">
            <w:pPr>
              <w:jc w:val="center"/>
            </w:pPr>
            <w:r>
              <w:rPr>
                <w:rFonts w:ascii="宋体" w:hAnsi="宋体" w:eastAsia="宋体"/>
                <w:sz w:val="16"/>
              </w:rPr>
              <w:t>87.93分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E1F413"/>
        </w:tc>
      </w:tr>
    </w:tbl>
    <w:p w14:paraId="453F9948">
      <w:r>
        <w:br w:type="page"/>
      </w:r>
    </w:p>
    <w:p w14:paraId="07F4FEA9">
      <w:pPr>
        <w:spacing w:line="640" w:lineRule="exact"/>
        <w:ind w:firstLine="640"/>
        <w:jc w:val="both"/>
        <w:outlineLvl w:val="2"/>
      </w:pPr>
      <w:r>
        <w:rPr>
          <w:rFonts w:ascii="黑体" w:hAnsi="黑体" w:eastAsia="黑体"/>
          <w:sz w:val="32"/>
        </w:rPr>
        <w:t>十二、其他需说明的事项</w:t>
      </w:r>
    </w:p>
    <w:p w14:paraId="423CC61A">
      <w:pPr>
        <w:spacing w:line="580" w:lineRule="exact"/>
        <w:ind w:firstLine="640"/>
        <w:jc w:val="both"/>
      </w:pPr>
      <w:r>
        <w:rPr>
          <w:rFonts w:ascii="仿宋_GB2312" w:hAnsi="仿宋_GB2312" w:eastAsia="仿宋_GB2312"/>
          <w:b w:val="0"/>
          <w:sz w:val="32"/>
        </w:rPr>
        <w:t>本单位无其他需说明的事项。</w:t>
      </w:r>
    </w:p>
    <w:p w14:paraId="014B55CA">
      <w:r>
        <w:br w:type="page"/>
      </w:r>
    </w:p>
    <w:p w14:paraId="441431F5">
      <w:pPr>
        <w:spacing w:line="240" w:lineRule="auto"/>
        <w:jc w:val="center"/>
        <w:outlineLvl w:val="1"/>
      </w:pPr>
      <w:r>
        <w:rPr>
          <w:rFonts w:ascii="黑体" w:hAnsi="黑体" w:eastAsia="黑体"/>
          <w:sz w:val="32"/>
        </w:rPr>
        <w:t>第三部分 专业名词解释</w:t>
      </w:r>
    </w:p>
    <w:p w14:paraId="03DDDB15">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50E8CD8">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F74B500">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7097E58">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8AC46D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536F0B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A31CBA3">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C26A1C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93F7804">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E17727F">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435E13F">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1F70DD3">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BCFA24F">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C376925">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2D79D9D">
      <w:r>
        <w:br w:type="page"/>
      </w:r>
    </w:p>
    <w:p w14:paraId="3CCAEAB5">
      <w:pPr>
        <w:spacing w:line="240" w:lineRule="auto"/>
        <w:jc w:val="center"/>
        <w:outlineLvl w:val="1"/>
      </w:pPr>
      <w:r>
        <w:rPr>
          <w:rFonts w:ascii="黑体" w:hAnsi="黑体" w:eastAsia="黑体"/>
          <w:sz w:val="32"/>
        </w:rPr>
        <w:t>第四部分 部门决算报表（见附表）</w:t>
      </w:r>
    </w:p>
    <w:p w14:paraId="523A8477">
      <w:pPr>
        <w:spacing w:line="240" w:lineRule="auto"/>
        <w:ind w:firstLine="640"/>
        <w:jc w:val="both"/>
      </w:pPr>
      <w:r>
        <w:rPr>
          <w:rFonts w:ascii="仿宋_GB2312" w:hAnsi="仿宋_GB2312" w:eastAsia="仿宋_GB2312"/>
          <w:b w:val="0"/>
          <w:sz w:val="32"/>
        </w:rPr>
        <w:t>一、《收入支出决算总表》</w:t>
      </w:r>
    </w:p>
    <w:p w14:paraId="1681F776">
      <w:pPr>
        <w:spacing w:line="240" w:lineRule="auto"/>
        <w:ind w:firstLine="640"/>
        <w:jc w:val="both"/>
      </w:pPr>
      <w:r>
        <w:rPr>
          <w:rFonts w:ascii="仿宋_GB2312" w:hAnsi="仿宋_GB2312" w:eastAsia="仿宋_GB2312"/>
          <w:b w:val="0"/>
          <w:sz w:val="32"/>
        </w:rPr>
        <w:t>二、《收入决算表》</w:t>
      </w:r>
    </w:p>
    <w:p w14:paraId="2B9399D5">
      <w:pPr>
        <w:spacing w:line="240" w:lineRule="auto"/>
        <w:ind w:firstLine="640"/>
        <w:jc w:val="both"/>
      </w:pPr>
      <w:r>
        <w:rPr>
          <w:rFonts w:ascii="仿宋_GB2312" w:hAnsi="仿宋_GB2312" w:eastAsia="仿宋_GB2312"/>
          <w:b w:val="0"/>
          <w:sz w:val="32"/>
        </w:rPr>
        <w:t>三、《支出决算表》</w:t>
      </w:r>
    </w:p>
    <w:p w14:paraId="036530DF">
      <w:pPr>
        <w:spacing w:line="240" w:lineRule="auto"/>
        <w:ind w:firstLine="640"/>
        <w:jc w:val="both"/>
      </w:pPr>
      <w:r>
        <w:rPr>
          <w:rFonts w:ascii="仿宋_GB2312" w:hAnsi="仿宋_GB2312" w:eastAsia="仿宋_GB2312"/>
          <w:b w:val="0"/>
          <w:sz w:val="32"/>
        </w:rPr>
        <w:t>四、《财政拨款收入支出决算总表》</w:t>
      </w:r>
    </w:p>
    <w:p w14:paraId="195F608A">
      <w:pPr>
        <w:spacing w:line="240" w:lineRule="auto"/>
        <w:ind w:firstLine="640"/>
        <w:jc w:val="both"/>
      </w:pPr>
      <w:r>
        <w:rPr>
          <w:rFonts w:ascii="仿宋_GB2312" w:hAnsi="仿宋_GB2312" w:eastAsia="仿宋_GB2312"/>
          <w:b w:val="0"/>
          <w:sz w:val="32"/>
        </w:rPr>
        <w:t>五、《一般公共预算财政拨款支出决算表》</w:t>
      </w:r>
    </w:p>
    <w:p w14:paraId="4E6AD5B8">
      <w:pPr>
        <w:spacing w:line="240" w:lineRule="auto"/>
        <w:ind w:firstLine="640"/>
        <w:jc w:val="both"/>
      </w:pPr>
      <w:r>
        <w:rPr>
          <w:rFonts w:ascii="仿宋_GB2312" w:hAnsi="仿宋_GB2312" w:eastAsia="仿宋_GB2312"/>
          <w:b w:val="0"/>
          <w:sz w:val="32"/>
        </w:rPr>
        <w:t>六、《一般公共预算财政拨款基本支出决算表》</w:t>
      </w:r>
    </w:p>
    <w:p w14:paraId="0C7F0D3F">
      <w:pPr>
        <w:spacing w:line="240" w:lineRule="auto"/>
        <w:ind w:firstLine="640"/>
        <w:jc w:val="both"/>
      </w:pPr>
      <w:r>
        <w:rPr>
          <w:rFonts w:ascii="仿宋_GB2312" w:hAnsi="仿宋_GB2312" w:eastAsia="仿宋_GB2312"/>
          <w:b w:val="0"/>
          <w:sz w:val="32"/>
        </w:rPr>
        <w:t>七、《政府性基金预算财政拨款收入支出决算表》</w:t>
      </w:r>
    </w:p>
    <w:p w14:paraId="22EDABCD">
      <w:pPr>
        <w:spacing w:line="240" w:lineRule="auto"/>
        <w:ind w:firstLine="640"/>
        <w:jc w:val="both"/>
      </w:pPr>
      <w:r>
        <w:rPr>
          <w:rFonts w:ascii="仿宋_GB2312" w:hAnsi="仿宋_GB2312" w:eastAsia="仿宋_GB2312"/>
          <w:b w:val="0"/>
          <w:sz w:val="32"/>
        </w:rPr>
        <w:t>八、《国有资本经营预算财政拨款收入支出决算表》</w:t>
      </w:r>
    </w:p>
    <w:p w14:paraId="227A521F">
      <w:pPr>
        <w:spacing w:line="240" w:lineRule="auto"/>
        <w:ind w:firstLine="640"/>
        <w:jc w:val="both"/>
      </w:pPr>
      <w:r>
        <w:rPr>
          <w:rFonts w:ascii="仿宋_GB2312" w:hAnsi="仿宋_GB2312" w:eastAsia="仿宋_GB2312"/>
          <w:b w:val="0"/>
          <w:sz w:val="32"/>
        </w:rPr>
        <w:t>九、《财政拨款“三公”经费支出决算表》</w:t>
      </w:r>
    </w:p>
    <w:p w14:paraId="63C5DC82">
      <w:pPr>
        <w:spacing w:line="240" w:lineRule="auto"/>
        <w:ind w:firstLine="640"/>
        <w:jc w:val="both"/>
      </w:pPr>
    </w:p>
    <w:p w14:paraId="77114CE5">
      <w:pPr>
        <w:spacing w:line="240" w:lineRule="auto"/>
        <w:ind w:firstLine="640"/>
        <w:jc w:val="both"/>
      </w:pPr>
    </w:p>
    <w:p w14:paraId="49057B4A">
      <w:pPr>
        <w:spacing w:line="240" w:lineRule="auto"/>
        <w:ind w:firstLine="640"/>
        <w:jc w:val="both"/>
      </w:pPr>
    </w:p>
    <w:p w14:paraId="48FAC60D">
      <w:pPr>
        <w:spacing w:line="240" w:lineRule="auto"/>
        <w:ind w:firstLine="640"/>
        <w:jc w:val="both"/>
      </w:pPr>
    </w:p>
    <w:p w14:paraId="364B0084">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4F3762-247D-4B9B-94F4-9850CF821C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FE655C39-3691-4378-9CAE-EB8B705303BF}"/>
  </w:font>
  <w:font w:name="仿宋_GB2312">
    <w:panose1 w:val="02010609030101010101"/>
    <w:charset w:val="86"/>
    <w:family w:val="modern"/>
    <w:pitch w:val="default"/>
    <w:sig w:usb0="00000001" w:usb1="080E0000" w:usb2="00000000" w:usb3="00000000" w:csb0="00040000" w:csb1="00000000"/>
    <w:embedRegular r:id="rId3" w:fontKey="{35C2DCEC-10A4-47B4-81D1-23A7B4D32B85}"/>
  </w:font>
  <w:font w:name="楷体_GB2312">
    <w:panose1 w:val="02010609030101010101"/>
    <w:charset w:val="86"/>
    <w:family w:val="auto"/>
    <w:pitch w:val="default"/>
    <w:sig w:usb0="00000001" w:usb1="080E0000" w:usb2="00000000" w:usb3="00000000" w:csb0="00040000" w:csb1="00000000"/>
    <w:embedRegular r:id="rId4" w:fontKey="{63AD8415-1C4C-46DC-A61B-DD0A7D1B59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B838F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1E652C"/>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28d0db2c-5a6c-4499-8102-fa7c52ebd493</errorID>
      <errorWord>于部</errorWord>
      <group>L1_Other</group>
      <groupName>其他问题</groupName>
      <ability>L2_UserTypo</ability>
      <abilityName>自定义错误</abilityName>
      <candidateList>
        <item>干部</item>
      </candidateList>
      <explain>来自自定义错词库。</explain>
      <paraID>76A186D5</paraID>
      <start>538</start>
      <end>540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b5225d-37fe-492e-827b-4acc97ecc858}">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5013</Words>
  <Characters>5619</Characters>
  <Lines>0</Lines>
  <Paragraphs>0</Paragraphs>
  <TotalTime>9</TotalTime>
  <ScaleCrop>false</ScaleCrop>
  <LinksUpToDate>false</LinksUpToDate>
  <CharactersWithSpaces>5627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2025-11-05T09:55:35Z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