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5B4D0"/>
    <w:p w14:paraId="24C7A0E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0EF123B5">
      <w:pPr>
        <w:spacing w:line="540" w:lineRule="exact"/>
        <w:jc w:val="center"/>
        <w:rPr>
          <w:rFonts w:ascii="华文中宋" w:hAnsi="华文中宋" w:eastAsia="华文中宋" w:cs="宋体"/>
          <w:b/>
          <w:kern w:val="0"/>
          <w:sz w:val="52"/>
          <w:szCs w:val="52"/>
        </w:rPr>
      </w:pPr>
    </w:p>
    <w:p w14:paraId="78EBEDBE">
      <w:pPr>
        <w:spacing w:line="540" w:lineRule="exact"/>
        <w:jc w:val="center"/>
        <w:rPr>
          <w:rFonts w:ascii="华文中宋" w:hAnsi="华文中宋" w:eastAsia="华文中宋" w:cs="宋体"/>
          <w:b/>
          <w:kern w:val="0"/>
          <w:sz w:val="52"/>
          <w:szCs w:val="52"/>
        </w:rPr>
      </w:pPr>
    </w:p>
    <w:p w14:paraId="03708936">
      <w:pPr>
        <w:spacing w:line="540" w:lineRule="exact"/>
        <w:jc w:val="center"/>
        <w:rPr>
          <w:rFonts w:ascii="华文中宋" w:hAnsi="华文中宋" w:eastAsia="华文中宋" w:cs="宋体"/>
          <w:b/>
          <w:kern w:val="0"/>
          <w:sz w:val="52"/>
          <w:szCs w:val="52"/>
        </w:rPr>
      </w:pPr>
    </w:p>
    <w:p w14:paraId="7904D95D">
      <w:pPr>
        <w:spacing w:line="540" w:lineRule="exact"/>
        <w:jc w:val="center"/>
        <w:rPr>
          <w:rFonts w:ascii="华文中宋" w:hAnsi="华文中宋" w:eastAsia="华文中宋" w:cs="宋体"/>
          <w:b/>
          <w:kern w:val="0"/>
          <w:sz w:val="52"/>
          <w:szCs w:val="52"/>
        </w:rPr>
      </w:pPr>
    </w:p>
    <w:p w14:paraId="7FB56C6F">
      <w:pPr>
        <w:spacing w:line="540" w:lineRule="exact"/>
        <w:jc w:val="center"/>
        <w:rPr>
          <w:rFonts w:ascii="华文中宋" w:hAnsi="华文中宋" w:eastAsia="华文中宋" w:cs="宋体"/>
          <w:b/>
          <w:kern w:val="0"/>
          <w:sz w:val="52"/>
          <w:szCs w:val="52"/>
        </w:rPr>
      </w:pPr>
    </w:p>
    <w:p w14:paraId="213009A4">
      <w:pPr>
        <w:spacing w:line="540" w:lineRule="exact"/>
        <w:jc w:val="center"/>
        <w:rPr>
          <w:rFonts w:ascii="华文中宋" w:hAnsi="华文中宋" w:eastAsia="华文中宋" w:cs="宋体"/>
          <w:b/>
          <w:kern w:val="0"/>
          <w:sz w:val="52"/>
          <w:szCs w:val="52"/>
        </w:rPr>
      </w:pPr>
    </w:p>
    <w:p w14:paraId="3D65A10F">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68965461">
      <w:pPr>
        <w:spacing w:line="540" w:lineRule="exact"/>
        <w:jc w:val="center"/>
        <w:rPr>
          <w:rFonts w:ascii="华文中宋" w:hAnsi="华文中宋" w:eastAsia="华文中宋" w:cs="宋体"/>
          <w:b/>
          <w:kern w:val="0"/>
          <w:sz w:val="52"/>
          <w:szCs w:val="52"/>
        </w:rPr>
      </w:pPr>
    </w:p>
    <w:p w14:paraId="2585372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eastAsia="楷体"/>
          <w:spacing w:val="-4"/>
          <w:sz w:val="32"/>
          <w:szCs w:val="32"/>
        </w:rPr>
        <w:t>2024</w:t>
      </w:r>
      <w:r>
        <w:rPr>
          <w:rFonts w:hint="eastAsia" w:hAnsi="宋体" w:eastAsia="仿宋_GB2312" w:cs="宋体"/>
          <w:kern w:val="0"/>
          <w:sz w:val="36"/>
          <w:szCs w:val="36"/>
        </w:rPr>
        <w:t xml:space="preserve">  年度）</w:t>
      </w:r>
    </w:p>
    <w:p w14:paraId="519DC2C0">
      <w:pPr>
        <w:spacing w:line="540" w:lineRule="exact"/>
        <w:jc w:val="center"/>
        <w:rPr>
          <w:rFonts w:hAnsi="宋体" w:eastAsia="仿宋_GB2312" w:cs="宋体"/>
          <w:kern w:val="0"/>
          <w:sz w:val="30"/>
          <w:szCs w:val="30"/>
        </w:rPr>
      </w:pPr>
    </w:p>
    <w:p w14:paraId="6082CDB4">
      <w:pPr>
        <w:spacing w:line="540" w:lineRule="exact"/>
        <w:jc w:val="center"/>
        <w:rPr>
          <w:rFonts w:hAnsi="宋体" w:eastAsia="仿宋_GB2312" w:cs="宋体"/>
          <w:kern w:val="0"/>
          <w:sz w:val="30"/>
          <w:szCs w:val="30"/>
        </w:rPr>
      </w:pPr>
    </w:p>
    <w:p w14:paraId="5E1DE8DC">
      <w:pPr>
        <w:spacing w:line="540" w:lineRule="exact"/>
        <w:jc w:val="center"/>
        <w:rPr>
          <w:rFonts w:hAnsi="宋体" w:eastAsia="仿宋_GB2312" w:cs="宋体"/>
          <w:kern w:val="0"/>
          <w:sz w:val="30"/>
          <w:szCs w:val="30"/>
        </w:rPr>
      </w:pPr>
    </w:p>
    <w:p w14:paraId="7DB21AE0">
      <w:pPr>
        <w:spacing w:line="540" w:lineRule="exact"/>
        <w:jc w:val="center"/>
        <w:rPr>
          <w:rFonts w:hAnsi="宋体" w:eastAsia="仿宋_GB2312" w:cs="宋体"/>
          <w:kern w:val="0"/>
          <w:sz w:val="30"/>
          <w:szCs w:val="30"/>
        </w:rPr>
      </w:pPr>
    </w:p>
    <w:p w14:paraId="22D6EDF7">
      <w:pPr>
        <w:spacing w:line="540" w:lineRule="exact"/>
        <w:rPr>
          <w:rFonts w:hAnsi="宋体" w:eastAsia="仿宋_GB2312" w:cs="宋体"/>
          <w:kern w:val="0"/>
          <w:sz w:val="30"/>
          <w:szCs w:val="30"/>
        </w:rPr>
      </w:pPr>
    </w:p>
    <w:p w14:paraId="7A43299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8FE739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乌财建【2023】278号关于下达2023年城市燃气管道老化更新改造和保障性安居工程专项奖励批中央基建投资预算的通知（上年结转资金）</w:t>
      </w:r>
    </w:p>
    <w:p w14:paraId="7090E19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乌鲁木齐市水磨沟区建设局</w:t>
      </w:r>
    </w:p>
    <w:p w14:paraId="16EA1A8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乌鲁木齐市水磨沟区建设局</w:t>
      </w:r>
    </w:p>
    <w:p w14:paraId="45ECDAE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郭聪</w:t>
      </w:r>
    </w:p>
    <w:p w14:paraId="3FDB272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eastAsia="楷体"/>
          <w:spacing w:val="-4"/>
          <w:sz w:val="32"/>
          <w:szCs w:val="32"/>
        </w:rPr>
        <w:t>2025年04月17日</w:t>
      </w:r>
    </w:p>
    <w:p w14:paraId="77637787">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08663A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0CA89404">
      <w:pPr>
        <w:spacing w:line="540" w:lineRule="exact"/>
        <w:ind w:firstLine="624" w:firstLineChars="200"/>
        <w:rPr>
          <w:rStyle w:val="19"/>
          <w:rFonts w:eastAsia="楷体"/>
          <w:b w:val="0"/>
          <w:bCs w:val="0"/>
          <w:spacing w:val="-4"/>
          <w:sz w:val="32"/>
          <w:szCs w:val="32"/>
        </w:rPr>
      </w:pPr>
      <w:r>
        <w:rPr>
          <w:rStyle w:val="19"/>
          <w:rFonts w:eastAsia="楷体"/>
          <w:b w:val="0"/>
          <w:bCs w:val="0"/>
          <w:spacing w:val="-4"/>
          <w:sz w:val="32"/>
          <w:szCs w:val="32"/>
        </w:rPr>
        <w:t>一、基本情况</w:t>
      </w:r>
      <w:r>
        <w:rPr>
          <w:rFonts w:eastAsia="楷体"/>
          <w:b w:val="0"/>
          <w:bCs w:val="0"/>
          <w:spacing w:val="-4"/>
          <w:sz w:val="32"/>
          <w:szCs w:val="32"/>
        </w:rPr>
        <w:br w:type="textWrapping"/>
      </w:r>
      <w:r>
        <w:rPr>
          <w:rStyle w:val="19"/>
          <w:rFonts w:eastAsia="楷体"/>
          <w:b w:val="0"/>
          <w:bCs w:val="0"/>
          <w:spacing w:val="-4"/>
          <w:sz w:val="32"/>
          <w:szCs w:val="32"/>
        </w:rPr>
        <w:t>（一）项目概况</w:t>
      </w:r>
      <w:r>
        <w:rPr>
          <w:rFonts w:eastAsia="楷体"/>
          <w:b w:val="0"/>
          <w:bCs w:val="0"/>
          <w:spacing w:val="-4"/>
          <w:sz w:val="32"/>
          <w:szCs w:val="32"/>
        </w:rPr>
        <w:br w:type="textWrapping"/>
      </w:r>
      <w:r>
        <w:rPr>
          <w:rStyle w:val="19"/>
          <w:rFonts w:eastAsia="楷体"/>
          <w:b w:val="0"/>
          <w:bCs w:val="0"/>
          <w:spacing w:val="-4"/>
          <w:sz w:val="32"/>
          <w:szCs w:val="32"/>
        </w:rPr>
        <w:t>1.项目背景</w:t>
      </w:r>
      <w:r>
        <w:rPr>
          <w:rFonts w:eastAsia="楷体"/>
          <w:b w:val="0"/>
          <w:bCs w:val="0"/>
          <w:spacing w:val="-4"/>
          <w:sz w:val="32"/>
          <w:szCs w:val="32"/>
        </w:rPr>
        <w:br w:type="textWrapping"/>
      </w:r>
      <w:r>
        <w:rPr>
          <w:rStyle w:val="19"/>
          <w:rFonts w:eastAsia="楷体"/>
          <w:b w:val="0"/>
          <w:bCs w:val="0"/>
          <w:spacing w:val="-4"/>
          <w:sz w:val="32"/>
          <w:szCs w:val="32"/>
        </w:rPr>
        <w:t>近年来，随着新型城镇化的不断推进，城市建设管理理念正在革新：传统的拆旧建新观念逐渐被摈弃，在充分尊重群众意见基础上，不再一味强调整体拆除，而是因地制宜，应拆则拆，宜留则留，做好“拆、改、留”有机更新文章，更加注重传承城市文脉。</w:t>
      </w:r>
      <w:r>
        <w:rPr>
          <w:rFonts w:eastAsia="楷体"/>
          <w:b w:val="0"/>
          <w:bCs w:val="0"/>
          <w:spacing w:val="-4"/>
          <w:sz w:val="32"/>
          <w:szCs w:val="32"/>
        </w:rPr>
        <w:br w:type="textWrapping"/>
      </w:r>
      <w:r>
        <w:rPr>
          <w:rStyle w:val="19"/>
          <w:rFonts w:eastAsia="楷体"/>
          <w:b w:val="0"/>
          <w:bCs w:val="0"/>
          <w:spacing w:val="-4"/>
          <w:sz w:val="32"/>
          <w:szCs w:val="32"/>
        </w:rPr>
        <w:t>有序推进老旧住宅小区综合整治，正是有机更新理念的重要体现。为将这一涉及广大老旧小区居民最关心、最直接、最现实的利益问题解决好，在整治过程中，乌鲁木齐市充分考虑老旧小区居民的诉求，小区整治改造内容、设计施工方案以及选聘服务单位工作方案等均广泛征求群众意见：</w:t>
      </w:r>
      <w:bookmarkStart w:id="0" w:name="_GoBack"/>
      <w:bookmarkEnd w:id="0"/>
      <w:r>
        <w:rPr>
          <w:rStyle w:val="19"/>
          <w:rFonts w:eastAsia="楷体"/>
          <w:b w:val="0"/>
          <w:bCs w:val="0"/>
          <w:spacing w:val="-4"/>
          <w:sz w:val="32"/>
          <w:szCs w:val="32"/>
        </w:rPr>
        <w:t>对整治方案进行公示，再次征求居民意见和建议，按照居民意愿修改设计方案。在整治过程中严格按照方案推进，全程接受群众监督。整治完成后，由居民代表参加工程竣工验收，听取居民对整治改造效果的意见，问效于民。</w:t>
      </w:r>
      <w:r>
        <w:rPr>
          <w:rFonts w:eastAsia="楷体"/>
          <w:b w:val="0"/>
          <w:bCs w:val="0"/>
          <w:spacing w:val="-4"/>
          <w:sz w:val="32"/>
          <w:szCs w:val="32"/>
        </w:rPr>
        <w:br w:type="textWrapping"/>
      </w:r>
      <w:r>
        <w:rPr>
          <w:rStyle w:val="19"/>
          <w:rFonts w:eastAsia="楷体"/>
          <w:b w:val="0"/>
          <w:bCs w:val="0"/>
          <w:spacing w:val="-4"/>
          <w:sz w:val="32"/>
          <w:szCs w:val="32"/>
        </w:rPr>
        <w:t>根据乌财建【2023】278号关于下达2023年城市燃气管道等老化更新改造和保障性安居工程专项奖励批中央基建投资预算的通知，乌鲁木齐市委、市政府高度重视老旧小区改造工作，一直把这项工作作为补齐民生短板、增强群众获得感、提升群众满意度的重要途径之一，按照国家三部委联合下发的通知中明确了老旧小区改造内容：小区道路、供排水、供电、供气、供热、照明、绿化、围墙等基础设施进行更新改造。</w:t>
      </w:r>
      <w:r>
        <w:rPr>
          <w:rFonts w:eastAsia="楷体"/>
          <w:b w:val="0"/>
          <w:bCs w:val="0"/>
          <w:spacing w:val="-4"/>
          <w:sz w:val="32"/>
          <w:szCs w:val="32"/>
        </w:rPr>
        <w:br w:type="textWrapping"/>
      </w:r>
      <w:r>
        <w:rPr>
          <w:rStyle w:val="19"/>
          <w:rFonts w:eastAsia="楷体"/>
          <w:b w:val="0"/>
          <w:bCs w:val="0"/>
          <w:spacing w:val="-4"/>
          <w:sz w:val="32"/>
          <w:szCs w:val="32"/>
        </w:rPr>
        <w:t>乌鲁木齐市水磨沟建设局积极开展的乌鲁木齐市2023年水磨沟区老旧小区改造配套基础设施工程工作的具体安排部署，加快推进老旧小区基础设施改造工作，改善水磨沟区2000年以前（不包括2000年本年度）尚未改造的小区市政基础设施建设，努力做到配套基础设施完备，使群众享有更好的居住环境，满足多样化居住要求，把人民对美好生活的向往作为奋斗目标，全面加强城市规划建设管理工作，努力把乌鲁木齐建设成为西北地区特色鲜明、绿色健康、宜居和谐的现代化国际城！</w:t>
      </w:r>
      <w:r>
        <w:rPr>
          <w:rFonts w:eastAsia="楷体"/>
          <w:b w:val="0"/>
          <w:bCs w:val="0"/>
          <w:spacing w:val="-4"/>
          <w:sz w:val="32"/>
          <w:szCs w:val="32"/>
        </w:rPr>
        <w:br w:type="textWrapping"/>
      </w:r>
      <w:r>
        <w:rPr>
          <w:rStyle w:val="19"/>
          <w:rFonts w:eastAsia="楷体"/>
          <w:b w:val="0"/>
          <w:bCs w:val="0"/>
          <w:spacing w:val="-4"/>
          <w:sz w:val="32"/>
          <w:szCs w:val="32"/>
        </w:rPr>
        <w:t>2.项目主要内容及实施情况</w:t>
      </w:r>
      <w:r>
        <w:rPr>
          <w:rFonts w:eastAsia="楷体"/>
          <w:b w:val="0"/>
          <w:bCs w:val="0"/>
          <w:spacing w:val="-4"/>
          <w:sz w:val="32"/>
          <w:szCs w:val="32"/>
        </w:rPr>
        <w:br w:type="textWrapping"/>
      </w:r>
      <w:r>
        <w:rPr>
          <w:rStyle w:val="19"/>
          <w:rFonts w:eastAsia="楷体"/>
          <w:b w:val="0"/>
          <w:bCs w:val="0"/>
          <w:spacing w:val="-4"/>
          <w:sz w:val="32"/>
          <w:szCs w:val="32"/>
        </w:rPr>
        <w:t>项目主要内容：对将博格达小区、卧龙A区、二附院家属院、红楼小区、二局家属院、北斗星小区、纪察委家属院、51号楼、昆玉小区等共计11个小区的配套基础设施进行更新改造。主要对小区内给水管网5292米、排水管网8679米、燃气管线 1750米、道路10200米、地面硬化17421平方米、电力线缆6375米，以及照明、停车泊位、围墙、垃圾收储等配套基础设施进行更新改造。</w:t>
      </w:r>
      <w:r>
        <w:rPr>
          <w:rFonts w:eastAsia="楷体"/>
          <w:b w:val="0"/>
          <w:bCs w:val="0"/>
          <w:spacing w:val="-4"/>
          <w:sz w:val="32"/>
          <w:szCs w:val="32"/>
        </w:rPr>
        <w:br w:type="textWrapping"/>
      </w:r>
      <w:r>
        <w:rPr>
          <w:rStyle w:val="19"/>
          <w:rFonts w:eastAsia="楷体"/>
          <w:b w:val="0"/>
          <w:bCs w:val="0"/>
          <w:spacing w:val="-4"/>
          <w:sz w:val="32"/>
          <w:szCs w:val="32"/>
        </w:rPr>
        <w:t>项目实施情况：项目目前已经完成对博格达小区、卧龙A区、二附院家属院、红楼小区、二局家属院、北斗星小区、纪察委家属院、51号楼、昆玉小区等共计11个小区的配套基础设施进行更新改造。主要对小区内给水管网5292米、排水管网8679米、燃气管线 1750米、道路10200米、地面硬化17421平方米、电力线缆6375米，以及照明、停车泊位、围墙、垃圾收储等配套基础设施进行更新改造，项目在实施过程中严格按照目标设立的各阶段任务进行开展工作，在前期立项过程中严格把质量关，建立安全防护机制，保证项目实施各阶段安全顺利进行。</w:t>
      </w:r>
      <w:r>
        <w:rPr>
          <w:rFonts w:eastAsia="楷体"/>
          <w:b w:val="0"/>
          <w:bCs w:val="0"/>
          <w:spacing w:val="-4"/>
          <w:sz w:val="32"/>
          <w:szCs w:val="32"/>
        </w:rPr>
        <w:br w:type="textWrapping"/>
      </w:r>
      <w:r>
        <w:rPr>
          <w:rStyle w:val="19"/>
          <w:rFonts w:eastAsia="楷体"/>
          <w:b w:val="0"/>
          <w:bCs w:val="0"/>
          <w:spacing w:val="-4"/>
          <w:sz w:val="32"/>
          <w:szCs w:val="32"/>
        </w:rPr>
        <w:t>3.资金投入和使用情况</w:t>
      </w:r>
      <w:r>
        <w:rPr>
          <w:rFonts w:eastAsia="楷体"/>
          <w:b w:val="0"/>
          <w:bCs w:val="0"/>
          <w:spacing w:val="-4"/>
          <w:sz w:val="32"/>
          <w:szCs w:val="32"/>
        </w:rPr>
        <w:br w:type="textWrapping"/>
      </w:r>
      <w:r>
        <w:rPr>
          <w:rStyle w:val="19"/>
          <w:rFonts w:eastAsia="楷体"/>
          <w:b w:val="0"/>
          <w:bCs w:val="0"/>
          <w:spacing w:val="-4"/>
          <w:sz w:val="32"/>
          <w:szCs w:val="32"/>
        </w:rPr>
        <w:t>（1）资金投入情况</w:t>
      </w:r>
      <w:r>
        <w:rPr>
          <w:rFonts w:eastAsia="楷体"/>
          <w:b w:val="0"/>
          <w:bCs w:val="0"/>
          <w:spacing w:val="-4"/>
          <w:sz w:val="32"/>
          <w:szCs w:val="32"/>
        </w:rPr>
        <w:br w:type="textWrapping"/>
      </w:r>
      <w:r>
        <w:rPr>
          <w:rStyle w:val="19"/>
          <w:rFonts w:eastAsia="楷体"/>
          <w:b w:val="0"/>
          <w:bCs w:val="0"/>
          <w:spacing w:val="-4"/>
          <w:sz w:val="32"/>
          <w:szCs w:val="32"/>
        </w:rPr>
        <w:t>该项目年初预算数2000万元，全年预算数2000万元，资金到位数2000万元，资金到位率100%，资金来源为一般公共预算。</w:t>
      </w:r>
      <w:r>
        <w:rPr>
          <w:rFonts w:eastAsia="楷体"/>
          <w:b w:val="0"/>
          <w:bCs w:val="0"/>
          <w:spacing w:val="-4"/>
          <w:sz w:val="32"/>
          <w:szCs w:val="32"/>
        </w:rPr>
        <w:br w:type="textWrapping"/>
      </w:r>
      <w:r>
        <w:rPr>
          <w:rStyle w:val="19"/>
          <w:rFonts w:eastAsia="楷体"/>
          <w:b w:val="0"/>
          <w:bCs w:val="0"/>
          <w:spacing w:val="-4"/>
          <w:sz w:val="32"/>
          <w:szCs w:val="32"/>
        </w:rPr>
        <w:t>（2）资金使用情况</w:t>
      </w:r>
      <w:r>
        <w:rPr>
          <w:rFonts w:eastAsia="楷体"/>
          <w:b w:val="0"/>
          <w:bCs w:val="0"/>
          <w:spacing w:val="-4"/>
          <w:sz w:val="32"/>
          <w:szCs w:val="32"/>
        </w:rPr>
        <w:br w:type="textWrapping"/>
      </w:r>
      <w:r>
        <w:rPr>
          <w:rStyle w:val="19"/>
          <w:rFonts w:eastAsia="楷体"/>
          <w:b w:val="0"/>
          <w:bCs w:val="0"/>
          <w:spacing w:val="-4"/>
          <w:sz w:val="32"/>
          <w:szCs w:val="32"/>
        </w:rPr>
        <w:t>该项目年初预算数2000万元，全年预算数2000万元,全年执行数1221.77万元，预算执行率为61.09%，主要用于：对博格达小区、卧龙A区、二附院家属院、红楼小区、二局家属院、北斗星小区、纪察委家属院、51号楼、昆玉小区等共计11个小区的配套基础设施进行更新改造。</w:t>
      </w:r>
    </w:p>
    <w:p w14:paraId="0D877FF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0E8C102D">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1.总体目标</w:t>
      </w:r>
      <w:r>
        <w:rPr>
          <w:rFonts w:hint="eastAsia" w:eastAsia="楷体"/>
          <w:b w:val="0"/>
          <w:bCs w:val="0"/>
          <w:spacing w:val="-4"/>
          <w:sz w:val="32"/>
          <w:szCs w:val="32"/>
        </w:rPr>
        <w:br w:type="textWrapping"/>
      </w:r>
      <w:r>
        <w:rPr>
          <w:rStyle w:val="19"/>
          <w:rFonts w:hint="eastAsia" w:eastAsia="楷体"/>
          <w:b w:val="0"/>
          <w:bCs w:val="0"/>
          <w:spacing w:val="-4"/>
          <w:sz w:val="32"/>
          <w:szCs w:val="32"/>
        </w:rPr>
        <w:t>该项目年度内计划对辖区11个小区内的配套基础设1施进行更新改造。该项目年度内计划对辖区11个小区内的配套基础设施进行更新改造。主要对小区内给水管网、排水管网、燃气管线、道路、地面硬化、电力线缆，以及照明、停车泊位、围墙等基础配套设施进行更新改造。通过本项目的建设，将大大改善城市居住环境，提升居住水平，使城市面貌焕然一新。</w:t>
      </w:r>
      <w:r>
        <w:rPr>
          <w:rFonts w:hint="eastAsia" w:eastAsia="楷体"/>
          <w:b w:val="0"/>
          <w:bCs w:val="0"/>
          <w:spacing w:val="-4"/>
          <w:sz w:val="32"/>
          <w:szCs w:val="32"/>
        </w:rPr>
        <w:br w:type="textWrapping"/>
      </w:r>
      <w:r>
        <w:rPr>
          <w:rStyle w:val="19"/>
          <w:rFonts w:hint="eastAsia" w:eastAsia="楷体"/>
          <w:b w:val="0"/>
          <w:bCs w:val="0"/>
          <w:spacing w:val="-4"/>
          <w:sz w:val="32"/>
          <w:szCs w:val="32"/>
        </w:rPr>
        <w:t>2.阶段性目标</w:t>
      </w:r>
      <w:r>
        <w:rPr>
          <w:rFonts w:hint="eastAsia" w:eastAsia="楷体"/>
          <w:b w:val="0"/>
          <w:bCs w:val="0"/>
          <w:spacing w:val="-4"/>
          <w:sz w:val="32"/>
          <w:szCs w:val="32"/>
        </w:rPr>
        <w:br w:type="textWrapping"/>
      </w:r>
      <w:r>
        <w:rPr>
          <w:rStyle w:val="19"/>
          <w:rFonts w:hint="eastAsia" w:eastAsia="楷体"/>
          <w:b w:val="0"/>
          <w:bCs w:val="0"/>
          <w:spacing w:val="-4"/>
          <w:sz w:val="32"/>
          <w:szCs w:val="32"/>
        </w:rPr>
        <w:t>2024年完成对辖区11个小区内的配套基础设施进行更新改造。该项目年度内计划对辖区11个小区内的配套基础设施进行更新改造。主要对小区内给水管网、排水管网、燃气管线、道路、地面硬化、电力线缆，以及照明、停车泊位、围墙等基础配套设施进行更新改造。通过本项目的建设，将大大改善城市居住环境，提升居住水平，使城市面貌焕然一新。</w:t>
      </w:r>
    </w:p>
    <w:p w14:paraId="5BB19DAF">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C66AB8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7E020F2">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1.绩效评价的目的</w:t>
      </w:r>
      <w:r>
        <w:rPr>
          <w:rFonts w:hint="eastAsia" w:eastAsia="楷体"/>
          <w:b w:val="0"/>
          <w:bCs w:val="0"/>
          <w:spacing w:val="-4"/>
          <w:sz w:val="32"/>
          <w:szCs w:val="32"/>
        </w:rPr>
        <w:br w:type="textWrapping"/>
      </w:r>
      <w:r>
        <w:rPr>
          <w:rStyle w:val="19"/>
          <w:rFonts w:hint="eastAsia"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Fonts w:hint="eastAsia" w:eastAsia="楷体"/>
          <w:b w:val="0"/>
          <w:bCs w:val="0"/>
          <w:spacing w:val="-4"/>
          <w:sz w:val="32"/>
          <w:szCs w:val="32"/>
        </w:rPr>
        <w:br w:type="textWrapping"/>
      </w:r>
      <w:r>
        <w:rPr>
          <w:rStyle w:val="19"/>
          <w:rFonts w:hint="eastAsia" w:eastAsia="楷体"/>
          <w:b w:val="0"/>
          <w:bCs w:val="0"/>
          <w:spacing w:val="-4"/>
          <w:sz w:val="32"/>
          <w:szCs w:val="32"/>
        </w:rPr>
        <w:t>（1）项目在实施前向项目负责人提供财政支出绩效方面的资金管理信息，促进项目支出严格按照资金管理规定进行。</w:t>
      </w:r>
      <w:r>
        <w:rPr>
          <w:rFonts w:hint="eastAsia" w:eastAsia="楷体"/>
          <w:b w:val="0"/>
          <w:bCs w:val="0"/>
          <w:spacing w:val="-4"/>
          <w:sz w:val="32"/>
          <w:szCs w:val="32"/>
        </w:rPr>
        <w:br w:type="textWrapping"/>
      </w:r>
      <w:r>
        <w:rPr>
          <w:rStyle w:val="19"/>
          <w:rFonts w:hint="eastAsia" w:eastAsia="楷体"/>
          <w:b w:val="0"/>
          <w:bCs w:val="0"/>
          <w:spacing w:val="-4"/>
          <w:sz w:val="32"/>
          <w:szCs w:val="32"/>
        </w:rPr>
        <w:t>（2）项目绩效管理财政支出运行提供及时、有效的信息。</w:t>
      </w:r>
      <w:r>
        <w:rPr>
          <w:rFonts w:hint="eastAsia" w:eastAsia="楷体"/>
          <w:b w:val="0"/>
          <w:bCs w:val="0"/>
          <w:spacing w:val="-4"/>
          <w:sz w:val="32"/>
          <w:szCs w:val="32"/>
        </w:rPr>
        <w:br w:type="textWrapping"/>
      </w:r>
      <w:r>
        <w:rPr>
          <w:rStyle w:val="19"/>
          <w:rFonts w:hint="eastAsia" w:eastAsia="楷体"/>
          <w:b w:val="0"/>
          <w:bCs w:val="0"/>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eastAsia="楷体"/>
          <w:b w:val="0"/>
          <w:bCs w:val="0"/>
          <w:spacing w:val="-4"/>
          <w:sz w:val="32"/>
          <w:szCs w:val="32"/>
        </w:rPr>
        <w:br w:type="textWrapping"/>
      </w:r>
      <w:r>
        <w:rPr>
          <w:rStyle w:val="19"/>
          <w:rFonts w:hint="eastAsia" w:eastAsia="楷体"/>
          <w:b w:val="0"/>
          <w:bCs w:val="0"/>
          <w:spacing w:val="-4"/>
          <w:sz w:val="32"/>
          <w:szCs w:val="32"/>
        </w:rPr>
        <w:t>2.绩效评价的对象</w:t>
      </w:r>
      <w:r>
        <w:rPr>
          <w:rFonts w:hint="eastAsia" w:eastAsia="楷体"/>
          <w:b w:val="0"/>
          <w:bCs w:val="0"/>
          <w:spacing w:val="-4"/>
          <w:sz w:val="32"/>
          <w:szCs w:val="32"/>
        </w:rPr>
        <w:br w:type="textWrapping"/>
      </w:r>
      <w:r>
        <w:rPr>
          <w:rStyle w:val="19"/>
          <w:rFonts w:hint="eastAsia" w:eastAsia="楷体"/>
          <w:b w:val="0"/>
          <w:bCs w:val="0"/>
          <w:spacing w:val="-4"/>
          <w:sz w:val="32"/>
          <w:szCs w:val="32"/>
        </w:rPr>
        <w:t>（1）绩效评价的对象：乌财建【2023】278号关于下达2023年城市燃气管道老化更新改造和保障性安居工程专项奖励批中央基建投资预算的通知（上年结转资金），关于11个老旧小区改造。</w:t>
      </w:r>
      <w:r>
        <w:rPr>
          <w:rFonts w:hint="eastAsia" w:eastAsia="楷体"/>
          <w:b w:val="0"/>
          <w:bCs w:val="0"/>
          <w:spacing w:val="-4"/>
          <w:sz w:val="32"/>
          <w:szCs w:val="32"/>
        </w:rPr>
        <w:br w:type="textWrapping"/>
      </w:r>
      <w:r>
        <w:rPr>
          <w:rStyle w:val="19"/>
          <w:rFonts w:hint="eastAsia" w:eastAsia="楷体"/>
          <w:b w:val="0"/>
          <w:bCs w:val="0"/>
          <w:spacing w:val="-4"/>
          <w:sz w:val="32"/>
          <w:szCs w:val="32"/>
        </w:rPr>
        <w:t>3.绩效评价的范围</w:t>
      </w:r>
      <w:r>
        <w:rPr>
          <w:rFonts w:hint="eastAsia" w:eastAsia="楷体"/>
          <w:b w:val="0"/>
          <w:bCs w:val="0"/>
          <w:spacing w:val="-4"/>
          <w:sz w:val="32"/>
          <w:szCs w:val="32"/>
        </w:rPr>
        <w:br w:type="textWrapping"/>
      </w:r>
      <w:r>
        <w:rPr>
          <w:rStyle w:val="19"/>
          <w:rFonts w:hint="eastAsia"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乌财建【2023】278号关于下达2023年城市燃气管道老化更新改造和保障性安居工程专项奖励批中央基建投资预算的通知（上年结转资金）进行评价，评价核心为专项资金的支出完成情况和效果。</w:t>
      </w:r>
    </w:p>
    <w:p w14:paraId="4159D9C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5300C7BC">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1.绩效评价原则</w:t>
      </w:r>
      <w:r>
        <w:rPr>
          <w:rFonts w:hint="eastAsia" w:eastAsia="楷体"/>
          <w:b w:val="0"/>
          <w:bCs w:val="0"/>
          <w:spacing w:val="-4"/>
          <w:sz w:val="32"/>
          <w:szCs w:val="32"/>
        </w:rPr>
        <w:br w:type="textWrapping"/>
      </w:r>
      <w:r>
        <w:rPr>
          <w:rStyle w:val="19"/>
          <w:rFonts w:hint="eastAsia" w:eastAsia="楷体"/>
          <w:b w:val="0"/>
          <w:bCs w:val="0"/>
          <w:spacing w:val="-4"/>
          <w:sz w:val="32"/>
          <w:szCs w:val="32"/>
        </w:rPr>
        <w:t>本次项目绩效评价遵循以下基本原则：</w:t>
      </w:r>
      <w:r>
        <w:rPr>
          <w:rFonts w:hint="eastAsia" w:eastAsia="楷体"/>
          <w:b w:val="0"/>
          <w:bCs w:val="0"/>
          <w:spacing w:val="-4"/>
          <w:sz w:val="32"/>
          <w:szCs w:val="32"/>
        </w:rPr>
        <w:br w:type="textWrapping"/>
      </w:r>
      <w:r>
        <w:rPr>
          <w:rStyle w:val="19"/>
          <w:rFonts w:hint="eastAsia" w:eastAsia="楷体"/>
          <w:b w:val="0"/>
          <w:bCs w:val="0"/>
          <w:spacing w:val="-4"/>
          <w:sz w:val="32"/>
          <w:szCs w:val="32"/>
        </w:rPr>
        <w:t>（1）科学公正。绩效评价应当运用科学合理的方法，按照规范的程序，对项目绩效进行客观、公正的反映。</w:t>
      </w:r>
      <w:r>
        <w:rPr>
          <w:rFonts w:hint="eastAsia" w:eastAsia="楷体"/>
          <w:b w:val="0"/>
          <w:bCs w:val="0"/>
          <w:spacing w:val="-4"/>
          <w:sz w:val="32"/>
          <w:szCs w:val="32"/>
        </w:rPr>
        <w:br w:type="textWrapping"/>
      </w:r>
      <w:r>
        <w:rPr>
          <w:rStyle w:val="19"/>
          <w:rFonts w:hint="eastAsia"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eastAsia="楷体"/>
          <w:b w:val="0"/>
          <w:bCs w:val="0"/>
          <w:spacing w:val="-4"/>
          <w:sz w:val="32"/>
          <w:szCs w:val="32"/>
        </w:rPr>
        <w:br w:type="textWrapping"/>
      </w:r>
      <w:r>
        <w:rPr>
          <w:rStyle w:val="19"/>
          <w:rFonts w:hint="eastAsia"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eastAsia="楷体"/>
          <w:b w:val="0"/>
          <w:bCs w:val="0"/>
          <w:spacing w:val="-4"/>
          <w:sz w:val="32"/>
          <w:szCs w:val="32"/>
        </w:rPr>
        <w:br w:type="textWrapping"/>
      </w:r>
      <w:r>
        <w:rPr>
          <w:rStyle w:val="19"/>
          <w:rFonts w:hint="eastAsia" w:eastAsia="楷体"/>
          <w:b w:val="0"/>
          <w:bCs w:val="0"/>
          <w:spacing w:val="-4"/>
          <w:sz w:val="32"/>
          <w:szCs w:val="32"/>
        </w:rPr>
        <w:t>（4）公开透明。绩效评价结果应依法依规公开，并自觉接受社会监督。</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rPr>
          <w:rFonts w:hint="eastAsia" w:eastAsia="楷体"/>
          <w:b w:val="0"/>
          <w:bCs w:val="0"/>
          <w:spacing w:val="-4"/>
          <w:sz w:val="32"/>
          <w:szCs w:val="32"/>
        </w:rPr>
        <w:br w:type="textWrapping"/>
      </w:r>
      <w:r>
        <w:rPr>
          <w:rStyle w:val="19"/>
          <w:rFonts w:hint="eastAsia" w:eastAsia="楷体"/>
          <w:b w:val="0"/>
          <w:bCs w:val="0"/>
          <w:spacing w:val="-4"/>
          <w:sz w:val="32"/>
          <w:szCs w:val="32"/>
        </w:rPr>
        <w:t>2.评价指标体系</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绩效评价框架是开展绩效评价的核心。绩效评价框架包括评价准则、关键评价问题、评价指标、数据来源、数据收集方法等。指标体系建立过程如下：</w:t>
      </w:r>
      <w:r>
        <w:rPr>
          <w:rFonts w:hint="eastAsia" w:eastAsia="楷体"/>
          <w:b w:val="0"/>
          <w:bCs w:val="0"/>
          <w:spacing w:val="-4"/>
          <w:sz w:val="32"/>
          <w:szCs w:val="32"/>
        </w:rPr>
        <w:br w:type="textWrapping"/>
      </w:r>
      <w:r>
        <w:rPr>
          <w:rStyle w:val="19"/>
          <w:rFonts w:hint="eastAsia" w:eastAsia="楷体"/>
          <w:b w:val="0"/>
          <w:bCs w:val="0"/>
          <w:spacing w:val="-4"/>
          <w:sz w:val="32"/>
          <w:szCs w:val="32"/>
        </w:rPr>
        <w:t>（1）确定评价指标</w:t>
      </w:r>
      <w:r>
        <w:rPr>
          <w:rFonts w:hint="eastAsia" w:eastAsia="楷体"/>
          <w:b w:val="0"/>
          <w:bCs w:val="0"/>
          <w:spacing w:val="-4"/>
          <w:sz w:val="32"/>
          <w:szCs w:val="32"/>
        </w:rPr>
        <w:br w:type="textWrapping"/>
      </w:r>
      <w:r>
        <w:rPr>
          <w:rStyle w:val="19"/>
          <w:rFonts w:hint="eastAsia"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eastAsia="楷体"/>
          <w:b w:val="0"/>
          <w:bCs w:val="0"/>
          <w:spacing w:val="-4"/>
          <w:sz w:val="32"/>
          <w:szCs w:val="32"/>
        </w:rPr>
        <w:br w:type="textWrapping"/>
      </w:r>
      <w:r>
        <w:rPr>
          <w:rStyle w:val="19"/>
          <w:rFonts w:hint="eastAsia" w:eastAsia="楷体"/>
          <w:b w:val="0"/>
          <w:bCs w:val="0"/>
          <w:spacing w:val="-4"/>
          <w:sz w:val="32"/>
          <w:szCs w:val="32"/>
        </w:rPr>
        <w:t>（2）确定权重</w:t>
      </w:r>
      <w:r>
        <w:rPr>
          <w:rFonts w:hint="eastAsia" w:eastAsia="楷体"/>
          <w:b w:val="0"/>
          <w:bCs w:val="0"/>
          <w:spacing w:val="-4"/>
          <w:sz w:val="32"/>
          <w:szCs w:val="32"/>
        </w:rPr>
        <w:br w:type="textWrapping"/>
      </w:r>
      <w:r>
        <w:rPr>
          <w:rStyle w:val="19"/>
          <w:rFonts w:hint="eastAsia" w:eastAsia="楷体"/>
          <w:b w:val="0"/>
          <w:bCs w:val="0"/>
          <w:spacing w:val="-4"/>
          <w:sz w:val="32"/>
          <w:szCs w:val="32"/>
        </w:rPr>
        <w:t>确定各个指标相对于项目总体绩效的权重分值。在绩效评价指标体系中，项目决策权重为20分，项目过程权重为20分，项目产出权重为40分，项目效益权重为20分。</w:t>
      </w:r>
      <w:r>
        <w:rPr>
          <w:rFonts w:hint="eastAsia" w:eastAsia="楷体"/>
          <w:b w:val="0"/>
          <w:bCs w:val="0"/>
          <w:spacing w:val="-4"/>
          <w:sz w:val="32"/>
          <w:szCs w:val="32"/>
        </w:rPr>
        <w:br w:type="textWrapping"/>
      </w:r>
      <w:r>
        <w:rPr>
          <w:rStyle w:val="19"/>
          <w:rFonts w:hint="eastAsia" w:eastAsia="楷体"/>
          <w:b w:val="0"/>
          <w:bCs w:val="0"/>
          <w:spacing w:val="-4"/>
          <w:sz w:val="32"/>
          <w:szCs w:val="32"/>
        </w:rPr>
        <w:t>（3）确定指标标准值</w:t>
      </w:r>
      <w:r>
        <w:rPr>
          <w:rFonts w:hint="eastAsia" w:eastAsia="楷体"/>
          <w:b w:val="0"/>
          <w:bCs w:val="0"/>
          <w:spacing w:val="-4"/>
          <w:sz w:val="32"/>
          <w:szCs w:val="32"/>
        </w:rPr>
        <w:br w:type="textWrapping"/>
      </w:r>
      <w:r>
        <w:rPr>
          <w:rStyle w:val="19"/>
          <w:rFonts w:hint="eastAsia"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Fonts w:hint="eastAsia" w:eastAsia="楷体"/>
          <w:b w:val="0"/>
          <w:bCs w:val="0"/>
          <w:spacing w:val="-4"/>
          <w:sz w:val="32"/>
          <w:szCs w:val="32"/>
        </w:rPr>
        <w:br w:type="textWrapping"/>
      </w:r>
      <w:r>
        <w:rPr>
          <w:rStyle w:val="19"/>
          <w:rFonts w:hint="eastAsia" w:eastAsia="楷体"/>
          <w:b w:val="0"/>
          <w:bCs w:val="0"/>
          <w:spacing w:val="-4"/>
          <w:sz w:val="32"/>
          <w:szCs w:val="32"/>
        </w:rPr>
        <w:t>具体评价指标体系详情见附件2。</w:t>
      </w:r>
      <w:r>
        <w:rPr>
          <w:rFonts w:hint="eastAsia" w:eastAsia="楷体"/>
          <w:b w:val="0"/>
          <w:bCs w:val="0"/>
          <w:spacing w:val="-4"/>
          <w:sz w:val="32"/>
          <w:szCs w:val="32"/>
        </w:rPr>
        <w:br w:type="textWrapping"/>
      </w:r>
      <w:r>
        <w:rPr>
          <w:rStyle w:val="19"/>
          <w:rFonts w:hint="eastAsia" w:eastAsia="楷体"/>
          <w:b w:val="0"/>
          <w:bCs w:val="0"/>
          <w:spacing w:val="-4"/>
          <w:sz w:val="32"/>
          <w:szCs w:val="32"/>
        </w:rPr>
        <w:t>3.绩效评价方法</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Fonts w:hint="eastAsia" w:eastAsia="楷体"/>
          <w:b w:val="0"/>
          <w:bCs w:val="0"/>
          <w:spacing w:val="-4"/>
          <w:sz w:val="32"/>
          <w:szCs w:val="32"/>
        </w:rPr>
        <w:br w:type="textWrapping"/>
      </w:r>
      <w:r>
        <w:rPr>
          <w:rStyle w:val="19"/>
          <w:rFonts w:hint="eastAsia"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eastAsia="楷体"/>
          <w:b w:val="0"/>
          <w:bCs w:val="0"/>
          <w:spacing w:val="-4"/>
          <w:sz w:val="32"/>
          <w:szCs w:val="32"/>
        </w:rPr>
        <w:br w:type="textWrapping"/>
      </w:r>
      <w:r>
        <w:rPr>
          <w:rStyle w:val="19"/>
          <w:rFonts w:hint="eastAsia" w:eastAsia="楷体"/>
          <w:b w:val="0"/>
          <w:bCs w:val="0"/>
          <w:spacing w:val="-4"/>
          <w:sz w:val="32"/>
          <w:szCs w:val="32"/>
        </w:rPr>
        <w:t>（1）比较法</w:t>
      </w:r>
      <w:r>
        <w:rPr>
          <w:rFonts w:hint="eastAsia" w:eastAsia="楷体"/>
          <w:b w:val="0"/>
          <w:bCs w:val="0"/>
          <w:spacing w:val="-4"/>
          <w:sz w:val="32"/>
          <w:szCs w:val="32"/>
        </w:rPr>
        <w:br w:type="textWrapping"/>
      </w:r>
      <w:r>
        <w:rPr>
          <w:rStyle w:val="19"/>
          <w:rFonts w:hint="eastAsia"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Fonts w:hint="eastAsia" w:eastAsia="楷体"/>
          <w:b w:val="0"/>
          <w:bCs w:val="0"/>
          <w:spacing w:val="-4"/>
          <w:sz w:val="32"/>
          <w:szCs w:val="32"/>
        </w:rPr>
        <w:br w:type="textWrapping"/>
      </w:r>
      <w:r>
        <w:rPr>
          <w:rStyle w:val="19"/>
          <w:rFonts w:hint="eastAsia" w:eastAsia="楷体"/>
          <w:b w:val="0"/>
          <w:bCs w:val="0"/>
          <w:spacing w:val="-4"/>
          <w:sz w:val="32"/>
          <w:szCs w:val="32"/>
        </w:rPr>
        <w:t>（2）因素分析法</w:t>
      </w:r>
      <w:r>
        <w:rPr>
          <w:rFonts w:hint="eastAsia" w:eastAsia="楷体"/>
          <w:b w:val="0"/>
          <w:bCs w:val="0"/>
          <w:spacing w:val="-4"/>
          <w:sz w:val="32"/>
          <w:szCs w:val="32"/>
        </w:rPr>
        <w:br w:type="textWrapping"/>
      </w:r>
      <w:r>
        <w:rPr>
          <w:rStyle w:val="19"/>
          <w:rFonts w:hint="eastAsia"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hint="eastAsia" w:eastAsia="楷体"/>
          <w:b w:val="0"/>
          <w:bCs w:val="0"/>
          <w:spacing w:val="-4"/>
          <w:sz w:val="32"/>
          <w:szCs w:val="32"/>
        </w:rPr>
        <w:br w:type="textWrapping"/>
      </w:r>
      <w:r>
        <w:rPr>
          <w:rStyle w:val="19"/>
          <w:rFonts w:hint="eastAsia" w:eastAsia="楷体"/>
          <w:b w:val="0"/>
          <w:bCs w:val="0"/>
          <w:spacing w:val="-4"/>
          <w:sz w:val="32"/>
          <w:szCs w:val="32"/>
        </w:rPr>
        <w:t>4.评价标准</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绩效评价标准通常包括计划标准、行业标准、历史标准等，用于对绩效指标完成情况进行比较、分析、评价。本次评价主要采用了计划标准、行业标准等</w:t>
      </w:r>
      <w:r>
        <w:rPr>
          <w:rFonts w:hint="eastAsia" w:eastAsia="楷体"/>
          <w:b w:val="0"/>
          <w:bCs w:val="0"/>
          <w:spacing w:val="-4"/>
          <w:sz w:val="32"/>
          <w:szCs w:val="32"/>
        </w:rPr>
        <w:br w:type="textWrapping"/>
      </w:r>
      <w:r>
        <w:rPr>
          <w:rStyle w:val="19"/>
          <w:rFonts w:hint="eastAsia" w:eastAsia="楷体"/>
          <w:b w:val="0"/>
          <w:bCs w:val="0"/>
          <w:spacing w:val="-4"/>
          <w:sz w:val="32"/>
          <w:szCs w:val="32"/>
        </w:rPr>
        <w:t>计划标准：指以预先制定的目标、计划、预算、定额等作为评价标准。</w:t>
      </w:r>
      <w:r>
        <w:rPr>
          <w:rFonts w:hint="eastAsia" w:eastAsia="楷体"/>
          <w:b w:val="0"/>
          <w:bCs w:val="0"/>
          <w:spacing w:val="-4"/>
          <w:sz w:val="32"/>
          <w:szCs w:val="32"/>
        </w:rPr>
        <w:br w:type="textWrapping"/>
      </w:r>
      <w:r>
        <w:rPr>
          <w:rStyle w:val="19"/>
          <w:rFonts w:hint="eastAsia" w:eastAsia="楷体"/>
          <w:b w:val="0"/>
          <w:bCs w:val="0"/>
          <w:spacing w:val="-4"/>
          <w:sz w:val="32"/>
          <w:szCs w:val="32"/>
        </w:rPr>
        <w:t>行业标准：指参照国家公布的行业指标数据制定的评价标准。</w:t>
      </w:r>
    </w:p>
    <w:p w14:paraId="386ED74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4DBD5F9">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1.前期准备。开展前期调研；其次明确项目绩效目标，设计绩效评价指标体系并确定绩效评价方法；接着确定现场和非现场评价范围，设计资料清单；最后制定评价实施方案并进行论证。</w:t>
      </w:r>
      <w:r>
        <w:rPr>
          <w:rFonts w:hint="eastAsia" w:eastAsia="楷体"/>
          <w:b w:val="0"/>
          <w:bCs w:val="0"/>
          <w:spacing w:val="-4"/>
          <w:sz w:val="32"/>
          <w:szCs w:val="32"/>
        </w:rPr>
        <w:br w:type="textWrapping"/>
      </w:r>
      <w:r>
        <w:rPr>
          <w:rStyle w:val="19"/>
          <w:rFonts w:hint="eastAsia"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Fonts w:hint="eastAsia" w:eastAsia="楷体"/>
          <w:b w:val="0"/>
          <w:bCs w:val="0"/>
          <w:spacing w:val="-4"/>
          <w:sz w:val="32"/>
          <w:szCs w:val="32"/>
        </w:rPr>
        <w:br w:type="textWrapping"/>
      </w:r>
      <w:r>
        <w:rPr>
          <w:rStyle w:val="19"/>
          <w:rFonts w:hint="eastAsia"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215FF6B6">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12293AE2">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三、综合评价情况及评价结论（附相关评分表）</w:t>
      </w:r>
      <w:r>
        <w:rPr>
          <w:rFonts w:hint="eastAsia" w:eastAsia="楷体"/>
          <w:b w:val="0"/>
          <w:bCs w:val="0"/>
          <w:spacing w:val="-4"/>
          <w:sz w:val="32"/>
          <w:szCs w:val="32"/>
        </w:rPr>
        <w:br w:type="textWrapping"/>
      </w:r>
      <w:r>
        <w:rPr>
          <w:rStyle w:val="19"/>
          <w:rFonts w:hint="eastAsia" w:eastAsia="楷体"/>
          <w:b w:val="0"/>
          <w:bCs w:val="0"/>
          <w:spacing w:val="-4"/>
          <w:sz w:val="32"/>
          <w:szCs w:val="32"/>
        </w:rPr>
        <w:t>（一）评价情况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eastAsia="楷体"/>
          <w:b w:val="0"/>
          <w:bCs w:val="0"/>
          <w:spacing w:val="-4"/>
          <w:sz w:val="32"/>
          <w:szCs w:val="32"/>
        </w:rPr>
        <w:br w:type="textWrapping"/>
      </w:r>
      <w:r>
        <w:rPr>
          <w:rStyle w:val="19"/>
          <w:rFonts w:hint="eastAsia" w:eastAsia="楷体"/>
          <w:b w:val="0"/>
          <w:bCs w:val="0"/>
          <w:spacing w:val="-4"/>
          <w:sz w:val="32"/>
          <w:szCs w:val="32"/>
        </w:rPr>
        <w:t>（二）评价结论</w:t>
      </w:r>
      <w:r>
        <w:rPr>
          <w:rFonts w:hint="eastAsia" w:eastAsia="楷体"/>
          <w:b w:val="0"/>
          <w:bCs w:val="0"/>
          <w:spacing w:val="-4"/>
          <w:sz w:val="32"/>
          <w:szCs w:val="32"/>
        </w:rPr>
        <w:br w:type="textWrapping"/>
      </w:r>
      <w:r>
        <w:rPr>
          <w:rStyle w:val="19"/>
          <w:rFonts w:hint="eastAsia"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96.6分，属于“优”。其中，项目决策类指标权重为20分，得分为 20分，得分率为 100%。项目过程类指标权重为20分，得分为17.6分，得分率为 88%。项目产出类指标权重为40分，得分为39分，得分率为97.5%。项目效益类指标权重为20分，得分为20分，得分率为100%。具体打分情况详见：表1.综合评分表。</w:t>
      </w:r>
      <w:r>
        <w:rPr>
          <w:rFonts w:hint="eastAsia" w:eastAsia="楷体"/>
          <w:b w:val="0"/>
          <w:bCs w:val="0"/>
          <w:spacing w:val="-4"/>
          <w:sz w:val="32"/>
          <w:szCs w:val="32"/>
        </w:rPr>
        <w:br w:type="textWrapping"/>
      </w:r>
      <w:r>
        <w:rPr>
          <w:rStyle w:val="19"/>
          <w:rFonts w:hint="eastAsia" w:eastAsia="楷体"/>
          <w:b w:val="0"/>
          <w:bCs w:val="0"/>
          <w:spacing w:val="-4"/>
          <w:sz w:val="32"/>
          <w:szCs w:val="32"/>
        </w:rPr>
        <w:t>表1.综合评分表</w:t>
      </w:r>
      <w:r>
        <w:rPr>
          <w:rFonts w:hint="eastAsia" w:eastAsia="楷体"/>
          <w:b w:val="0"/>
          <w:bCs w:val="0"/>
          <w:spacing w:val="-4"/>
          <w:sz w:val="32"/>
          <w:szCs w:val="32"/>
        </w:rPr>
        <w:br w:type="textWrapping"/>
      </w:r>
      <w:r>
        <w:rPr>
          <w:rStyle w:val="19"/>
          <w:rFonts w:hint="eastAsia" w:eastAsia="楷体"/>
          <w:b w:val="0"/>
          <w:bCs w:val="0"/>
          <w:spacing w:val="-4"/>
          <w:sz w:val="32"/>
          <w:szCs w:val="32"/>
        </w:rPr>
        <w:t>一级指标 权重分 得分</w:t>
      </w:r>
      <w:r>
        <w:rPr>
          <w:rFonts w:hint="eastAsia" w:eastAsia="楷体"/>
          <w:b w:val="0"/>
          <w:bCs w:val="0"/>
          <w:spacing w:val="-4"/>
          <w:sz w:val="32"/>
          <w:szCs w:val="32"/>
        </w:rPr>
        <w:br w:type="textWrapping"/>
      </w:r>
      <w:r>
        <w:rPr>
          <w:rStyle w:val="19"/>
          <w:rFonts w:hint="eastAsia" w:eastAsia="楷体"/>
          <w:b w:val="0"/>
          <w:bCs w:val="0"/>
          <w:spacing w:val="-4"/>
          <w:sz w:val="32"/>
          <w:szCs w:val="32"/>
        </w:rPr>
        <w:t>项目决策 20 20</w:t>
      </w:r>
      <w:r>
        <w:rPr>
          <w:rFonts w:hint="eastAsia" w:eastAsia="楷体"/>
          <w:b w:val="0"/>
          <w:bCs w:val="0"/>
          <w:spacing w:val="-4"/>
          <w:sz w:val="32"/>
          <w:szCs w:val="32"/>
        </w:rPr>
        <w:br w:type="textWrapping"/>
      </w:r>
      <w:r>
        <w:rPr>
          <w:rStyle w:val="19"/>
          <w:rFonts w:hint="eastAsia" w:eastAsia="楷体"/>
          <w:b w:val="0"/>
          <w:bCs w:val="0"/>
          <w:spacing w:val="-4"/>
          <w:sz w:val="32"/>
          <w:szCs w:val="32"/>
        </w:rPr>
        <w:t>项目过程 20 17.6</w:t>
      </w:r>
      <w:r>
        <w:rPr>
          <w:rFonts w:hint="eastAsia" w:eastAsia="楷体"/>
          <w:b w:val="0"/>
          <w:bCs w:val="0"/>
          <w:spacing w:val="-4"/>
          <w:sz w:val="32"/>
          <w:szCs w:val="32"/>
        </w:rPr>
        <w:br w:type="textWrapping"/>
      </w:r>
      <w:r>
        <w:rPr>
          <w:rStyle w:val="19"/>
          <w:rFonts w:hint="eastAsia" w:eastAsia="楷体"/>
          <w:b w:val="0"/>
          <w:bCs w:val="0"/>
          <w:spacing w:val="-4"/>
          <w:sz w:val="32"/>
          <w:szCs w:val="32"/>
        </w:rPr>
        <w:t>项目产出 40 39</w:t>
      </w:r>
      <w:r>
        <w:rPr>
          <w:rFonts w:hint="eastAsia" w:eastAsia="楷体"/>
          <w:b w:val="0"/>
          <w:bCs w:val="0"/>
          <w:spacing w:val="-4"/>
          <w:sz w:val="32"/>
          <w:szCs w:val="32"/>
        </w:rPr>
        <w:br w:type="textWrapping"/>
      </w:r>
      <w:r>
        <w:rPr>
          <w:rStyle w:val="19"/>
          <w:rFonts w:hint="eastAsia" w:eastAsia="楷体"/>
          <w:b w:val="0"/>
          <w:bCs w:val="0"/>
          <w:spacing w:val="-4"/>
          <w:sz w:val="32"/>
          <w:szCs w:val="32"/>
        </w:rPr>
        <w:t>项目效益 20 20</w:t>
      </w:r>
      <w:r>
        <w:rPr>
          <w:rFonts w:hint="eastAsia" w:eastAsia="楷体"/>
          <w:b w:val="0"/>
          <w:bCs w:val="0"/>
          <w:spacing w:val="-4"/>
          <w:sz w:val="32"/>
          <w:szCs w:val="32"/>
        </w:rPr>
        <w:br w:type="textWrapping"/>
      </w:r>
      <w:r>
        <w:rPr>
          <w:rStyle w:val="19"/>
          <w:rFonts w:hint="eastAsia" w:eastAsia="楷体"/>
          <w:b w:val="0"/>
          <w:bCs w:val="0"/>
          <w:spacing w:val="-4"/>
          <w:sz w:val="32"/>
          <w:szCs w:val="32"/>
        </w:rPr>
        <w:t>合计 100 96.6</w:t>
      </w:r>
    </w:p>
    <w:p w14:paraId="3E255AEA">
      <w:pPr>
        <w:spacing w:line="54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2FD9FCA4">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76152F46">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（一）项目决策情况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项目决策类指标包括项目立项、绩效目标和资金投入三方面的内容，由6个三级指标构成，权重分值为20分，实际得分20分，得分率为100%。</w:t>
      </w:r>
      <w:r>
        <w:rPr>
          <w:rFonts w:hint="eastAsia" w:eastAsia="楷体"/>
          <w:b w:val="0"/>
          <w:bCs w:val="0"/>
          <w:spacing w:val="-4"/>
          <w:sz w:val="32"/>
          <w:szCs w:val="32"/>
        </w:rPr>
        <w:br w:type="textWrapping"/>
      </w:r>
      <w:r>
        <w:rPr>
          <w:rStyle w:val="19"/>
          <w:rFonts w:hint="eastAsia" w:eastAsia="楷体"/>
          <w:b w:val="0"/>
          <w:bCs w:val="0"/>
          <w:spacing w:val="-4"/>
          <w:sz w:val="32"/>
          <w:szCs w:val="32"/>
        </w:rPr>
        <w:t>1.项目立项</w:t>
      </w:r>
      <w:r>
        <w:rPr>
          <w:rFonts w:hint="eastAsia" w:eastAsia="楷体"/>
          <w:b w:val="0"/>
          <w:bCs w:val="0"/>
          <w:spacing w:val="-4"/>
          <w:sz w:val="32"/>
          <w:szCs w:val="32"/>
        </w:rPr>
        <w:br w:type="textWrapping"/>
      </w:r>
      <w:r>
        <w:rPr>
          <w:rStyle w:val="19"/>
          <w:rFonts w:hint="eastAsia" w:eastAsia="楷体"/>
          <w:b w:val="0"/>
          <w:bCs w:val="0"/>
          <w:spacing w:val="-4"/>
          <w:sz w:val="32"/>
          <w:szCs w:val="32"/>
        </w:rPr>
        <w:t>（1）立项依据充分性</w:t>
      </w:r>
      <w:r>
        <w:rPr>
          <w:rFonts w:hint="eastAsia" w:eastAsia="楷体"/>
          <w:b w:val="0"/>
          <w:bCs w:val="0"/>
          <w:spacing w:val="-4"/>
          <w:sz w:val="32"/>
          <w:szCs w:val="32"/>
        </w:rPr>
        <w:br w:type="textWrapping"/>
      </w:r>
      <w:r>
        <w:rPr>
          <w:rStyle w:val="19"/>
          <w:rFonts w:hint="eastAsia" w:eastAsia="楷体"/>
          <w:b w:val="0"/>
          <w:bCs w:val="0"/>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eastAsia="楷体"/>
          <w:b w:val="0"/>
          <w:bCs w:val="0"/>
          <w:spacing w:val="-4"/>
          <w:sz w:val="32"/>
          <w:szCs w:val="32"/>
        </w:rPr>
        <w:br w:type="textWrapping"/>
      </w:r>
      <w:r>
        <w:rPr>
          <w:rStyle w:val="19"/>
          <w:rFonts w:hint="eastAsia" w:eastAsia="楷体"/>
          <w:b w:val="0"/>
          <w:bCs w:val="0"/>
          <w:spacing w:val="-4"/>
          <w:sz w:val="32"/>
          <w:szCs w:val="32"/>
        </w:rPr>
        <w:t>（2）立项程序规范性</w:t>
      </w:r>
      <w:r>
        <w:rPr>
          <w:rFonts w:hint="eastAsia" w:eastAsia="楷体"/>
          <w:b w:val="0"/>
          <w:bCs w:val="0"/>
          <w:spacing w:val="-4"/>
          <w:sz w:val="32"/>
          <w:szCs w:val="32"/>
        </w:rPr>
        <w:br w:type="textWrapping"/>
      </w:r>
      <w:r>
        <w:rPr>
          <w:rStyle w:val="19"/>
          <w:rFonts w:hint="eastAsia" w:eastAsia="楷体"/>
          <w:b w:val="0"/>
          <w:bCs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eastAsia="楷体"/>
          <w:b w:val="0"/>
          <w:bCs w:val="0"/>
          <w:spacing w:val="-4"/>
          <w:sz w:val="32"/>
          <w:szCs w:val="32"/>
        </w:rPr>
        <w:br w:type="textWrapping"/>
      </w:r>
      <w:r>
        <w:rPr>
          <w:rStyle w:val="19"/>
          <w:rFonts w:hint="eastAsia" w:eastAsia="楷体"/>
          <w:b w:val="0"/>
          <w:bCs w:val="0"/>
          <w:spacing w:val="-4"/>
          <w:sz w:val="32"/>
          <w:szCs w:val="32"/>
        </w:rPr>
        <w:t>2.绩效目标</w:t>
      </w:r>
      <w:r>
        <w:rPr>
          <w:rFonts w:hint="eastAsia" w:eastAsia="楷体"/>
          <w:b w:val="0"/>
          <w:bCs w:val="0"/>
          <w:spacing w:val="-4"/>
          <w:sz w:val="32"/>
          <w:szCs w:val="32"/>
        </w:rPr>
        <w:br w:type="textWrapping"/>
      </w:r>
      <w:r>
        <w:rPr>
          <w:rStyle w:val="19"/>
          <w:rFonts w:hint="eastAsia" w:eastAsia="楷体"/>
          <w:b w:val="0"/>
          <w:bCs w:val="0"/>
          <w:spacing w:val="-4"/>
          <w:sz w:val="32"/>
          <w:szCs w:val="32"/>
        </w:rPr>
        <w:t>（1）绩效目标合理性</w:t>
      </w:r>
      <w:r>
        <w:rPr>
          <w:rFonts w:hint="eastAsia" w:eastAsia="楷体"/>
          <w:b w:val="0"/>
          <w:bCs w:val="0"/>
          <w:spacing w:val="-4"/>
          <w:sz w:val="32"/>
          <w:szCs w:val="32"/>
        </w:rPr>
        <w:br w:type="textWrapping"/>
      </w:r>
      <w:r>
        <w:rPr>
          <w:rStyle w:val="19"/>
          <w:rFonts w:hint="eastAsia" w:eastAsia="楷体"/>
          <w:b w:val="0"/>
          <w:bCs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eastAsia="楷体"/>
          <w:b w:val="0"/>
          <w:bCs w:val="0"/>
          <w:spacing w:val="-4"/>
          <w:sz w:val="32"/>
          <w:szCs w:val="32"/>
        </w:rPr>
        <w:br w:type="textWrapping"/>
      </w:r>
      <w:r>
        <w:rPr>
          <w:rStyle w:val="19"/>
          <w:rFonts w:hint="eastAsia" w:eastAsia="楷体"/>
          <w:b w:val="0"/>
          <w:bCs w:val="0"/>
          <w:spacing w:val="-4"/>
          <w:sz w:val="32"/>
          <w:szCs w:val="32"/>
        </w:rPr>
        <w:t>（2）绩效指标明确性</w:t>
      </w:r>
      <w:r>
        <w:rPr>
          <w:rFonts w:hint="eastAsia" w:eastAsia="楷体"/>
          <w:b w:val="0"/>
          <w:bCs w:val="0"/>
          <w:spacing w:val="-4"/>
          <w:sz w:val="32"/>
          <w:szCs w:val="32"/>
        </w:rPr>
        <w:br w:type="textWrapping"/>
      </w:r>
      <w:r>
        <w:rPr>
          <w:rStyle w:val="19"/>
          <w:rFonts w:hint="eastAsia" w:eastAsia="楷体"/>
          <w:b w:val="0"/>
          <w:bCs w:val="0"/>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eastAsia="楷体"/>
          <w:b w:val="0"/>
          <w:bCs w:val="0"/>
          <w:spacing w:val="-4"/>
          <w:sz w:val="32"/>
          <w:szCs w:val="32"/>
        </w:rPr>
        <w:br w:type="textWrapping"/>
      </w:r>
      <w:r>
        <w:rPr>
          <w:rStyle w:val="19"/>
          <w:rFonts w:hint="eastAsia" w:eastAsia="楷体"/>
          <w:b w:val="0"/>
          <w:bCs w:val="0"/>
          <w:spacing w:val="-4"/>
          <w:sz w:val="32"/>
          <w:szCs w:val="32"/>
        </w:rPr>
        <w:t>3.资金投入</w:t>
      </w:r>
      <w:r>
        <w:rPr>
          <w:rFonts w:hint="eastAsia" w:eastAsia="楷体"/>
          <w:b w:val="0"/>
          <w:bCs w:val="0"/>
          <w:spacing w:val="-4"/>
          <w:sz w:val="32"/>
          <w:szCs w:val="32"/>
        </w:rPr>
        <w:br w:type="textWrapping"/>
      </w:r>
      <w:r>
        <w:rPr>
          <w:rStyle w:val="19"/>
          <w:rFonts w:hint="eastAsia" w:eastAsia="楷体"/>
          <w:b w:val="0"/>
          <w:bCs w:val="0"/>
          <w:spacing w:val="-4"/>
          <w:sz w:val="32"/>
          <w:szCs w:val="32"/>
        </w:rPr>
        <w:t>（1）预算编制科学性</w:t>
      </w:r>
      <w:r>
        <w:rPr>
          <w:rFonts w:hint="eastAsia" w:eastAsia="楷体"/>
          <w:b w:val="0"/>
          <w:bCs w:val="0"/>
          <w:spacing w:val="-4"/>
          <w:sz w:val="32"/>
          <w:szCs w:val="32"/>
        </w:rPr>
        <w:br w:type="textWrapping"/>
      </w:r>
      <w:r>
        <w:rPr>
          <w:rStyle w:val="19"/>
          <w:rFonts w:hint="eastAsia" w:eastAsia="楷体"/>
          <w:b w:val="0"/>
          <w:bCs w:val="0"/>
          <w:spacing w:val="-4"/>
          <w:sz w:val="32"/>
          <w:szCs w:val="32"/>
        </w:rPr>
        <w:t>预算编制经过科学论证，提供充分的测算依据佐证资料，预算内容与项目内容相匹配。项目投资额与工作任务相匹配。</w:t>
      </w:r>
      <w:r>
        <w:rPr>
          <w:rFonts w:hint="eastAsia" w:eastAsia="楷体"/>
          <w:b w:val="0"/>
          <w:bCs w:val="0"/>
          <w:spacing w:val="-4"/>
          <w:sz w:val="32"/>
          <w:szCs w:val="32"/>
        </w:rPr>
        <w:br w:type="textWrapping"/>
      </w:r>
      <w:r>
        <w:rPr>
          <w:rStyle w:val="19"/>
          <w:rFonts w:hint="eastAsia" w:eastAsia="楷体"/>
          <w:b w:val="0"/>
          <w:bCs w:val="0"/>
          <w:spacing w:val="-4"/>
          <w:sz w:val="32"/>
          <w:szCs w:val="32"/>
        </w:rPr>
        <w:t>（2）资金分配合理性</w:t>
      </w:r>
      <w:r>
        <w:rPr>
          <w:rFonts w:hint="eastAsia" w:eastAsia="楷体"/>
          <w:b w:val="0"/>
          <w:bCs w:val="0"/>
          <w:spacing w:val="-4"/>
          <w:sz w:val="32"/>
          <w:szCs w:val="32"/>
        </w:rPr>
        <w:br w:type="textWrapping"/>
      </w:r>
      <w:r>
        <w:rPr>
          <w:rStyle w:val="19"/>
          <w:rFonts w:hint="eastAsia" w:eastAsia="楷体"/>
          <w:b w:val="0"/>
          <w:bCs w:val="0"/>
          <w:spacing w:val="-4"/>
          <w:sz w:val="32"/>
          <w:szCs w:val="32"/>
        </w:rPr>
        <w:t>资金分配额度与项目单位实际工作内容相适应，资金分配额度合理，资金分配依据充分。</w:t>
      </w:r>
      <w:r>
        <w:rPr>
          <w:rStyle w:val="19"/>
          <w:rFonts w:hint="eastAsia" w:eastAsia="楷体"/>
          <w:b w:val="0"/>
          <w:bCs w:val="0"/>
          <w:spacing w:val="-4"/>
          <w:sz w:val="32"/>
          <w:szCs w:val="32"/>
        </w:rPr>
        <w:tab/>
      </w:r>
    </w:p>
    <w:p w14:paraId="58E2C09B">
      <w:pPr>
        <w:spacing w:line="540" w:lineRule="exact"/>
        <w:ind w:firstLine="627" w:firstLineChars="200"/>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152E579B">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（二）项目过程情况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项目过程类指标包括资金管理和组织实施两方面的内容，由5个三级指标构成，权重分值为20分，实际得分17.6分，得分率为88%。</w:t>
      </w:r>
      <w:r>
        <w:rPr>
          <w:rFonts w:hint="eastAsia" w:eastAsia="楷体"/>
          <w:b w:val="0"/>
          <w:bCs w:val="0"/>
          <w:spacing w:val="-4"/>
          <w:sz w:val="32"/>
          <w:szCs w:val="32"/>
        </w:rPr>
        <w:br w:type="textWrapping"/>
      </w:r>
      <w:r>
        <w:rPr>
          <w:rStyle w:val="19"/>
          <w:rFonts w:hint="eastAsia"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eastAsia="楷体"/>
          <w:b w:val="0"/>
          <w:bCs w:val="0"/>
          <w:spacing w:val="-4"/>
          <w:sz w:val="32"/>
          <w:szCs w:val="32"/>
        </w:rPr>
        <w:br w:type="textWrapping"/>
      </w:r>
      <w:r>
        <w:rPr>
          <w:rStyle w:val="19"/>
          <w:rFonts w:hint="eastAsia" w:eastAsia="楷体"/>
          <w:b w:val="0"/>
          <w:bCs w:val="0"/>
          <w:spacing w:val="-4"/>
          <w:sz w:val="32"/>
          <w:szCs w:val="32"/>
        </w:rPr>
        <w:t>1.资金管理</w:t>
      </w:r>
      <w:r>
        <w:rPr>
          <w:rFonts w:hint="eastAsia" w:eastAsia="楷体"/>
          <w:b w:val="0"/>
          <w:bCs w:val="0"/>
          <w:spacing w:val="-4"/>
          <w:sz w:val="32"/>
          <w:szCs w:val="32"/>
        </w:rPr>
        <w:br w:type="textWrapping"/>
      </w:r>
      <w:r>
        <w:rPr>
          <w:rStyle w:val="19"/>
          <w:rFonts w:hint="eastAsia" w:eastAsia="楷体"/>
          <w:b w:val="0"/>
          <w:bCs w:val="0"/>
          <w:spacing w:val="-4"/>
          <w:sz w:val="32"/>
          <w:szCs w:val="32"/>
        </w:rPr>
        <w:t>（1）资金到位率</w:t>
      </w:r>
      <w:r>
        <w:rPr>
          <w:rFonts w:hint="eastAsia" w:eastAsia="楷体"/>
          <w:b w:val="0"/>
          <w:bCs w:val="0"/>
          <w:spacing w:val="-4"/>
          <w:sz w:val="32"/>
          <w:szCs w:val="32"/>
        </w:rPr>
        <w:br w:type="textWrapping"/>
      </w:r>
      <w:r>
        <w:rPr>
          <w:rStyle w:val="19"/>
          <w:rFonts w:hint="eastAsia" w:eastAsia="楷体"/>
          <w:b w:val="0"/>
          <w:bCs w:val="0"/>
          <w:spacing w:val="-4"/>
          <w:sz w:val="32"/>
          <w:szCs w:val="32"/>
        </w:rPr>
        <w:t>本项目总投资2000万元，财政资金到位2000万元，到位率100%，预算资金按计划进度执行。</w:t>
      </w:r>
      <w:r>
        <w:rPr>
          <w:rFonts w:hint="eastAsia" w:eastAsia="楷体"/>
          <w:b w:val="0"/>
          <w:bCs w:val="0"/>
          <w:spacing w:val="-4"/>
          <w:sz w:val="32"/>
          <w:szCs w:val="32"/>
        </w:rPr>
        <w:br w:type="textWrapping"/>
      </w:r>
      <w:r>
        <w:rPr>
          <w:rStyle w:val="19"/>
          <w:rFonts w:hint="eastAsia" w:eastAsia="楷体"/>
          <w:b w:val="0"/>
          <w:bCs w:val="0"/>
          <w:spacing w:val="-4"/>
          <w:sz w:val="32"/>
          <w:szCs w:val="32"/>
        </w:rPr>
        <w:t>（2）预算执行率</w:t>
      </w:r>
      <w:r>
        <w:rPr>
          <w:rFonts w:hint="eastAsia" w:eastAsia="楷体"/>
          <w:b w:val="0"/>
          <w:bCs w:val="0"/>
          <w:spacing w:val="-4"/>
          <w:sz w:val="32"/>
          <w:szCs w:val="32"/>
        </w:rPr>
        <w:br w:type="textWrapping"/>
      </w:r>
      <w:r>
        <w:rPr>
          <w:rStyle w:val="19"/>
          <w:rFonts w:hint="eastAsia" w:eastAsia="楷体"/>
          <w:b w:val="0"/>
          <w:bCs w:val="0"/>
          <w:spacing w:val="-4"/>
          <w:sz w:val="32"/>
          <w:szCs w:val="32"/>
        </w:rPr>
        <w:t>预算编制较为详细，项目资金支出总体能够按照预算执行，预算资金支出1221.77万元，预算执行率为61.1%。</w:t>
      </w:r>
      <w:r>
        <w:rPr>
          <w:rFonts w:hint="eastAsia" w:eastAsia="楷体"/>
          <w:b w:val="0"/>
          <w:bCs w:val="0"/>
          <w:spacing w:val="-4"/>
          <w:sz w:val="32"/>
          <w:szCs w:val="32"/>
        </w:rPr>
        <w:br w:type="textWrapping"/>
      </w:r>
      <w:r>
        <w:rPr>
          <w:rStyle w:val="19"/>
          <w:rFonts w:hint="eastAsia" w:eastAsia="楷体"/>
          <w:b w:val="0"/>
          <w:bCs w:val="0"/>
          <w:spacing w:val="-4"/>
          <w:sz w:val="32"/>
          <w:szCs w:val="32"/>
        </w:rPr>
        <w:t>（3）资金使用合规性</w:t>
      </w:r>
      <w:r>
        <w:rPr>
          <w:rFonts w:hint="eastAsia" w:eastAsia="楷体"/>
          <w:b w:val="0"/>
          <w:bCs w:val="0"/>
          <w:spacing w:val="-4"/>
          <w:sz w:val="32"/>
          <w:szCs w:val="32"/>
        </w:rPr>
        <w:br w:type="textWrapping"/>
      </w:r>
      <w:r>
        <w:rPr>
          <w:rStyle w:val="19"/>
          <w:rFonts w:hint="eastAsia" w:eastAsia="楷体"/>
          <w:b w:val="0"/>
          <w:bCs w:val="0"/>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eastAsia="楷体"/>
          <w:b w:val="0"/>
          <w:bCs w:val="0"/>
          <w:spacing w:val="-4"/>
          <w:sz w:val="32"/>
          <w:szCs w:val="32"/>
        </w:rPr>
        <w:br w:type="textWrapping"/>
      </w:r>
      <w:r>
        <w:rPr>
          <w:rStyle w:val="19"/>
          <w:rFonts w:hint="eastAsia" w:eastAsia="楷体"/>
          <w:b w:val="0"/>
          <w:bCs w:val="0"/>
          <w:spacing w:val="-4"/>
          <w:sz w:val="32"/>
          <w:szCs w:val="32"/>
        </w:rPr>
        <w:t>2.组织实施</w:t>
      </w:r>
      <w:r>
        <w:rPr>
          <w:rFonts w:hint="eastAsia" w:eastAsia="楷体"/>
          <w:b w:val="0"/>
          <w:bCs w:val="0"/>
          <w:spacing w:val="-4"/>
          <w:sz w:val="32"/>
          <w:szCs w:val="32"/>
        </w:rPr>
        <w:br w:type="textWrapping"/>
      </w:r>
      <w:r>
        <w:rPr>
          <w:rStyle w:val="19"/>
          <w:rFonts w:hint="eastAsia" w:eastAsia="楷体"/>
          <w:b w:val="0"/>
          <w:bCs w:val="0"/>
          <w:spacing w:val="-4"/>
          <w:sz w:val="32"/>
          <w:szCs w:val="32"/>
        </w:rPr>
        <w:t>（1）管理制度健全性</w:t>
      </w:r>
      <w:r>
        <w:rPr>
          <w:rFonts w:hint="eastAsia" w:eastAsia="楷体"/>
          <w:b w:val="0"/>
          <w:bCs w:val="0"/>
          <w:spacing w:val="-4"/>
          <w:sz w:val="32"/>
          <w:szCs w:val="32"/>
        </w:rPr>
        <w:br w:type="textWrapping"/>
      </w:r>
      <w:r>
        <w:rPr>
          <w:rStyle w:val="19"/>
          <w:rFonts w:hint="eastAsia" w:eastAsia="楷体"/>
          <w:b w:val="0"/>
          <w:bCs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eastAsia="楷体"/>
          <w:b w:val="0"/>
          <w:bCs w:val="0"/>
          <w:spacing w:val="-4"/>
          <w:sz w:val="32"/>
          <w:szCs w:val="32"/>
        </w:rPr>
        <w:br w:type="textWrapping"/>
      </w:r>
      <w:r>
        <w:rPr>
          <w:rStyle w:val="19"/>
          <w:rFonts w:hint="eastAsia" w:eastAsia="楷体"/>
          <w:b w:val="0"/>
          <w:bCs w:val="0"/>
          <w:spacing w:val="-4"/>
          <w:sz w:val="32"/>
          <w:szCs w:val="32"/>
        </w:rPr>
        <w:t>（2）制度执行有效性</w:t>
      </w:r>
      <w:r>
        <w:rPr>
          <w:rFonts w:hint="eastAsia" w:eastAsia="楷体"/>
          <w:b w:val="0"/>
          <w:bCs w:val="0"/>
          <w:spacing w:val="-4"/>
          <w:sz w:val="32"/>
          <w:szCs w:val="32"/>
        </w:rPr>
        <w:br w:type="textWrapping"/>
      </w:r>
      <w:r>
        <w:rPr>
          <w:rStyle w:val="19"/>
          <w:rFonts w:hint="eastAsia" w:eastAsia="楷体"/>
          <w:b w:val="0"/>
          <w:bCs w:val="0"/>
          <w:spacing w:val="-4"/>
          <w:sz w:val="32"/>
          <w:szCs w:val="32"/>
        </w:rPr>
        <w:t>对资金使用的合法合规性进行监督，年末对资金使用效果进行评价。项目管理、实施人员落实到位，有效按照计划执行。项目执行情况等资料齐全，项目相关手续完备，及时进行归档。</w:t>
      </w:r>
    </w:p>
    <w:p w14:paraId="5696E823">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0916390B">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（三）项目产出情况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项目产出类指标包括产出数量、产出质量、产出时效、产出成本四方面的内容，由4个三级指标构成，权重分为40分，实际得分39分，得分率为97.5%。具体产出指标完成情况如下：</w:t>
      </w:r>
      <w:r>
        <w:rPr>
          <w:rFonts w:hint="eastAsia" w:eastAsia="楷体"/>
          <w:b w:val="0"/>
          <w:bCs w:val="0"/>
          <w:spacing w:val="-4"/>
          <w:sz w:val="32"/>
          <w:szCs w:val="32"/>
        </w:rPr>
        <w:br w:type="textWrapping"/>
      </w:r>
      <w:r>
        <w:rPr>
          <w:rStyle w:val="19"/>
          <w:rFonts w:hint="eastAsia" w:eastAsia="楷体"/>
          <w:b w:val="0"/>
          <w:bCs w:val="0"/>
          <w:spacing w:val="-4"/>
          <w:sz w:val="32"/>
          <w:szCs w:val="32"/>
        </w:rPr>
        <w:t>①数量指标：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指标1：老旧小区改造数量，指标值：11个 ，实际完成值：11个 ，指标完成率 100 %。</w:t>
      </w:r>
      <w:r>
        <w:rPr>
          <w:rFonts w:hint="eastAsia" w:eastAsia="楷体"/>
          <w:b w:val="0"/>
          <w:bCs w:val="0"/>
          <w:spacing w:val="-4"/>
          <w:sz w:val="32"/>
          <w:szCs w:val="32"/>
        </w:rPr>
        <w:br w:type="textWrapping"/>
      </w:r>
      <w:r>
        <w:rPr>
          <w:rStyle w:val="19"/>
          <w:rFonts w:hint="eastAsia" w:eastAsia="楷体"/>
          <w:b w:val="0"/>
          <w:bCs w:val="0"/>
          <w:spacing w:val="-4"/>
          <w:sz w:val="32"/>
          <w:szCs w:val="32"/>
        </w:rPr>
        <w:t>②质量指标：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指标1：竣工验收合格率，指标值：100% ，实际完成值： 90% ，指标完成率90%。偏差原因：目前在竣工验收阶段，由于施工环境复杂，维斯特小区水泵房加压泵未安装完成，导致竣工验收未完成。改进措施：加强施工进度，保障竣工验收顺利完成。</w:t>
      </w:r>
      <w:r>
        <w:rPr>
          <w:rFonts w:hint="eastAsia" w:eastAsia="楷体"/>
          <w:b w:val="0"/>
          <w:bCs w:val="0"/>
          <w:spacing w:val="-4"/>
          <w:sz w:val="32"/>
          <w:szCs w:val="32"/>
        </w:rPr>
        <w:br w:type="textWrapping"/>
      </w:r>
      <w:r>
        <w:rPr>
          <w:rStyle w:val="19"/>
          <w:rFonts w:hint="eastAsia" w:eastAsia="楷体"/>
          <w:b w:val="0"/>
          <w:bCs w:val="0"/>
          <w:spacing w:val="-4"/>
          <w:sz w:val="32"/>
          <w:szCs w:val="32"/>
        </w:rPr>
        <w:t>③时效指标：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指标1：资金拨付及时率，指标值：≥90% ，实际完成值： 61.1%，指标完成率67.88%。偏差原因：支付效率不够高，导致资金投入未按目标值完成，改进措施：加强学习支付流程的制度，提高支付效率。</w:t>
      </w:r>
      <w:r>
        <w:rPr>
          <w:rFonts w:hint="eastAsia" w:eastAsia="楷体"/>
          <w:b w:val="0"/>
          <w:bCs w:val="0"/>
          <w:spacing w:val="-4"/>
          <w:sz w:val="32"/>
          <w:szCs w:val="32"/>
        </w:rPr>
        <w:br w:type="textWrapping"/>
      </w:r>
      <w:r>
        <w:rPr>
          <w:rStyle w:val="19"/>
          <w:rFonts w:hint="eastAsia" w:eastAsia="楷体"/>
          <w:b w:val="0"/>
          <w:bCs w:val="0"/>
          <w:spacing w:val="-4"/>
          <w:sz w:val="32"/>
          <w:szCs w:val="32"/>
        </w:rPr>
        <w:t>指标2：按计划开工率，指标值：≥80% ，实际完成值： 100%，指标完成率100%。</w:t>
      </w:r>
      <w:r>
        <w:rPr>
          <w:rFonts w:hint="eastAsia" w:eastAsia="楷体"/>
          <w:b w:val="0"/>
          <w:bCs w:val="0"/>
          <w:spacing w:val="-4"/>
          <w:sz w:val="32"/>
          <w:szCs w:val="32"/>
        </w:rPr>
        <w:br w:type="textWrapping"/>
      </w:r>
      <w:r>
        <w:rPr>
          <w:rStyle w:val="19"/>
          <w:rFonts w:hint="eastAsia" w:eastAsia="楷体"/>
          <w:b w:val="0"/>
          <w:bCs w:val="0"/>
          <w:spacing w:val="-4"/>
          <w:sz w:val="32"/>
          <w:szCs w:val="32"/>
        </w:rPr>
        <w:t>④成本指标：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1：该资金平均每个小区投入成本，指标值：≤181.82万元，实际完成值：111.07万元，指标完成率61.1%。偏差原因：支付效率不够高，导致资金投入未按目标值完成，改进措施：加强学习支付流程的制度，提高支付效率。</w:t>
      </w:r>
    </w:p>
    <w:p w14:paraId="26020ECF">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7131D41B">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（四）项目效益情况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eastAsia="楷体"/>
          <w:b w:val="0"/>
          <w:bCs w:val="0"/>
          <w:spacing w:val="-4"/>
          <w:sz w:val="32"/>
          <w:szCs w:val="32"/>
        </w:rPr>
        <w:br w:type="textWrapping"/>
      </w:r>
      <w:r>
        <w:rPr>
          <w:rStyle w:val="19"/>
          <w:rFonts w:hint="eastAsia" w:eastAsia="楷体"/>
          <w:b w:val="0"/>
          <w:bCs w:val="0"/>
          <w:spacing w:val="-4"/>
          <w:sz w:val="32"/>
          <w:szCs w:val="32"/>
        </w:rPr>
        <w:t>1.实施效益</w:t>
      </w:r>
      <w:r>
        <w:rPr>
          <w:rFonts w:hint="eastAsia" w:eastAsia="楷体"/>
          <w:b w:val="0"/>
          <w:bCs w:val="0"/>
          <w:spacing w:val="-4"/>
          <w:sz w:val="32"/>
          <w:szCs w:val="32"/>
        </w:rPr>
        <w:br w:type="textWrapping"/>
      </w:r>
      <w:r>
        <w:rPr>
          <w:rStyle w:val="19"/>
          <w:rFonts w:hint="eastAsia" w:eastAsia="楷体"/>
          <w:b w:val="0"/>
          <w:bCs w:val="0"/>
          <w:spacing w:val="-4"/>
          <w:sz w:val="32"/>
          <w:szCs w:val="32"/>
        </w:rPr>
        <w:t>①社会效益指标：</w:t>
      </w:r>
      <w:r>
        <w:rPr>
          <w:rFonts w:hint="eastAsia" w:eastAsia="楷体"/>
          <w:b w:val="0"/>
          <w:bCs w:val="0"/>
          <w:spacing w:val="-4"/>
          <w:sz w:val="32"/>
          <w:szCs w:val="32"/>
        </w:rPr>
        <w:br w:type="textWrapping"/>
      </w:r>
      <w:r>
        <w:rPr>
          <w:rStyle w:val="19"/>
          <w:rFonts w:hint="eastAsia" w:eastAsia="楷体"/>
          <w:b w:val="0"/>
          <w:bCs w:val="0"/>
          <w:spacing w:val="-4"/>
          <w:sz w:val="32"/>
          <w:szCs w:val="32"/>
        </w:rPr>
        <w:t>指标1：拓展城市发展空间，指标值：有效拓展 ，实际完成值：完全达到预期 ，指标完成率 100 %。</w:t>
      </w:r>
      <w:r>
        <w:rPr>
          <w:rFonts w:hint="eastAsia" w:eastAsia="楷体"/>
          <w:b w:val="0"/>
          <w:bCs w:val="0"/>
          <w:spacing w:val="-4"/>
          <w:sz w:val="32"/>
          <w:szCs w:val="32"/>
        </w:rPr>
        <w:br w:type="textWrapping"/>
      </w:r>
      <w:r>
        <w:rPr>
          <w:rStyle w:val="19"/>
          <w:rFonts w:hint="eastAsia" w:eastAsia="楷体"/>
          <w:b w:val="0"/>
          <w:bCs w:val="0"/>
          <w:spacing w:val="-4"/>
          <w:sz w:val="32"/>
          <w:szCs w:val="32"/>
        </w:rPr>
        <w:t>2.满意度</w:t>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满意度指标：群众满意度，指标值：≥90% ，实际完成值：90%，指标完成率 100 %。</w:t>
      </w:r>
    </w:p>
    <w:p w14:paraId="0C8D9761">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2.满意度</w:t>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满意度指标：群众满意度，指标值：≥90% ，实际完成值：90%，指标完成率 100 %。</w:t>
      </w:r>
    </w:p>
    <w:p w14:paraId="1CFF915D">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五、主要经验及做法、存在的问题及原因分析</w:t>
      </w:r>
    </w:p>
    <w:p w14:paraId="7B385DC1">
      <w:pPr>
        <w:spacing w:line="540" w:lineRule="exact"/>
        <w:ind w:firstLine="624" w:firstLineChars="200"/>
        <w:rPr>
          <w:rStyle w:val="19"/>
          <w:rFonts w:eastAsia="楷体"/>
        </w:rPr>
      </w:pPr>
      <w:r>
        <w:rPr>
          <w:rStyle w:val="19"/>
          <w:rFonts w:hint="eastAsia" w:eastAsia="楷体"/>
          <w:b w:val="0"/>
          <w:bCs w:val="0"/>
          <w:spacing w:val="-4"/>
          <w:sz w:val="32"/>
          <w:szCs w:val="32"/>
        </w:rPr>
        <w:t>（一）主要经验及做法</w:t>
      </w:r>
      <w:r>
        <w:rPr>
          <w:rFonts w:hint="eastAsia" w:eastAsia="楷体"/>
          <w:b w:val="0"/>
          <w:bCs w:val="0"/>
          <w:spacing w:val="-4"/>
          <w:sz w:val="32"/>
          <w:szCs w:val="32"/>
        </w:rPr>
        <w:br w:type="textWrapping"/>
      </w:r>
      <w:r>
        <w:rPr>
          <w:rStyle w:val="19"/>
          <w:rFonts w:hint="eastAsia"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eastAsia="楷体"/>
          <w:b w:val="0"/>
          <w:bCs w:val="0"/>
          <w:spacing w:val="-4"/>
          <w:sz w:val="32"/>
          <w:szCs w:val="32"/>
        </w:rPr>
        <w:br w:type="textWrapping"/>
      </w:r>
      <w:r>
        <w:rPr>
          <w:rStyle w:val="19"/>
          <w:rFonts w:hint="eastAsia"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eastAsia="楷体"/>
          <w:b w:val="0"/>
          <w:bCs w:val="0"/>
          <w:spacing w:val="-4"/>
          <w:sz w:val="32"/>
          <w:szCs w:val="32"/>
        </w:rPr>
        <w:br w:type="textWrapping"/>
      </w:r>
      <w:r>
        <w:rPr>
          <w:rStyle w:val="19"/>
          <w:rFonts w:hint="eastAsia" w:eastAsia="楷体"/>
          <w:b w:val="0"/>
          <w:bCs w:val="0"/>
          <w:spacing w:val="-4"/>
          <w:sz w:val="32"/>
          <w:szCs w:val="32"/>
        </w:rPr>
        <w:t>（二）存在的问题及原因分析</w:t>
      </w:r>
      <w:r>
        <w:rPr>
          <w:rFonts w:hint="eastAsia" w:eastAsia="楷体"/>
          <w:b w:val="0"/>
          <w:bCs w:val="0"/>
          <w:spacing w:val="-4"/>
          <w:sz w:val="32"/>
          <w:szCs w:val="32"/>
        </w:rPr>
        <w:br w:type="textWrapping"/>
      </w:r>
      <w:r>
        <w:rPr>
          <w:rStyle w:val="19"/>
          <w:rFonts w:hint="eastAsia" w:eastAsia="楷体"/>
          <w:b w:val="0"/>
          <w:bCs w:val="0"/>
          <w:spacing w:val="-4"/>
          <w:sz w:val="32"/>
          <w:szCs w:val="32"/>
        </w:rPr>
        <w:t>1.相关绩效管理方面专业知识的系统性学习有待加强。各项指标的设置要进一步优化、完善，主要在细化、量化上改进。在绩效自评过程中，</w:t>
      </w:r>
      <w:r>
        <w:rPr>
          <w:rStyle w:val="19"/>
          <w:rFonts w:hint="eastAsia" w:eastAsia="楷体"/>
          <w:b w:val="0"/>
          <w:bCs w:val="0"/>
          <w:spacing w:val="-4"/>
          <w:sz w:val="32"/>
          <w:szCs w:val="32"/>
          <w:lang w:val="en-US" w:eastAsia="zh-CN"/>
        </w:rPr>
        <w:t>由于部分人员</w:t>
      </w:r>
      <w:r>
        <w:rPr>
          <w:rStyle w:val="19"/>
          <w:rFonts w:hint="eastAsia" w:eastAsia="楷体"/>
          <w:b w:val="0"/>
          <w:bCs w:val="0"/>
          <w:spacing w:val="-4"/>
          <w:sz w:val="32"/>
          <w:szCs w:val="32"/>
        </w:rPr>
        <w:t>缺乏相关绩效管理专业知识，自评价工作还存在自我审定的局限性，影响评价质量。</w:t>
      </w:r>
      <w:r>
        <w:rPr>
          <w:rFonts w:hint="eastAsia" w:eastAsia="楷体"/>
          <w:b w:val="0"/>
          <w:bCs w:val="0"/>
          <w:spacing w:val="-4"/>
          <w:sz w:val="32"/>
          <w:szCs w:val="32"/>
        </w:rPr>
        <w:br w:type="textWrapping"/>
      </w:r>
      <w:r>
        <w:rPr>
          <w:rStyle w:val="19"/>
          <w:rFonts w:hint="eastAsia" w:eastAsia="楷体"/>
          <w:b w:val="0"/>
          <w:bCs w:val="0"/>
          <w:spacing w:val="-4"/>
          <w:sz w:val="32"/>
          <w:szCs w:val="32"/>
        </w:rPr>
        <w:t>2.因轮岗、调动、等因素使我单位绩效工作人员流动频繁，造成了工作衔接不到位的情况。</w:t>
      </w:r>
    </w:p>
    <w:p w14:paraId="22DE5574">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六、有关建议</w:t>
      </w:r>
    </w:p>
    <w:p w14:paraId="7D975BE9">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1.多进行有关绩效管理工作方面的培训。积极组织第三方开展绩效管理工作培训，进一步夯实业务基础，提高我单位绩效人员水平。</w:t>
      </w:r>
      <w:r>
        <w:rPr>
          <w:rFonts w:hint="eastAsia" w:eastAsia="楷体"/>
          <w:b w:val="0"/>
          <w:bCs w:val="0"/>
          <w:spacing w:val="-4"/>
          <w:sz w:val="32"/>
          <w:szCs w:val="32"/>
        </w:rPr>
        <w:br w:type="textWrapping"/>
      </w:r>
      <w:r>
        <w:rPr>
          <w:rStyle w:val="19"/>
          <w:rFonts w:hint="eastAsia" w:eastAsia="楷体"/>
          <w:b w:val="0"/>
          <w:bCs w:val="0"/>
          <w:spacing w:val="-4"/>
          <w:sz w:val="32"/>
          <w:szCs w:val="32"/>
        </w:rPr>
        <w:t>2.专门设定对绩效工作人员定职、定岗、定责等相关制度措施，进一步提升我单位绩效管理工作业务水平，扎实做好绩效管理工作。</w:t>
      </w:r>
      <w:r>
        <w:rPr>
          <w:rFonts w:hint="eastAsia" w:eastAsia="楷体"/>
          <w:b w:val="0"/>
          <w:bCs w:val="0"/>
          <w:spacing w:val="-4"/>
          <w:sz w:val="32"/>
          <w:szCs w:val="32"/>
        </w:rPr>
        <w:br w:type="textWrapping"/>
      </w:r>
      <w:r>
        <w:rPr>
          <w:rStyle w:val="19"/>
          <w:rFonts w:hint="eastAsia" w:eastAsia="楷体"/>
          <w:b w:val="0"/>
          <w:bCs w:val="0"/>
          <w:spacing w:val="-4"/>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Fonts w:hint="eastAsia" w:eastAsia="楷体"/>
          <w:b w:val="0"/>
          <w:bCs w:val="0"/>
          <w:spacing w:val="-4"/>
          <w:sz w:val="32"/>
          <w:szCs w:val="32"/>
        </w:rPr>
        <w:br w:type="textWrapping"/>
      </w:r>
      <w:r>
        <w:rPr>
          <w:rStyle w:val="19"/>
          <w:rFonts w:hint="eastAsia" w:eastAsia="楷体"/>
          <w:b w:val="0"/>
          <w:bCs w:val="0"/>
          <w:spacing w:val="-4"/>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eastAsia="楷体"/>
          <w:b w:val="0"/>
          <w:bCs w:val="0"/>
          <w:spacing w:val="-4"/>
          <w:sz w:val="32"/>
          <w:szCs w:val="32"/>
        </w:rPr>
        <w:br w:type="textWrapping"/>
      </w:r>
      <w:r>
        <w:rPr>
          <w:rStyle w:val="19"/>
          <w:rFonts w:hint="eastAsia" w:eastAsia="楷体"/>
          <w:b w:val="0"/>
          <w:bCs w:val="0"/>
          <w:spacing w:val="-4"/>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90F0B8B">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七、其他需要说明的问题</w:t>
      </w:r>
    </w:p>
    <w:p w14:paraId="6FAB3116">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1.建议财政部门根据项目预算安排，提高资金到位率和资金执行效率。</w:t>
      </w:r>
    </w:p>
    <w:p w14:paraId="35384504">
      <w:pPr>
        <w:spacing w:line="540" w:lineRule="exact"/>
        <w:ind w:firstLine="624" w:firstLineChars="200"/>
        <w:rPr>
          <w:rStyle w:val="19"/>
          <w:rFonts w:ascii="仿宋" w:hAnsi="仿宋" w:eastAsia="仿宋"/>
          <w:b w:val="0"/>
          <w:spacing w:val="-4"/>
          <w:sz w:val="32"/>
          <w:szCs w:val="32"/>
        </w:rPr>
      </w:pPr>
    </w:p>
    <w:p w14:paraId="740FA96C">
      <w:pPr>
        <w:spacing w:line="540" w:lineRule="exact"/>
        <w:ind w:firstLine="624" w:firstLineChars="200"/>
        <w:rPr>
          <w:rStyle w:val="19"/>
          <w:rFonts w:ascii="仿宋" w:hAnsi="仿宋" w:eastAsia="仿宋"/>
          <w:b w:val="0"/>
          <w:spacing w:val="-4"/>
          <w:sz w:val="32"/>
          <w:szCs w:val="32"/>
        </w:rPr>
      </w:pPr>
    </w:p>
    <w:p w14:paraId="53B2B4C7">
      <w:pPr>
        <w:spacing w:line="540" w:lineRule="exact"/>
        <w:ind w:firstLine="624" w:firstLineChars="200"/>
        <w:rPr>
          <w:rStyle w:val="19"/>
          <w:rFonts w:ascii="仿宋" w:hAnsi="仿宋" w:eastAsia="仿宋"/>
          <w:b w:val="0"/>
          <w:spacing w:val="-4"/>
          <w:sz w:val="32"/>
          <w:szCs w:val="32"/>
        </w:rPr>
      </w:pPr>
    </w:p>
    <w:p w14:paraId="225E89D1">
      <w:pPr>
        <w:spacing w:line="540" w:lineRule="exact"/>
        <w:ind w:firstLine="624" w:firstLineChars="200"/>
        <w:rPr>
          <w:rStyle w:val="19"/>
          <w:rFonts w:ascii="仿宋" w:hAnsi="仿宋" w:eastAsia="仿宋"/>
          <w:b w:val="0"/>
          <w:spacing w:val="-4"/>
          <w:sz w:val="32"/>
          <w:szCs w:val="32"/>
        </w:rPr>
      </w:pPr>
    </w:p>
    <w:p w14:paraId="3807A593">
      <w:pPr>
        <w:spacing w:line="540" w:lineRule="exact"/>
        <w:ind w:firstLine="624" w:firstLineChars="200"/>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569DFF7-FA1B-4853-8D28-481B74B680D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745B09C-4B6B-4562-9BFA-8631011486A4}"/>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47748F2-A3FD-4919-BF67-DD1420BC5698}"/>
  </w:font>
  <w:font w:name="华文中宋">
    <w:panose1 w:val="02010600040101010101"/>
    <w:charset w:val="86"/>
    <w:family w:val="auto"/>
    <w:pitch w:val="default"/>
    <w:sig w:usb0="00000287" w:usb1="080F0000" w:usb2="00000000" w:usb3="00000000" w:csb0="0004009F" w:csb1="DFD70000"/>
    <w:embedRegular r:id="rId4" w:fontKey="{B517B7D1-8C35-4C62-9535-978563FF0BC0}"/>
  </w:font>
  <w:font w:name="方正小标宋_GBK">
    <w:panose1 w:val="02000000000000000000"/>
    <w:charset w:val="86"/>
    <w:family w:val="script"/>
    <w:pitch w:val="default"/>
    <w:sig w:usb0="A00002BF" w:usb1="38CF7CFA" w:usb2="00082016" w:usb3="00000000" w:csb0="00040001" w:csb1="00000000"/>
    <w:embedRegular r:id="rId5" w:fontKey="{29A0331A-7E47-4394-AAEA-CDC8ADE008A4}"/>
  </w:font>
  <w:font w:name="仿宋_GB2312">
    <w:panose1 w:val="02010609030101010101"/>
    <w:charset w:val="86"/>
    <w:family w:val="modern"/>
    <w:pitch w:val="default"/>
    <w:sig w:usb0="00000001" w:usb1="080E0000" w:usb2="00000000" w:usb3="00000000" w:csb0="00040000" w:csb1="00000000"/>
    <w:embedRegular r:id="rId6" w:fontKey="{C34358D8-87D0-4D81-A2CF-8E6D9B4949AC}"/>
  </w:font>
  <w:font w:name="楷体">
    <w:panose1 w:val="02010609060101010101"/>
    <w:charset w:val="86"/>
    <w:family w:val="modern"/>
    <w:pitch w:val="default"/>
    <w:sig w:usb0="800002BF" w:usb1="38CF7CFA" w:usb2="00000016" w:usb3="00000000" w:csb0="00040001" w:csb1="00000000"/>
    <w:embedRegular r:id="rId7" w:fontKey="{65DA5BFA-5638-4E52-BE91-7BBED526E5D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B454DED">
        <w:pPr>
          <w:pStyle w:val="12"/>
          <w:jc w:val="center"/>
        </w:pPr>
        <w:r>
          <w:fldChar w:fldCharType="begin"/>
        </w:r>
        <w:r>
          <w:instrText xml:space="preserve">PAGE   \* MERGEFORMAT</w:instrText>
        </w:r>
        <w:r>
          <w:fldChar w:fldCharType="separate"/>
        </w:r>
        <w:r>
          <w:rPr>
            <w:lang w:val="zh-CN"/>
          </w:rPr>
          <w:t>2</w:t>
        </w:r>
        <w:r>
          <w:fldChar w:fldCharType="end"/>
        </w:r>
      </w:p>
    </w:sdtContent>
  </w:sdt>
  <w:p w14:paraId="0976653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6F2E33A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

<file path=customXml/itemProps1.xml><?xml version="1.0" encoding="utf-8"?>
<ds:datastoreItem xmlns:ds="http://schemas.openxmlformats.org/officeDocument/2006/customXml" ds:itemID="{28c1b3f6-be4b-4419-9704-5eb51116d3f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16</Pages>
  <Words>7477</Words>
  <Characters>7789</Characters>
  <Lines>4</Lines>
  <Paragraphs>1</Paragraphs>
  <TotalTime>0</TotalTime>
  <ScaleCrop>false</ScaleCrop>
  <LinksUpToDate>false</LinksUpToDate>
  <CharactersWithSpaces>7846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恺_xFF08_预算处_xFF09_</dc:creator>
  <cp:lastModifiedBy>雨。</cp:lastModifiedBy>
  <cp:lastPrinted>2018-12-31T10:56:00Z</cp:lastPrinted>
  <dcterms:modified xsi:type="dcterms:W3CDTF">2025-11-06T03:08:59Z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AC8D1C95289B424182C977C1902B2A2F</vt:lpwstr>
  </property>
</Properties>
</file>