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A46EB"/>
    <w:p w14:paraId="113A0C0D">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kern w:val="0"/>
          <w:sz w:val="48"/>
          <w:szCs w:val="48"/>
        </w:rPr>
      </w:pPr>
    </w:p>
    <w:p w14:paraId="70E4FD3B">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kern w:val="0"/>
          <w:sz w:val="48"/>
          <w:szCs w:val="48"/>
        </w:rPr>
      </w:pPr>
    </w:p>
    <w:p w14:paraId="5465E90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《水磨沟区文旅产业融合发展示范区建设方案及总体规划》第二笔编制费用资金</w:t>
      </w:r>
    </w:p>
    <w:p w14:paraId="5BD22F3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华文中宋" w:cs="Times New Roman"/>
          <w:b/>
          <w:kern w:val="0"/>
          <w:sz w:val="52"/>
          <w:szCs w:val="52"/>
        </w:rPr>
      </w:pPr>
      <w:r>
        <w:rPr>
          <w:rFonts w:hint="default" w:ascii="Times New Roman" w:hAnsi="Times New Roman" w:eastAsia="方正小标宋_GBK" w:cs="Times New Roman"/>
          <w:kern w:val="0"/>
          <w:sz w:val="48"/>
          <w:szCs w:val="48"/>
        </w:rPr>
        <w:t>项目支出绩效评价报告</w:t>
      </w:r>
    </w:p>
    <w:p w14:paraId="5F52752A">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E838570">
      <w:pPr>
        <w:pageBreakBefore w:val="0"/>
        <w:kinsoku/>
        <w:wordWrap/>
        <w:overflowPunct/>
        <w:topLinePunct w:val="0"/>
        <w:autoSpaceDE/>
        <w:autoSpaceDN/>
        <w:bidi w:val="0"/>
        <w:adjustRightInd/>
        <w:snapToGrid/>
        <w:spacing w:line="560" w:lineRule="exact"/>
        <w:ind w:left="0" w:leftChars="0" w:firstLine="600" w:firstLineChars="200"/>
        <w:jc w:val="center"/>
        <w:textAlignment w:val="auto"/>
        <w:rPr>
          <w:rFonts w:hint="default" w:ascii="Times New Roman" w:hAnsi="Times New Roman" w:eastAsia="仿宋_GB2312" w:cs="Times New Roman"/>
          <w:kern w:val="0"/>
          <w:sz w:val="30"/>
          <w:szCs w:val="30"/>
        </w:rPr>
      </w:pPr>
    </w:p>
    <w:p w14:paraId="2938A179">
      <w:pPr>
        <w:pageBreakBefore w:val="0"/>
        <w:kinsoku/>
        <w:wordWrap/>
        <w:overflowPunct/>
        <w:topLinePunct w:val="0"/>
        <w:autoSpaceDE/>
        <w:autoSpaceDN/>
        <w:bidi w:val="0"/>
        <w:adjustRightInd/>
        <w:snapToGrid/>
        <w:spacing w:line="560" w:lineRule="exact"/>
        <w:ind w:left="0" w:leftChars="0" w:firstLine="600" w:firstLineChars="200"/>
        <w:jc w:val="center"/>
        <w:textAlignment w:val="auto"/>
        <w:rPr>
          <w:rFonts w:hint="default" w:ascii="Times New Roman" w:hAnsi="Times New Roman" w:eastAsia="仿宋_GB2312" w:cs="Times New Roman"/>
          <w:kern w:val="0"/>
          <w:sz w:val="30"/>
          <w:szCs w:val="30"/>
        </w:rPr>
      </w:pPr>
    </w:p>
    <w:p w14:paraId="61629C2C">
      <w:pPr>
        <w:pageBreakBefore w:val="0"/>
        <w:kinsoku/>
        <w:wordWrap/>
        <w:overflowPunct/>
        <w:topLinePunct w:val="0"/>
        <w:autoSpaceDE/>
        <w:autoSpaceDN/>
        <w:bidi w:val="0"/>
        <w:adjustRightInd/>
        <w:snapToGrid/>
        <w:spacing w:line="560" w:lineRule="exact"/>
        <w:ind w:left="0" w:leftChars="0" w:firstLine="600" w:firstLineChars="200"/>
        <w:jc w:val="both"/>
        <w:textAlignment w:val="auto"/>
        <w:rPr>
          <w:rFonts w:hint="default" w:ascii="Times New Roman" w:hAnsi="Times New Roman" w:eastAsia="仿宋_GB2312" w:cs="Times New Roman"/>
          <w:kern w:val="0"/>
          <w:sz w:val="30"/>
          <w:szCs w:val="30"/>
        </w:rPr>
      </w:pPr>
    </w:p>
    <w:p w14:paraId="634CE19C">
      <w:pPr>
        <w:pStyle w:val="8"/>
        <w:pageBreakBefore w:val="0"/>
        <w:kinsoku/>
        <w:wordWrap/>
        <w:overflowPunct/>
        <w:topLinePunct w:val="0"/>
        <w:autoSpaceDE/>
        <w:autoSpaceDN/>
        <w:bidi w:val="0"/>
        <w:adjustRightInd/>
        <w:snapToGrid/>
        <w:spacing w:before="0" w:after="0" w:line="560" w:lineRule="exact"/>
        <w:ind w:left="0" w:leftChars="0" w:firstLine="602" w:firstLineChars="200"/>
        <w:jc w:val="both"/>
        <w:textAlignment w:val="auto"/>
        <w:rPr>
          <w:rFonts w:hint="default" w:ascii="Times New Roman" w:hAnsi="Times New Roman" w:eastAsia="仿宋_GB2312" w:cs="Times New Roman"/>
          <w:kern w:val="0"/>
          <w:sz w:val="30"/>
          <w:szCs w:val="30"/>
        </w:rPr>
      </w:pPr>
    </w:p>
    <w:p w14:paraId="028FA88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kern w:val="0"/>
          <w:sz w:val="36"/>
          <w:szCs w:val="36"/>
        </w:rPr>
      </w:pPr>
    </w:p>
    <w:p w14:paraId="30E1ED1A">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w:t>
      </w:r>
      <w:r>
        <w:rPr>
          <w:rFonts w:hint="default" w:ascii="Times New Roman" w:hAnsi="Times New Roman" w:eastAsia="仿宋_GB2312" w:cs="Times New Roman"/>
          <w:kern w:val="0"/>
          <w:sz w:val="36"/>
          <w:szCs w:val="36"/>
        </w:rPr>
        <w:t>《水磨沟区文旅产业融合发展示范区建设</w:t>
      </w:r>
    </w:p>
    <w:p w14:paraId="27F45296">
      <w:pPr>
        <w:keepNext w:val="0"/>
        <w:keepLines w:val="0"/>
        <w:pageBreakBefore w:val="0"/>
        <w:widowControl w:val="0"/>
        <w:kinsoku/>
        <w:wordWrap/>
        <w:overflowPunct/>
        <w:topLinePunct w:val="0"/>
        <w:autoSpaceDE/>
        <w:autoSpaceDN/>
        <w:bidi w:val="0"/>
        <w:adjustRightInd/>
        <w:snapToGrid/>
        <w:spacing w:line="560" w:lineRule="exact"/>
        <w:ind w:left="0" w:leftChars="0" w:firstLine="2520" w:firstLineChars="7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方案及总体规划》第二笔编制费用</w:t>
      </w:r>
    </w:p>
    <w:p w14:paraId="60AD27D2">
      <w:pPr>
        <w:keepNext w:val="0"/>
        <w:keepLines w:val="0"/>
        <w:pageBreakBefore w:val="0"/>
        <w:widowControl w:val="0"/>
        <w:kinsoku/>
        <w:wordWrap/>
        <w:overflowPunct/>
        <w:topLinePunct w:val="0"/>
        <w:autoSpaceDE/>
        <w:autoSpaceDN/>
        <w:bidi w:val="0"/>
        <w:adjustRightInd/>
        <w:snapToGrid/>
        <w:spacing w:line="560" w:lineRule="exact"/>
        <w:ind w:left="3958" w:leftChars="342" w:hanging="3240" w:hangingChars="900"/>
        <w:jc w:val="both"/>
        <w:textAlignment w:val="auto"/>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实施单位（公章）：乌鲁木齐市水磨沟区文化体育和旅游局</w:t>
      </w:r>
      <w:r>
        <w:rPr>
          <w:rFonts w:hint="default" w:ascii="Times New Roman" w:hAnsi="Times New Roman" w:eastAsia="仿宋_GB2312" w:cs="Times New Roman"/>
          <w:kern w:val="0"/>
          <w:sz w:val="36"/>
          <w:szCs w:val="36"/>
          <w:lang w:eastAsia="zh-CN"/>
        </w:rPr>
        <w:t>（</w:t>
      </w:r>
      <w:r>
        <w:rPr>
          <w:rFonts w:hint="default" w:ascii="Times New Roman" w:hAnsi="Times New Roman" w:eastAsia="仿宋_GB2312" w:cs="Times New Roman"/>
          <w:kern w:val="0"/>
          <w:sz w:val="36"/>
          <w:szCs w:val="36"/>
          <w:lang w:val="en-US" w:eastAsia="zh-CN"/>
        </w:rPr>
        <w:t>文物局</w:t>
      </w:r>
      <w:r>
        <w:rPr>
          <w:rFonts w:hint="default" w:ascii="Times New Roman" w:hAnsi="Times New Roman" w:eastAsia="仿宋_GB2312" w:cs="Times New Roman"/>
          <w:kern w:val="0"/>
          <w:sz w:val="36"/>
          <w:szCs w:val="36"/>
          <w:lang w:eastAsia="zh-CN"/>
        </w:rPr>
        <w:t>）</w:t>
      </w:r>
    </w:p>
    <w:p w14:paraId="7F3B1EF1">
      <w:pPr>
        <w:keepNext w:val="0"/>
        <w:keepLines w:val="0"/>
        <w:pageBreakBefore w:val="0"/>
        <w:widowControl w:val="0"/>
        <w:kinsoku/>
        <w:wordWrap/>
        <w:overflowPunct/>
        <w:topLinePunct w:val="0"/>
        <w:autoSpaceDE/>
        <w:autoSpaceDN/>
        <w:bidi w:val="0"/>
        <w:adjustRightInd/>
        <w:snapToGrid/>
        <w:spacing w:line="560" w:lineRule="exact"/>
        <w:ind w:left="3958" w:leftChars="342" w:hanging="3240" w:hangingChars="900"/>
        <w:jc w:val="both"/>
        <w:textAlignment w:val="auto"/>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王璐婷</w:t>
      </w:r>
    </w:p>
    <w:p w14:paraId="4598BB9B">
      <w:pPr>
        <w:keepNext w:val="0"/>
        <w:keepLines w:val="0"/>
        <w:pageBreakBefore w:val="0"/>
        <w:widowControl w:val="0"/>
        <w:kinsoku/>
        <w:wordWrap/>
        <w:overflowPunct/>
        <w:topLinePunct w:val="0"/>
        <w:autoSpaceDE/>
        <w:autoSpaceDN/>
        <w:bidi w:val="0"/>
        <w:adjustRightInd/>
        <w:snapToGrid/>
        <w:spacing w:line="560" w:lineRule="exact"/>
        <w:ind w:left="3958" w:leftChars="342" w:hanging="3240" w:hangingChars="900"/>
        <w:jc w:val="both"/>
        <w:textAlignment w:val="auto"/>
        <w:rPr>
          <w:rFonts w:hint="default" w:ascii="Times New Roman" w:hAnsi="Times New Roman" w:eastAsia="黑体" w:cs="Times New Roman"/>
          <w:bCs/>
          <w:sz w:val="32"/>
          <w:szCs w:val="32"/>
        </w:rPr>
        <w:sectPr>
          <w:footerReference r:id="rId3" w:type="default"/>
          <w:pgSz w:w="11906" w:h="16838"/>
          <w:pgMar w:top="2098" w:right="1531" w:bottom="1984" w:left="1531" w:header="851" w:footer="992" w:gutter="0"/>
          <w:cols w:space="425" w:num="1"/>
          <w:docGrid w:type="lines" w:linePitch="312" w:charSpace="0"/>
        </w:sect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15</w:t>
      </w:r>
      <w:r>
        <w:rPr>
          <w:rFonts w:hint="eastAsia" w:ascii="Times New Roman" w:hAnsi="Times New Roman" w:eastAsia="仿宋_GB2312" w:cs="Times New Roman"/>
          <w:kern w:val="0"/>
          <w:sz w:val="36"/>
          <w:szCs w:val="36"/>
          <w:lang w:val="en-US" w:eastAsia="zh-CN"/>
        </w:rPr>
        <w:t>日</w:t>
      </w:r>
    </w:p>
    <w:p w14:paraId="1B2A65A3">
      <w:pPr>
        <w:pageBreakBefore w:val="0"/>
        <w:kinsoku/>
        <w:wordWrap/>
        <w:overflowPunct/>
        <w:topLinePunct w:val="0"/>
        <w:autoSpaceDE/>
        <w:autoSpaceDN/>
        <w:bidi w:val="0"/>
        <w:adjustRightInd/>
        <w:snapToGrid/>
        <w:spacing w:line="560" w:lineRule="exact"/>
        <w:ind w:firstLine="960" w:firstLineChars="3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F3D7DC0">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A4FE14C">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项目背景</w:t>
      </w:r>
    </w:p>
    <w:p w14:paraId="50FC466B">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响应国家文化产业和旅游产业融合发展政策，提升区域经济与文化影响力，我区积极谋划建设文旅产业融合发展示范区。通过整合区内丰富的文化资源和旅游资源，旨在打造具有地域特色的文旅品牌，促进产业结构优化升级，增强产业竞争力，推动经济社会高质量发展。特委托专业机构编制全区文旅产业融合发展示范区建设方案及总体规划，以科学指导示范区创建，力争早日获批国家级文旅产业融合发展示范区，实现文化与旅游深度融合发展。</w:t>
      </w:r>
    </w:p>
    <w:p w14:paraId="3C894787">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r>
        <w:rPr>
          <w:rFonts w:hint="default" w:ascii="Times New Roman" w:hAnsi="Times New Roman" w:eastAsia="仿宋_GB2312" w:cs="Times New Roman"/>
          <w:b/>
          <w:bCs/>
          <w:sz w:val="32"/>
          <w:szCs w:val="32"/>
          <w:lang w:val="en-US" w:eastAsia="zh-CN"/>
        </w:rPr>
        <w:t>及实施情况</w:t>
      </w:r>
    </w:p>
    <w:p w14:paraId="2CFA711E">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项目主要内容</w:t>
      </w:r>
    </w:p>
    <w:p w14:paraId="2D5F4118">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为满足国家文旅产业融合发展政策要求，提升区域经济与文化影响力，我区启动了文旅产业融合发展示范区建设方案及总体规划项目。项目包括资源调查、问题诊断、</w:t>
      </w:r>
      <w:r>
        <w:rPr>
          <w:rFonts w:hint="default" w:ascii="Times New Roman" w:hAnsi="Times New Roman" w:eastAsia="仿宋_GB2312" w:cs="Times New Roman"/>
          <w:sz w:val="32"/>
          <w:szCs w:val="32"/>
          <w:lang w:val="en-US" w:eastAsia="zh-CN"/>
        </w:rPr>
        <w:t>以</w:t>
      </w:r>
      <w:r>
        <w:rPr>
          <w:rFonts w:hint="default" w:ascii="Times New Roman" w:hAnsi="Times New Roman" w:eastAsia="仿宋_GB2312" w:cs="Times New Roman"/>
          <w:sz w:val="32"/>
          <w:szCs w:val="32"/>
        </w:rPr>
        <w:t>制定2023-2027年示范区建设方案，明确主题定位、产业结构、空间布局等，并提供技术咨询服务。同时，编制总体规划，以科学指导示范区创建，推动文化与旅游深度融合，促进高质量发展。</w:t>
      </w:r>
    </w:p>
    <w:p w14:paraId="75D9D3B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项目实施情况</w:t>
      </w:r>
    </w:p>
    <w:p w14:paraId="7F16B037">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目前，设计单位已完成文旅产业融合发展示范区的规划和建设方案，并已提交文旅部进行评审。尽管在第一批国家级文旅产业融合发展示范区名单中，水磨沟区未能入选，但项目仍取得了阶段性成果。</w:t>
      </w:r>
      <w:r>
        <w:rPr>
          <w:rFonts w:hint="eastAsia" w:ascii="Times New Roman" w:hAnsi="Times New Roman" w:eastAsia="仿宋_GB2312" w:cs="Times New Roman"/>
          <w:sz w:val="32"/>
          <w:szCs w:val="32"/>
          <w:lang w:val="en-US" w:eastAsia="zh-CN"/>
        </w:rPr>
        <w:t>计划</w:t>
      </w:r>
      <w:r>
        <w:rPr>
          <w:rFonts w:hint="default" w:ascii="Times New Roman" w:hAnsi="Times New Roman" w:eastAsia="仿宋_GB2312" w:cs="Times New Roman"/>
          <w:sz w:val="32"/>
          <w:szCs w:val="32"/>
        </w:rPr>
        <w:t>进一步优化方案，争取在后续评选中获得认定，不断提升我区文旅产业的融合发展水平</w:t>
      </w:r>
      <w:r>
        <w:rPr>
          <w:rFonts w:hint="default" w:ascii="Times New Roman" w:hAnsi="Times New Roman" w:eastAsia="仿宋_GB2312" w:cs="Times New Roman"/>
          <w:sz w:val="32"/>
          <w:szCs w:val="32"/>
          <w:lang w:eastAsia="zh-CN"/>
        </w:rPr>
        <w:t>。</w:t>
      </w:r>
    </w:p>
    <w:p w14:paraId="5BF8EE32">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资金投入和使用情况</w:t>
      </w:r>
    </w:p>
    <w:p w14:paraId="30EF6693">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（1）资金投入情况</w:t>
      </w:r>
    </w:p>
    <w:p w14:paraId="12B4F77C">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该项目年初预算数</w:t>
      </w:r>
      <w:r>
        <w:rPr>
          <w:rFonts w:hint="default" w:ascii="Times New Roman" w:hAnsi="Times New Roman" w:eastAsia="仿宋_GB2312" w:cs="Times New Roman"/>
          <w:sz w:val="32"/>
          <w:szCs w:val="32"/>
          <w:lang w:val="en-US" w:eastAsia="zh-CN"/>
        </w:rPr>
        <w:t>116</w:t>
      </w:r>
      <w:r>
        <w:rPr>
          <w:rFonts w:hint="default" w:ascii="Times New Roman" w:hAnsi="Times New Roman" w:eastAsia="仿宋_GB2312" w:cs="Times New Roman"/>
          <w:sz w:val="32"/>
          <w:szCs w:val="32"/>
        </w:rPr>
        <w:t>万元，全年预算数</w:t>
      </w:r>
      <w:r>
        <w:rPr>
          <w:rFonts w:hint="default" w:ascii="Times New Roman" w:hAnsi="Times New Roman" w:eastAsia="仿宋_GB2312" w:cs="Times New Roman"/>
          <w:sz w:val="32"/>
          <w:szCs w:val="32"/>
          <w:lang w:val="en-US" w:eastAsia="zh-CN"/>
        </w:rPr>
        <w:t>116</w:t>
      </w:r>
      <w:r>
        <w:rPr>
          <w:rFonts w:hint="default" w:ascii="Times New Roman" w:hAnsi="Times New Roman" w:eastAsia="仿宋_GB2312" w:cs="Times New Roman"/>
          <w:sz w:val="32"/>
          <w:szCs w:val="32"/>
        </w:rPr>
        <w:t>万元，实际总投入</w:t>
      </w:r>
      <w:r>
        <w:rPr>
          <w:rFonts w:hint="default" w:ascii="Times New Roman" w:hAnsi="Times New Roman" w:eastAsia="仿宋_GB2312" w:cs="Times New Roman"/>
          <w:sz w:val="32"/>
          <w:szCs w:val="32"/>
          <w:lang w:val="en-US" w:eastAsia="zh-CN"/>
        </w:rPr>
        <w:t>116</w:t>
      </w:r>
      <w:r>
        <w:rPr>
          <w:rFonts w:hint="default" w:ascii="Times New Roman" w:hAnsi="Times New Roman" w:eastAsia="仿宋_GB2312" w:cs="Times New Roman"/>
          <w:sz w:val="32"/>
          <w:szCs w:val="32"/>
        </w:rPr>
        <w:t>万元，该项目资金已全部落实到位，资金来源为</w:t>
      </w:r>
      <w:r>
        <w:rPr>
          <w:rFonts w:hint="default" w:ascii="Times New Roman" w:hAnsi="Times New Roman" w:eastAsia="仿宋_GB2312" w:cs="Times New Roman"/>
          <w:sz w:val="32"/>
          <w:szCs w:val="32"/>
          <w:lang w:val="en-US" w:eastAsia="zh-CN"/>
        </w:rPr>
        <w:t>区财政拨款</w:t>
      </w:r>
      <w:r>
        <w:rPr>
          <w:rFonts w:hint="eastAsia" w:ascii="Times New Roman" w:hAnsi="Times New Roman" w:eastAsia="仿宋_GB2312" w:cs="Times New Roman"/>
          <w:sz w:val="32"/>
          <w:szCs w:val="32"/>
          <w:lang w:val="en-US" w:eastAsia="zh-CN"/>
        </w:rPr>
        <w:t>，年中无资金调整情况</w:t>
      </w:r>
      <w:r>
        <w:rPr>
          <w:rFonts w:hint="eastAsia" w:eastAsia="仿宋_GB2312" w:cs="Times New Roman"/>
          <w:sz w:val="32"/>
          <w:szCs w:val="32"/>
          <w:lang w:val="en-US" w:eastAsia="zh-CN"/>
        </w:rPr>
        <w:t>。</w:t>
      </w:r>
    </w:p>
    <w:p w14:paraId="7B73EFF8">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（2）资金使用情况</w:t>
      </w:r>
    </w:p>
    <w:p w14:paraId="6391880D">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该项目年初预算数</w:t>
      </w:r>
      <w:r>
        <w:rPr>
          <w:rFonts w:hint="default" w:ascii="Times New Roman" w:hAnsi="Times New Roman" w:eastAsia="仿宋_GB2312" w:cs="Times New Roman"/>
          <w:sz w:val="32"/>
          <w:szCs w:val="32"/>
          <w:lang w:val="en-US" w:eastAsia="zh-CN"/>
        </w:rPr>
        <w:t>116</w:t>
      </w:r>
      <w:r>
        <w:rPr>
          <w:rFonts w:hint="default" w:ascii="Times New Roman" w:hAnsi="Times New Roman" w:eastAsia="仿宋_GB2312" w:cs="Times New Roman"/>
          <w:sz w:val="32"/>
          <w:szCs w:val="32"/>
        </w:rPr>
        <w:t>万元，全年预算</w:t>
      </w:r>
      <w:r>
        <w:rPr>
          <w:rFonts w:hint="default" w:ascii="Times New Roman" w:hAnsi="Times New Roman" w:eastAsia="仿宋_GB2312" w:cs="Times New Roman"/>
          <w:sz w:val="32"/>
          <w:szCs w:val="32"/>
          <w:lang w:val="en-US" w:eastAsia="zh-CN"/>
        </w:rPr>
        <w:t>数116</w:t>
      </w:r>
      <w:r>
        <w:rPr>
          <w:rFonts w:hint="default" w:ascii="Times New Roman" w:hAnsi="Times New Roman" w:eastAsia="仿宋_GB2312" w:cs="Times New Roman"/>
          <w:sz w:val="32"/>
          <w:szCs w:val="32"/>
        </w:rPr>
        <w:t>万元，全年执行数</w:t>
      </w:r>
      <w:r>
        <w:rPr>
          <w:rFonts w:hint="default" w:ascii="Times New Roman" w:hAnsi="Times New Roman" w:eastAsia="仿宋_GB2312" w:cs="Times New Roman"/>
          <w:sz w:val="32"/>
          <w:szCs w:val="32"/>
          <w:lang w:val="en-US" w:eastAsia="zh-CN"/>
        </w:rPr>
        <w:t>116</w:t>
      </w:r>
      <w:r>
        <w:rPr>
          <w:rFonts w:hint="default" w:ascii="Times New Roman" w:hAnsi="Times New Roman" w:eastAsia="仿宋_GB2312" w:cs="Times New Roman"/>
          <w:sz w:val="32"/>
          <w:szCs w:val="32"/>
        </w:rPr>
        <w:t>万元，预算执行率为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%，主要用于：</w:t>
      </w:r>
      <w:r>
        <w:rPr>
          <w:rFonts w:hint="eastAsia" w:ascii="Times New Roman" w:hAnsi="Times New Roman" w:eastAsia="仿宋_GB2312" w:cs="Times New Roman"/>
          <w:sz w:val="32"/>
          <w:szCs w:val="32"/>
          <w:lang w:val="en-US" w:eastAsia="zh-CN"/>
        </w:rPr>
        <w:t>根据合同内容“</w:t>
      </w:r>
      <w:r>
        <w:rPr>
          <w:rFonts w:hint="default" w:ascii="Times New Roman" w:hAnsi="Times New Roman" w:eastAsia="仿宋_GB2312" w:cs="Times New Roman"/>
          <w:sz w:val="32"/>
          <w:szCs w:val="32"/>
          <w:lang w:val="en-US" w:eastAsia="zh-CN"/>
        </w:rPr>
        <w:t>乙方提交初步规划设计方案通过专家论证或甲方负负责人书面验收通过后，甲方向乙方支付规划设计费总额的40%，即人民币1160000元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支付《水磨沟区文旅产业融合发展示范区建设方案及总体规划》第二笔编制费用。</w:t>
      </w:r>
    </w:p>
    <w:p w14:paraId="4B980078">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717C8F6">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0"/>
          <w:sz w:val="32"/>
          <w:szCs w:val="32"/>
          <w:lang w:val="en-US" w:eastAsia="zh-CN" w:bidi="ar-SA"/>
        </w:rPr>
        <w:t>1.总体目标</w:t>
      </w:r>
    </w:p>
    <w:p w14:paraId="310C67B1">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主要根据《关于开展国家文化产业和旅游产业融合发展示范区建设工作的通知》及相关建设、申报指南，完成水磨沟区申报国家级文旅产业融合发展示范区建设方案及总体规划，通过对水磨沟区文旅产业的全面调查与评价，对存在的问题进行客观分析与诊断。</w:t>
      </w:r>
    </w:p>
    <w:p w14:paraId="764992BE">
      <w:pPr>
        <w:pageBreakBefore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kern w:val="0"/>
          <w:sz w:val="32"/>
          <w:szCs w:val="32"/>
          <w:lang w:val="en-US" w:eastAsia="zh-CN" w:bidi="ar-SA"/>
        </w:rPr>
      </w:pPr>
      <w:r>
        <w:rPr>
          <w:rFonts w:hint="eastAsia" w:eastAsia="仿宋_GB2312" w:cs="Times New Roman"/>
          <w:b/>
          <w:bCs/>
          <w:kern w:val="0"/>
          <w:sz w:val="32"/>
          <w:szCs w:val="32"/>
          <w:lang w:val="en-US" w:eastAsia="zh-CN" w:bidi="ar-SA"/>
        </w:rPr>
        <w:t>2.</w:t>
      </w:r>
      <w:r>
        <w:rPr>
          <w:rFonts w:hint="default" w:ascii="Times New Roman" w:hAnsi="Times New Roman" w:eastAsia="仿宋_GB2312" w:cs="Times New Roman"/>
          <w:b/>
          <w:bCs/>
          <w:kern w:val="0"/>
          <w:sz w:val="32"/>
          <w:szCs w:val="32"/>
          <w:lang w:val="en-US" w:eastAsia="zh-CN" w:bidi="ar-SA"/>
        </w:rPr>
        <w:t>阶段性目标</w:t>
      </w:r>
    </w:p>
    <w:p w14:paraId="6F9F7DD7">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该项目为当年一次性项目。</w:t>
      </w:r>
      <w:r>
        <w:rPr>
          <w:rFonts w:hint="eastAsia" w:ascii="Times New Roman" w:hAnsi="Times New Roman" w:eastAsia="仿宋_GB2312" w:cs="Times New Roman"/>
          <w:sz w:val="32"/>
          <w:szCs w:val="32"/>
          <w:lang w:val="en-US" w:eastAsia="zh-CN"/>
        </w:rPr>
        <w:t>设计单位</w:t>
      </w:r>
      <w:r>
        <w:rPr>
          <w:rFonts w:hint="default" w:ascii="Times New Roman" w:hAnsi="Times New Roman" w:eastAsia="仿宋_GB2312" w:cs="Times New Roman"/>
          <w:sz w:val="32"/>
          <w:szCs w:val="32"/>
          <w:lang w:val="en-US" w:eastAsia="zh-CN"/>
        </w:rPr>
        <w:t>提交初步规划设计方案通过</w:t>
      </w:r>
      <w:r>
        <w:rPr>
          <w:rFonts w:hint="eastAsia" w:ascii="Times New Roman" w:hAnsi="Times New Roman" w:eastAsia="仿宋_GB2312" w:cs="Times New Roman"/>
          <w:sz w:val="32"/>
          <w:szCs w:val="32"/>
          <w:lang w:val="en-US" w:eastAsia="zh-CN"/>
        </w:rPr>
        <w:t>我局</w:t>
      </w:r>
      <w:r>
        <w:rPr>
          <w:rFonts w:hint="default" w:ascii="Times New Roman" w:hAnsi="Times New Roman" w:eastAsia="仿宋_GB2312" w:cs="Times New Roman"/>
          <w:sz w:val="32"/>
          <w:szCs w:val="32"/>
          <w:lang w:val="en-US" w:eastAsia="zh-CN"/>
        </w:rPr>
        <w:t>负责人验收通过后，支付规划设计费总额的40%</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即人民币116</w:t>
      </w:r>
      <w:r>
        <w:rPr>
          <w:rFonts w:hint="eastAsia" w:eastAsia="仿宋_GB2312" w:cs="Times New Roman"/>
          <w:sz w:val="32"/>
          <w:szCs w:val="32"/>
          <w:lang w:val="en-US" w:eastAsia="zh-CN"/>
        </w:rPr>
        <w:t>万</w:t>
      </w:r>
      <w:r>
        <w:rPr>
          <w:rFonts w:hint="default" w:ascii="Times New Roman" w:hAnsi="Times New Roman" w:eastAsia="仿宋_GB2312" w:cs="Times New Roman"/>
          <w:sz w:val="32"/>
          <w:szCs w:val="32"/>
          <w:lang w:val="en-US" w:eastAsia="zh-CN"/>
        </w:rPr>
        <w:t>元。2023年4月</w:t>
      </w:r>
      <w:r>
        <w:rPr>
          <w:rFonts w:hint="eastAsia" w:ascii="Times New Roman" w:hAnsi="Times New Roman" w:eastAsia="仿宋_GB2312" w:cs="Times New Roman"/>
          <w:sz w:val="32"/>
          <w:szCs w:val="32"/>
          <w:lang w:val="en-US" w:eastAsia="zh-CN"/>
        </w:rPr>
        <w:t>水磨沟区</w:t>
      </w:r>
      <w:r>
        <w:rPr>
          <w:rFonts w:hint="default" w:ascii="Times New Roman" w:hAnsi="Times New Roman" w:eastAsia="仿宋_GB2312" w:cs="Times New Roman"/>
          <w:sz w:val="32"/>
          <w:szCs w:val="32"/>
          <w:lang w:val="en-US" w:eastAsia="zh-CN"/>
        </w:rPr>
        <w:t>已将初步规划设计方案逐级上报至</w:t>
      </w:r>
      <w:r>
        <w:rPr>
          <w:rFonts w:hint="eastAsia" w:ascii="Times New Roman" w:hAnsi="Times New Roman" w:eastAsia="仿宋_GB2312" w:cs="Times New Roman"/>
          <w:sz w:val="32"/>
          <w:szCs w:val="32"/>
          <w:lang w:val="en-US" w:eastAsia="zh-CN"/>
        </w:rPr>
        <w:t>国家</w:t>
      </w:r>
      <w:r>
        <w:rPr>
          <w:rFonts w:hint="default" w:ascii="Times New Roman" w:hAnsi="Times New Roman" w:eastAsia="仿宋_GB2312" w:cs="Times New Roman"/>
          <w:sz w:val="32"/>
          <w:szCs w:val="32"/>
          <w:lang w:val="en-US" w:eastAsia="zh-CN"/>
        </w:rPr>
        <w:t>文旅部审核</w:t>
      </w:r>
      <w:r>
        <w:rPr>
          <w:rFonts w:hint="eastAsia" w:ascii="Times New Roman" w:hAnsi="Times New Roman" w:eastAsia="仿宋_GB2312" w:cs="Times New Roman"/>
          <w:sz w:val="32"/>
          <w:szCs w:val="32"/>
          <w:lang w:val="en-US" w:eastAsia="zh-CN"/>
        </w:rPr>
        <w:t>。</w:t>
      </w:r>
    </w:p>
    <w:p w14:paraId="728F4ACE">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F1921D8">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ED7A79B">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绩效评价的目的</w:t>
      </w:r>
    </w:p>
    <w:p w14:paraId="366AA6B0">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BD5D632">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7652BC08">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14:paraId="254FF312">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140B5B0">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绩效评价的对象</w:t>
      </w:r>
    </w:p>
    <w:p w14:paraId="7206680F">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《水磨沟区文旅产业融合发展示范区建设方案及总体规划》第二笔编制费用项目所包含的全部项目内容。</w:t>
      </w:r>
    </w:p>
    <w:p w14:paraId="7EC2C681">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绩效评价的范围</w:t>
      </w:r>
    </w:p>
    <w:p w14:paraId="19C14167">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水磨沟区文旅产业融合发展示范区建设方案及总体规划》第二笔编制费用</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rPr>
        <w:t>进行评价，评价核心为专项资金的支出完成情况和效果。</w:t>
      </w:r>
    </w:p>
    <w:p w14:paraId="482E4467">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w:t>
      </w:r>
      <w:r>
        <w:rPr>
          <w:rFonts w:hint="default" w:ascii="Times New Roman" w:hAnsi="Times New Roman" w:eastAsia="楷体_GB2312" w:cs="Times New Roman"/>
          <w:b/>
          <w:bCs/>
          <w:sz w:val="32"/>
          <w:szCs w:val="32"/>
          <w:lang w:val="en-US" w:eastAsia="zh-CN"/>
        </w:rPr>
        <w:t>附件2</w:t>
      </w:r>
      <w:r>
        <w:rPr>
          <w:rFonts w:hint="default" w:ascii="Times New Roman" w:hAnsi="Times New Roman" w:eastAsia="楷体_GB2312" w:cs="Times New Roman"/>
          <w:b/>
          <w:bCs/>
          <w:sz w:val="32"/>
          <w:szCs w:val="32"/>
        </w:rPr>
        <w:t>）、评价方法、评价标准</w:t>
      </w:r>
    </w:p>
    <w:p w14:paraId="220343EA">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绩效评价原则</w:t>
      </w:r>
    </w:p>
    <w:p w14:paraId="1AB5FCD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098B33F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22F642DA">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2771940B">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0B642FA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1B15FED1">
      <w:pPr>
        <w:pStyle w:val="8"/>
        <w:pageBreakBefore w:val="0"/>
        <w:kinsoku/>
        <w:wordWrap/>
        <w:overflowPunct/>
        <w:topLinePunct w:val="0"/>
        <w:autoSpaceDE/>
        <w:autoSpaceDN/>
        <w:bidi w:val="0"/>
        <w:adjustRightInd/>
        <w:snapToGrid/>
        <w:spacing w:before="0" w:after="0" w:line="560" w:lineRule="exact"/>
        <w:ind w:left="0" w:leftChars="0" w:firstLine="643" w:firstLineChars="200"/>
        <w:jc w:val="both"/>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评价指标体系</w:t>
      </w:r>
    </w:p>
    <w:p w14:paraId="1237B66C">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17E3FC3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133829BE">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DDD864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60AAC58A">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确定各个指标相对于项目总体绩效的权重分值。在绩效评价指标体系中，项目决策权重为20分，项目过程权重为20分，项目产出权重为40分，项目效益权重为20分。</w:t>
      </w:r>
    </w:p>
    <w:p w14:paraId="07CF8C1F">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69C2FC93">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28116D2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80-90分（含80分）对应的评分结果级别为良，60-80分（含60分）对应的评分结果级别为中，60分以下对应的评分结果级别为差。</w:t>
      </w:r>
    </w:p>
    <w:p w14:paraId="6E1F5ADF">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具体评价指标体系详情见附件</w:t>
      </w:r>
      <w:r>
        <w:rPr>
          <w:rFonts w:hint="default" w:ascii="Times New Roman" w:hAnsi="Times New Roman" w:eastAsia="仿宋_GB2312" w:cs="Times New Roman"/>
          <w:sz w:val="32"/>
          <w:szCs w:val="32"/>
          <w:lang w:val="en-US" w:eastAsia="zh-CN"/>
        </w:rPr>
        <w:t>2。</w:t>
      </w:r>
    </w:p>
    <w:p w14:paraId="1A6214AA">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绩效评价方法</w:t>
      </w:r>
    </w:p>
    <w:p w14:paraId="7D242B5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14:paraId="0664197D">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498051E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（1）比较法</w:t>
      </w:r>
    </w:p>
    <w:p w14:paraId="443B9BC7">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531EE83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（2）因素分析法</w:t>
      </w:r>
    </w:p>
    <w:p w14:paraId="2EBFB71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3134F714">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评价标准</w:t>
      </w:r>
    </w:p>
    <w:p w14:paraId="095B708A">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sz w:val="32"/>
          <w:szCs w:val="32"/>
          <w:lang w:val="en-US" w:eastAsia="zh-CN"/>
        </w:rPr>
        <w:t>计划</w:t>
      </w:r>
      <w:r>
        <w:rPr>
          <w:rFonts w:hint="default" w:ascii="Times New Roman" w:hAnsi="Times New Roman" w:eastAsia="仿宋_GB2312" w:cs="Times New Roman"/>
          <w:sz w:val="32"/>
          <w:szCs w:val="32"/>
        </w:rPr>
        <w:t>标准。</w:t>
      </w:r>
    </w:p>
    <w:p w14:paraId="30FCF753">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方正仿宋_GBK" w:cs="Times New Roman"/>
          <w:sz w:val="32"/>
          <w:szCs w:val="32"/>
        </w:rPr>
      </w:pPr>
      <w:bookmarkStart w:id="0" w:name="_Toc17882"/>
      <w:bookmarkStart w:id="1" w:name="_Toc31464"/>
      <w:r>
        <w:rPr>
          <w:rFonts w:hint="default" w:ascii="Times New Roman" w:hAnsi="Times New Roman" w:eastAsia="方正仿宋_GBK" w:cs="Times New Roman"/>
          <w:b/>
          <w:bCs/>
          <w:sz w:val="32"/>
          <w:szCs w:val="32"/>
        </w:rPr>
        <w:t>计划标准：</w:t>
      </w:r>
      <w:r>
        <w:rPr>
          <w:rFonts w:hint="default" w:ascii="Times New Roman" w:hAnsi="Times New Roman" w:eastAsia="方正仿宋_GBK" w:cs="Times New Roman"/>
          <w:sz w:val="32"/>
          <w:szCs w:val="32"/>
        </w:rPr>
        <w:t>指以预先制定的目标、计划、预算、定额等作为评价标准。</w:t>
      </w:r>
      <w:bookmarkEnd w:id="0"/>
      <w:bookmarkEnd w:id="1"/>
    </w:p>
    <w:p w14:paraId="3A1386D1">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方正仿宋_GBK" w:cs="Times New Roman"/>
          <w:sz w:val="32"/>
          <w:szCs w:val="32"/>
        </w:rPr>
      </w:pPr>
      <w:bookmarkStart w:id="2" w:name="_Toc2318"/>
      <w:bookmarkStart w:id="3" w:name="_Toc5633"/>
      <w:r>
        <w:rPr>
          <w:rFonts w:hint="default" w:ascii="Times New Roman" w:hAnsi="Times New Roman" w:eastAsia="方正仿宋_GBK" w:cs="Times New Roman"/>
          <w:b/>
          <w:bCs/>
          <w:sz w:val="32"/>
          <w:szCs w:val="32"/>
        </w:rPr>
        <w:t>行业标准：</w:t>
      </w:r>
      <w:r>
        <w:rPr>
          <w:rFonts w:hint="default" w:ascii="Times New Roman" w:hAnsi="Times New Roman" w:eastAsia="方正仿宋_GBK" w:cs="Times New Roman"/>
          <w:sz w:val="32"/>
          <w:szCs w:val="32"/>
        </w:rPr>
        <w:t>指参照国家公布的行业指标数据制定的评价标准。</w:t>
      </w:r>
      <w:bookmarkEnd w:id="2"/>
      <w:bookmarkEnd w:id="3"/>
    </w:p>
    <w:p w14:paraId="704A3750">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方正仿宋_GBK" w:cs="Times New Roman"/>
          <w:sz w:val="32"/>
          <w:szCs w:val="32"/>
        </w:rPr>
      </w:pPr>
      <w:bookmarkStart w:id="4" w:name="_Toc430"/>
      <w:bookmarkStart w:id="5" w:name="_Toc16028"/>
      <w:r>
        <w:rPr>
          <w:rFonts w:hint="default" w:ascii="Times New Roman" w:hAnsi="Times New Roman" w:eastAsia="方正仿宋_GBK" w:cs="Times New Roman"/>
          <w:b/>
          <w:bCs/>
          <w:sz w:val="32"/>
          <w:szCs w:val="32"/>
        </w:rPr>
        <w:t>历史标准：</w:t>
      </w:r>
      <w:r>
        <w:rPr>
          <w:rFonts w:hint="default" w:ascii="Times New Roman" w:hAnsi="Times New Roman" w:eastAsia="方正仿宋_GBK" w:cs="Times New Roman"/>
          <w:sz w:val="32"/>
          <w:szCs w:val="32"/>
        </w:rPr>
        <w:t>指参照历史数据制定的评价标准，为体现绩效改进的原则，在可实现的条件下应当确定相对较高的评价标准。</w:t>
      </w:r>
      <w:bookmarkEnd w:id="4"/>
      <w:bookmarkEnd w:id="5"/>
    </w:p>
    <w:p w14:paraId="3265515D">
      <w:pPr>
        <w:pStyle w:val="8"/>
        <w:pageBreakBefore w:val="0"/>
        <w:numPr>
          <w:ilvl w:val="0"/>
          <w:numId w:val="1"/>
        </w:numPr>
        <w:kinsoku/>
        <w:wordWrap/>
        <w:overflowPunct/>
        <w:topLinePunct w:val="0"/>
        <w:autoSpaceDE/>
        <w:autoSpaceDN/>
        <w:bidi w:val="0"/>
        <w:adjustRightInd/>
        <w:snapToGrid/>
        <w:spacing w:before="0" w:after="0" w:line="560" w:lineRule="exact"/>
        <w:ind w:left="0" w:leftChars="0"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52A5E29">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highlight w:val="none"/>
        </w:rPr>
        <w:t>1.前期准备。</w:t>
      </w:r>
      <w:r>
        <w:rPr>
          <w:rFonts w:hint="default" w:ascii="Times New Roman" w:hAnsi="Times New Roman" w:eastAsia="仿宋_GB2312" w:cs="Times New Roman"/>
          <w:sz w:val="32"/>
          <w:szCs w:val="32"/>
          <w:highlight w:val="none"/>
        </w:rPr>
        <w:t>首先成立评价工作组，</w:t>
      </w:r>
      <w:r>
        <w:rPr>
          <w:rFonts w:hint="eastAsia" w:eastAsia="仿宋_GB2312" w:cs="Times New Roman"/>
          <w:sz w:val="32"/>
          <w:szCs w:val="32"/>
          <w:highlight w:val="none"/>
          <w:lang w:val="en-US" w:eastAsia="zh-CN"/>
        </w:rPr>
        <w:t>由单位局长任评价小组组长，副局长任副组长，由财务室牵头，旅游科室组长及各科室业务骨干任工作组成员，组织</w:t>
      </w:r>
      <w:r>
        <w:rPr>
          <w:rFonts w:hint="default" w:ascii="Times New Roman" w:hAnsi="Times New Roman" w:eastAsia="仿宋_GB2312" w:cs="Times New Roman"/>
          <w:sz w:val="32"/>
          <w:szCs w:val="32"/>
          <w:highlight w:val="none"/>
        </w:rPr>
        <w:t>开</w:t>
      </w:r>
      <w:r>
        <w:rPr>
          <w:rFonts w:hint="default" w:ascii="Times New Roman" w:hAnsi="Times New Roman" w:eastAsia="仿宋_GB2312" w:cs="Times New Roman"/>
          <w:sz w:val="32"/>
          <w:szCs w:val="32"/>
        </w:rPr>
        <w:t>展前期调研；其次明确项目绩效目标，设计绩效评价指标体系并确定绩效评价方法；接着确定现场和非现场评价范围，设计资料清单；最后制定评价实施方案并进行论证。</w:t>
      </w:r>
    </w:p>
    <w:p w14:paraId="1B6DFDD8">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2.组织实施。</w:t>
      </w:r>
      <w:r>
        <w:rPr>
          <w:rFonts w:hint="default" w:ascii="Times New Roman" w:hAnsi="Times New Roman" w:eastAsia="仿宋_GB2312" w:cs="Times New Roman"/>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45CC6941">
      <w:pPr>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
          <w:bCs/>
          <w:sz w:val="32"/>
          <w:szCs w:val="32"/>
        </w:rPr>
        <w:t>3.分析评价。</w:t>
      </w:r>
      <w:r>
        <w:rPr>
          <w:rFonts w:hint="default" w:ascii="Times New Roman" w:hAnsi="Times New Roman" w:eastAsia="仿宋_GB2312" w:cs="Times New Roman"/>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06CF8C1">
      <w:pPr>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566A1A09">
      <w:pPr>
        <w:pStyle w:val="8"/>
        <w:pageBreakBefore w:val="0"/>
        <w:kinsoku/>
        <w:wordWrap/>
        <w:overflowPunct/>
        <w:topLinePunct w:val="0"/>
        <w:autoSpaceDE/>
        <w:autoSpaceDN/>
        <w:bidi w:val="0"/>
        <w:adjustRightInd/>
        <w:snapToGrid/>
        <w:spacing w:before="0" w:after="0" w:line="560" w:lineRule="exact"/>
        <w:ind w:left="0" w:leftChars="0"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4A9A0CA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3204801">
      <w:pPr>
        <w:pStyle w:val="8"/>
        <w:pageBreakBefore w:val="0"/>
        <w:kinsoku/>
        <w:wordWrap/>
        <w:overflowPunct/>
        <w:topLinePunct w:val="0"/>
        <w:autoSpaceDE/>
        <w:autoSpaceDN/>
        <w:bidi w:val="0"/>
        <w:adjustRightInd/>
        <w:snapToGrid/>
        <w:spacing w:before="0" w:after="0" w:line="560" w:lineRule="exact"/>
        <w:ind w:left="0" w:leftChars="0"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4526BCE2">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分，属于“优”。其中，项目决策类指标权重为20分，得分为</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%。项目过程类指标权重为20分，得分为</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%。项目产出类指标权重为40分，得分为</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%。项目效益类指标权重为20分，得分为</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%。具体打分情况详见：</w:t>
      </w:r>
      <w:r>
        <w:rPr>
          <w:rFonts w:hint="default" w:ascii="Times New Roman" w:hAnsi="Times New Roman" w:eastAsia="仿宋_GB2312" w:cs="Times New Roman"/>
          <w:sz w:val="32"/>
          <w:szCs w:val="32"/>
          <w:lang w:val="en-US" w:eastAsia="zh-CN"/>
        </w:rPr>
        <w:t>表</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综合评分表。</w:t>
      </w:r>
    </w:p>
    <w:p w14:paraId="3437C79B">
      <w:pPr>
        <w:pStyle w:val="8"/>
        <w:pageBreakBefore w:val="0"/>
        <w:kinsoku/>
        <w:wordWrap/>
        <w:overflowPunct/>
        <w:topLinePunct w:val="0"/>
        <w:autoSpaceDE/>
        <w:autoSpaceDN/>
        <w:bidi w:val="0"/>
        <w:adjustRightInd/>
        <w:snapToGrid/>
        <w:spacing w:before="0" w:after="0" w:line="560" w:lineRule="exact"/>
        <w:ind w:left="0" w:leftChars="0"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rPr>
        <w:t>综合评分表</w:t>
      </w:r>
    </w:p>
    <w:tbl>
      <w:tblPr>
        <w:tblStyle w:val="11"/>
        <w:tblW w:w="7583" w:type="dxa"/>
        <w:jc w:val="center"/>
        <w:tblLayout w:type="fixed"/>
        <w:tblCellMar>
          <w:top w:w="0" w:type="dxa"/>
          <w:left w:w="108" w:type="dxa"/>
          <w:bottom w:w="0" w:type="dxa"/>
          <w:right w:w="108" w:type="dxa"/>
        </w:tblCellMar>
      </w:tblPr>
      <w:tblGrid>
        <w:gridCol w:w="2534"/>
        <w:gridCol w:w="2771"/>
        <w:gridCol w:w="2278"/>
      </w:tblGrid>
      <w:tr w14:paraId="1D66A844">
        <w:tblPrEx>
          <w:tblCellMar>
            <w:top w:w="0" w:type="dxa"/>
            <w:left w:w="108" w:type="dxa"/>
            <w:bottom w:w="0" w:type="dxa"/>
            <w:right w:w="108" w:type="dxa"/>
          </w:tblCellMar>
        </w:tblPrEx>
        <w:trPr>
          <w:trHeight w:val="90" w:hRule="atLeast"/>
          <w:tblHeader/>
          <w:jc w:val="center"/>
        </w:trPr>
        <w:tc>
          <w:tcPr>
            <w:tcW w:w="2534" w:type="dxa"/>
            <w:tcBorders>
              <w:top w:val="single" w:color="auto" w:sz="4" w:space="0"/>
              <w:left w:val="single" w:color="auto" w:sz="4" w:space="0"/>
              <w:bottom w:val="single" w:color="auto" w:sz="4" w:space="0"/>
              <w:right w:val="single" w:color="auto" w:sz="4" w:space="0"/>
            </w:tcBorders>
            <w:shd w:val="clear" w:color="000000" w:fill="BEBEBE"/>
            <w:vAlign w:val="center"/>
          </w:tcPr>
          <w:p w14:paraId="74542111">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771" w:type="dxa"/>
            <w:tcBorders>
              <w:top w:val="single" w:color="auto" w:sz="4" w:space="0"/>
              <w:left w:val="nil"/>
              <w:bottom w:val="single" w:color="auto" w:sz="4" w:space="0"/>
              <w:right w:val="single" w:color="auto" w:sz="4" w:space="0"/>
            </w:tcBorders>
            <w:shd w:val="clear" w:color="000000" w:fill="BEBEBE"/>
            <w:vAlign w:val="center"/>
          </w:tcPr>
          <w:p w14:paraId="35177510">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1B0F5F9">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171A54E">
        <w:tblPrEx>
          <w:tblCellMar>
            <w:top w:w="0" w:type="dxa"/>
            <w:left w:w="108" w:type="dxa"/>
            <w:bottom w:w="0" w:type="dxa"/>
            <w:right w:w="108" w:type="dxa"/>
          </w:tblCellMar>
        </w:tblPrEx>
        <w:trPr>
          <w:trHeight w:val="340" w:hRule="atLeast"/>
          <w:jc w:val="center"/>
        </w:trPr>
        <w:tc>
          <w:tcPr>
            <w:tcW w:w="2534" w:type="dxa"/>
            <w:tcBorders>
              <w:top w:val="nil"/>
              <w:left w:val="single" w:color="auto" w:sz="4" w:space="0"/>
              <w:bottom w:val="single" w:color="auto" w:sz="4" w:space="0"/>
              <w:right w:val="single" w:color="auto" w:sz="4" w:space="0"/>
            </w:tcBorders>
            <w:shd w:val="clear" w:color="auto" w:fill="auto"/>
            <w:vAlign w:val="center"/>
          </w:tcPr>
          <w:p w14:paraId="202DD3D3">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771" w:type="dxa"/>
            <w:tcBorders>
              <w:top w:val="nil"/>
              <w:left w:val="nil"/>
              <w:bottom w:val="single" w:color="auto" w:sz="4" w:space="0"/>
              <w:right w:val="single" w:color="auto" w:sz="4" w:space="0"/>
            </w:tcBorders>
            <w:shd w:val="clear" w:color="auto" w:fill="auto"/>
            <w:vAlign w:val="center"/>
          </w:tcPr>
          <w:p w14:paraId="60043D76">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86D519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2165358">
        <w:tblPrEx>
          <w:tblCellMar>
            <w:top w:w="0" w:type="dxa"/>
            <w:left w:w="108" w:type="dxa"/>
            <w:bottom w:w="0" w:type="dxa"/>
            <w:right w:w="108" w:type="dxa"/>
          </w:tblCellMar>
        </w:tblPrEx>
        <w:trPr>
          <w:trHeight w:val="340" w:hRule="atLeast"/>
          <w:jc w:val="center"/>
        </w:trPr>
        <w:tc>
          <w:tcPr>
            <w:tcW w:w="2534" w:type="dxa"/>
            <w:tcBorders>
              <w:top w:val="nil"/>
              <w:left w:val="single" w:color="auto" w:sz="4" w:space="0"/>
              <w:bottom w:val="single" w:color="auto" w:sz="4" w:space="0"/>
              <w:right w:val="single" w:color="auto" w:sz="4" w:space="0"/>
            </w:tcBorders>
            <w:shd w:val="clear" w:color="auto" w:fill="auto"/>
            <w:vAlign w:val="center"/>
          </w:tcPr>
          <w:p w14:paraId="3C1A7E0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771" w:type="dxa"/>
            <w:tcBorders>
              <w:top w:val="nil"/>
              <w:left w:val="nil"/>
              <w:bottom w:val="single" w:color="auto" w:sz="4" w:space="0"/>
              <w:right w:val="single" w:color="auto" w:sz="4" w:space="0"/>
            </w:tcBorders>
            <w:shd w:val="clear" w:color="auto" w:fill="auto"/>
            <w:vAlign w:val="center"/>
          </w:tcPr>
          <w:p w14:paraId="4F22E78F">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CAE386C">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87F1173">
        <w:tblPrEx>
          <w:tblCellMar>
            <w:top w:w="0" w:type="dxa"/>
            <w:left w:w="108" w:type="dxa"/>
            <w:bottom w:w="0" w:type="dxa"/>
            <w:right w:w="108" w:type="dxa"/>
          </w:tblCellMar>
        </w:tblPrEx>
        <w:trPr>
          <w:trHeight w:val="340" w:hRule="atLeast"/>
          <w:jc w:val="center"/>
        </w:trPr>
        <w:tc>
          <w:tcPr>
            <w:tcW w:w="2534" w:type="dxa"/>
            <w:tcBorders>
              <w:top w:val="nil"/>
              <w:left w:val="single" w:color="auto" w:sz="4" w:space="0"/>
              <w:bottom w:val="single" w:color="auto" w:sz="4" w:space="0"/>
              <w:right w:val="single" w:color="auto" w:sz="4" w:space="0"/>
            </w:tcBorders>
            <w:shd w:val="clear" w:color="auto" w:fill="auto"/>
            <w:vAlign w:val="center"/>
          </w:tcPr>
          <w:p w14:paraId="1E8F707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771" w:type="dxa"/>
            <w:tcBorders>
              <w:top w:val="nil"/>
              <w:left w:val="nil"/>
              <w:bottom w:val="single" w:color="auto" w:sz="4" w:space="0"/>
              <w:right w:val="single" w:color="auto" w:sz="4" w:space="0"/>
            </w:tcBorders>
            <w:shd w:val="clear" w:color="auto" w:fill="auto"/>
            <w:vAlign w:val="center"/>
          </w:tcPr>
          <w:p w14:paraId="721A2350">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2B803F8C">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40</w:t>
            </w:r>
          </w:p>
        </w:tc>
      </w:tr>
      <w:tr w14:paraId="23C82F48">
        <w:tblPrEx>
          <w:tblCellMar>
            <w:top w:w="0" w:type="dxa"/>
            <w:left w:w="108" w:type="dxa"/>
            <w:bottom w:w="0" w:type="dxa"/>
            <w:right w:w="108" w:type="dxa"/>
          </w:tblCellMar>
        </w:tblPrEx>
        <w:trPr>
          <w:trHeight w:val="340" w:hRule="atLeast"/>
          <w:jc w:val="center"/>
        </w:trPr>
        <w:tc>
          <w:tcPr>
            <w:tcW w:w="2534" w:type="dxa"/>
            <w:tcBorders>
              <w:top w:val="nil"/>
              <w:left w:val="single" w:color="auto" w:sz="4" w:space="0"/>
              <w:bottom w:val="single" w:color="auto" w:sz="4" w:space="0"/>
              <w:right w:val="single" w:color="auto" w:sz="4" w:space="0"/>
            </w:tcBorders>
            <w:shd w:val="clear" w:color="auto" w:fill="auto"/>
            <w:vAlign w:val="center"/>
          </w:tcPr>
          <w:p w14:paraId="27EA0F16">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771" w:type="dxa"/>
            <w:tcBorders>
              <w:top w:val="nil"/>
              <w:left w:val="nil"/>
              <w:bottom w:val="single" w:color="auto" w:sz="4" w:space="0"/>
              <w:right w:val="single" w:color="auto" w:sz="4" w:space="0"/>
            </w:tcBorders>
            <w:shd w:val="clear" w:color="auto" w:fill="auto"/>
            <w:vAlign w:val="center"/>
          </w:tcPr>
          <w:p w14:paraId="2B2ACDD4">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F1DD4E6">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647F1C5">
        <w:tblPrEx>
          <w:tblCellMar>
            <w:top w:w="0" w:type="dxa"/>
            <w:left w:w="108" w:type="dxa"/>
            <w:bottom w:w="0" w:type="dxa"/>
            <w:right w:w="108" w:type="dxa"/>
          </w:tblCellMar>
        </w:tblPrEx>
        <w:trPr>
          <w:trHeight w:val="340" w:hRule="atLeast"/>
          <w:jc w:val="center"/>
        </w:trPr>
        <w:tc>
          <w:tcPr>
            <w:tcW w:w="2534" w:type="dxa"/>
            <w:tcBorders>
              <w:top w:val="nil"/>
              <w:left w:val="single" w:color="auto" w:sz="4" w:space="0"/>
              <w:bottom w:val="single" w:color="auto" w:sz="4" w:space="0"/>
              <w:right w:val="single" w:color="auto" w:sz="4" w:space="0"/>
            </w:tcBorders>
            <w:shd w:val="clear" w:color="auto" w:fill="auto"/>
            <w:vAlign w:val="center"/>
          </w:tcPr>
          <w:p w14:paraId="1B7D959A">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771" w:type="dxa"/>
            <w:tcBorders>
              <w:top w:val="nil"/>
              <w:left w:val="nil"/>
              <w:bottom w:val="single" w:color="auto" w:sz="4" w:space="0"/>
              <w:right w:val="single" w:color="auto" w:sz="4" w:space="0"/>
            </w:tcBorders>
            <w:shd w:val="clear" w:color="auto" w:fill="auto"/>
            <w:vAlign w:val="center"/>
          </w:tcPr>
          <w:p w14:paraId="486A9056">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4A4D6B77">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10B6284F">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E17D67A">
      <w:pPr>
        <w:pStyle w:val="8"/>
        <w:pageBreakBefore w:val="0"/>
        <w:kinsoku/>
        <w:wordWrap/>
        <w:overflowPunct/>
        <w:topLinePunct w:val="0"/>
        <w:autoSpaceDE/>
        <w:autoSpaceDN/>
        <w:bidi w:val="0"/>
        <w:adjustRightInd/>
        <w:snapToGrid/>
        <w:spacing w:before="0" w:after="0" w:line="560" w:lineRule="exact"/>
        <w:ind w:left="0" w:leftChars="0"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30219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3347AE65">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1.项目立项</w:t>
      </w:r>
    </w:p>
    <w:p w14:paraId="2D9EB81B">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（1）立项依据充分性</w:t>
      </w:r>
    </w:p>
    <w:p w14:paraId="45A3DC17">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4785F6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（2）立项程序规范性</w:t>
      </w:r>
    </w:p>
    <w:p w14:paraId="43F878F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w:t>
      </w:r>
      <w:r>
        <w:rPr>
          <w:rFonts w:hint="eastAsia" w:ascii="Times New Roman" w:hAnsi="Times New Roman" w:eastAsia="仿宋_GB2312" w:cs="Times New Roman"/>
          <w:sz w:val="32"/>
          <w:szCs w:val="32"/>
          <w:lang w:val="en-US" w:eastAsia="zh-CN"/>
        </w:rPr>
        <w:t>集体决策</w:t>
      </w:r>
      <w:r>
        <w:rPr>
          <w:rFonts w:hint="default" w:ascii="Times New Roman" w:hAnsi="Times New Roman" w:eastAsia="仿宋_GB2312" w:cs="Times New Roman"/>
          <w:sz w:val="32"/>
          <w:szCs w:val="32"/>
        </w:rPr>
        <w:t>，保障了程序的规范性。</w:t>
      </w:r>
    </w:p>
    <w:p w14:paraId="042CF336">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2D64D25D">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（1）绩效目标合理性</w:t>
      </w:r>
    </w:p>
    <w:p w14:paraId="4A1C8040">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836513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（2）绩效指标明确性</w:t>
      </w:r>
    </w:p>
    <w:p w14:paraId="219AAB0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cs="Times New Roman"/>
        </w:rPr>
      </w:pPr>
      <w:r>
        <w:rPr>
          <w:rFonts w:hint="default" w:ascii="Times New Roman" w:hAnsi="Times New Roman" w:eastAsia="仿宋_GB2312" w:cs="Times New Roman"/>
          <w:sz w:val="32"/>
          <w:szCs w:val="32"/>
        </w:rPr>
        <w:t>项目设置了明确的预期产出效益和效果，将绩效目标细化分解为具体的绩效指标，绩效目标与项目目标任务数相对应，绩效目标设定的绩效指标清晰、细化、可衡量。</w:t>
      </w:r>
    </w:p>
    <w:p w14:paraId="762F13DB">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57E6F412">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（1）预算编制科学性</w:t>
      </w:r>
    </w:p>
    <w:p w14:paraId="2A1E2A43">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预算编制经过科学论证，提供充分的测算依据佐证资料，预算内容与项目内容相匹配。项目投资额与工作任务相匹配。</w:t>
      </w:r>
    </w:p>
    <w:p w14:paraId="40CB9BA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（2）资金分配合理性</w:t>
      </w:r>
    </w:p>
    <w:p w14:paraId="57D2414E">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资金分配额度与项目单位实际工作内容相适应，资金分配额度合理，资金分配依据充分。</w:t>
      </w:r>
    </w:p>
    <w:p w14:paraId="2350D6FB">
      <w:pPr>
        <w:pStyle w:val="8"/>
        <w:pageBreakBefore w:val="0"/>
        <w:numPr>
          <w:ilvl w:val="0"/>
          <w:numId w:val="3"/>
        </w:numPr>
        <w:kinsoku/>
        <w:wordWrap/>
        <w:overflowPunct/>
        <w:topLinePunct w:val="0"/>
        <w:autoSpaceDE/>
        <w:autoSpaceDN/>
        <w:bidi w:val="0"/>
        <w:adjustRightInd/>
        <w:snapToGrid/>
        <w:spacing w:before="0" w:after="0" w:line="560" w:lineRule="exact"/>
        <w:ind w:left="0" w:leftChars="0"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5D2DB33E">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项目过程类指标包括资金管理和组织实施两方面的内容，由5个三级指标构成</w:t>
      </w:r>
      <w:r>
        <w:rPr>
          <w:rFonts w:hint="default" w:ascii="Times New Roman" w:hAnsi="Times New Roman" w:eastAsia="仿宋_GB2312" w:cs="Times New Roman"/>
          <w:sz w:val="32"/>
          <w:szCs w:val="32"/>
          <w:highlight w:val="none"/>
        </w:rPr>
        <w:t>，权重分值为20分，实际得分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7C8CB3BD">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B602C59">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1.资金管理</w:t>
      </w:r>
    </w:p>
    <w:p w14:paraId="502610A3">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（1）资金到位率</w:t>
      </w:r>
    </w:p>
    <w:p w14:paraId="5A28796F">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本项目总投资</w:t>
      </w:r>
      <w:r>
        <w:rPr>
          <w:rFonts w:hint="eastAsia" w:eastAsia="仿宋_GB2312" w:cs="Times New Roman"/>
          <w:sz w:val="32"/>
          <w:szCs w:val="32"/>
          <w:highlight w:val="none"/>
          <w:lang w:val="en-US" w:eastAsia="zh-CN"/>
        </w:rPr>
        <w:t>116</w:t>
      </w:r>
      <w:r>
        <w:rPr>
          <w:rFonts w:hint="default" w:ascii="Times New Roman" w:hAnsi="Times New Roman" w:eastAsia="仿宋_GB2312" w:cs="Times New Roman"/>
          <w:sz w:val="32"/>
          <w:szCs w:val="32"/>
          <w:highlight w:val="none"/>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%，预算资金按计划进度执行。</w:t>
      </w:r>
    </w:p>
    <w:p w14:paraId="2EBBA2EA">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（2）预算执行率</w:t>
      </w:r>
    </w:p>
    <w:p w14:paraId="413D1123">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预算编制较为详细，项目资金支出总体能够按照预算执行，预算资金支出</w:t>
      </w:r>
      <w:r>
        <w:rPr>
          <w:rFonts w:hint="eastAsia" w:eastAsia="仿宋_GB2312" w:cs="Times New Roman"/>
          <w:sz w:val="32"/>
          <w:szCs w:val="32"/>
          <w:highlight w:val="none"/>
          <w:lang w:val="en-US" w:eastAsia="zh-CN"/>
        </w:rPr>
        <w:t>116</w:t>
      </w:r>
      <w:r>
        <w:rPr>
          <w:rFonts w:hint="default" w:ascii="Times New Roman" w:hAnsi="Times New Roman" w:eastAsia="仿宋_GB2312" w:cs="Times New Roman"/>
          <w:sz w:val="32"/>
          <w:szCs w:val="32"/>
          <w:highlight w:val="none"/>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4E7C67E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（3）资金使用合规性</w:t>
      </w:r>
    </w:p>
    <w:p w14:paraId="2D9276CB">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19605F7">
      <w:pPr>
        <w:pStyle w:val="19"/>
        <w:pageBreakBefore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2C6470C1">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（1）管理制度健全性</w:t>
      </w:r>
    </w:p>
    <w:p w14:paraId="5867E21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制定了相关管理办法，对财政资金进行严格管理，做到专款专用，项目资金使用符合相关的财务管理制度规定，能够反映和考核项目资金的规范运行情况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项目实施单位的财务和业务管理制度健全，能够反映和考核财务和业务管理制度对项目顺利实施的保障情况。</w:t>
      </w:r>
    </w:p>
    <w:p w14:paraId="72B3C22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（2）制度执行有效性</w:t>
      </w:r>
    </w:p>
    <w:p w14:paraId="43C31320">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对资金使用的合法合规性进行监督，年末对资金使用效果进行评价。项目管理、实施人员落实到位，有效按照计划执行。项目执行情况等资料齐全，项目相关手续完备，及时进行归档。</w:t>
      </w:r>
    </w:p>
    <w:p w14:paraId="2EA9C423">
      <w:pPr>
        <w:pStyle w:val="9"/>
        <w:pageBreakBefore w:val="0"/>
        <w:numPr>
          <w:ilvl w:val="0"/>
          <w:numId w:val="3"/>
        </w:numPr>
        <w:kinsoku/>
        <w:wordWrap/>
        <w:overflowPunct/>
        <w:topLinePunct w:val="0"/>
        <w:autoSpaceDE/>
        <w:autoSpaceDN/>
        <w:bidi w:val="0"/>
        <w:adjustRightInd/>
        <w:snapToGrid/>
        <w:spacing w:after="0"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项目产出情况</w:t>
      </w:r>
    </w:p>
    <w:p w14:paraId="015FD37C">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项目产出类指标包括产出数量、产出质量、产出时效、产出成本四方面的内容，由</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%。具体产出指标完成情况如下：</w:t>
      </w:r>
    </w:p>
    <w:p w14:paraId="20DCCDB9">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31481E5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指标1：建设方案文本数量，指标值：</w:t>
      </w:r>
      <w:r>
        <w:rPr>
          <w:rFonts w:hint="eastAsia" w:eastAsia="仿宋_GB2312" w:cs="Times New Roman"/>
          <w:color w:val="auto"/>
          <w:sz w:val="32"/>
          <w:szCs w:val="32"/>
          <w:highlight w:val="none"/>
          <w:lang w:val="en-US" w:eastAsia="zh-CN"/>
        </w:rPr>
        <w:t>等于1</w:t>
      </w:r>
      <w:r>
        <w:rPr>
          <w:rFonts w:hint="default" w:ascii="Times New Roman" w:hAnsi="Times New Roman" w:eastAsia="仿宋_GB2312" w:cs="Times New Roman"/>
          <w:color w:val="auto"/>
          <w:sz w:val="32"/>
          <w:szCs w:val="32"/>
          <w:highlight w:val="none"/>
        </w:rPr>
        <w:t>个，实际完成值：1个，指标完成率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无偏差</w:t>
      </w:r>
    </w:p>
    <w:p w14:paraId="091D284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指标2：总体规划文本数量</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等于</w:t>
      </w:r>
      <w:r>
        <w:rPr>
          <w:rFonts w:hint="default" w:ascii="Times New Roman" w:hAnsi="Times New Roman" w:eastAsia="仿宋_GB2312" w:cs="Times New Roman"/>
          <w:color w:val="auto"/>
          <w:sz w:val="32"/>
          <w:szCs w:val="32"/>
          <w:highlight w:val="none"/>
        </w:rPr>
        <w:t>1</w:t>
      </w:r>
      <w:r>
        <w:rPr>
          <w:rFonts w:hint="eastAsia" w:eastAsia="仿宋_GB2312" w:cs="Times New Roman"/>
          <w:color w:val="auto"/>
          <w:sz w:val="32"/>
          <w:szCs w:val="32"/>
          <w:highlight w:val="none"/>
          <w:lang w:val="en-US" w:eastAsia="zh-CN"/>
        </w:rPr>
        <w:t>本</w:t>
      </w:r>
      <w:r>
        <w:rPr>
          <w:rFonts w:hint="default" w:ascii="Times New Roman" w:hAnsi="Times New Roman" w:eastAsia="仿宋_GB2312" w:cs="Times New Roman"/>
          <w:color w:val="auto"/>
          <w:sz w:val="32"/>
          <w:szCs w:val="32"/>
          <w:highlight w:val="none"/>
        </w:rPr>
        <w:t>，实际完成值：1</w:t>
      </w:r>
      <w:r>
        <w:rPr>
          <w:rFonts w:hint="eastAsia" w:eastAsia="仿宋_GB2312" w:cs="Times New Roman"/>
          <w:color w:val="auto"/>
          <w:sz w:val="32"/>
          <w:szCs w:val="32"/>
          <w:highlight w:val="none"/>
          <w:lang w:val="en-US" w:eastAsia="zh-CN"/>
        </w:rPr>
        <w:t>本</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无偏差</w:t>
      </w:r>
    </w:p>
    <w:p w14:paraId="2C2A1F2B">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：建设方案图件数量，指标值：</w:t>
      </w:r>
      <w:r>
        <w:rPr>
          <w:rFonts w:hint="eastAsia" w:eastAsia="仿宋_GB2312" w:cs="Times New Roman"/>
          <w:color w:val="auto"/>
          <w:sz w:val="32"/>
          <w:szCs w:val="32"/>
          <w:highlight w:val="none"/>
          <w:lang w:val="en-US" w:eastAsia="zh-CN"/>
        </w:rPr>
        <w:t>等于</w:t>
      </w:r>
      <w:r>
        <w:rPr>
          <w:rFonts w:hint="default" w:ascii="Times New Roman" w:hAnsi="Times New Roman" w:eastAsia="仿宋_GB2312" w:cs="Times New Roman"/>
          <w:color w:val="auto"/>
          <w:sz w:val="32"/>
          <w:szCs w:val="32"/>
          <w:highlight w:val="none"/>
        </w:rPr>
        <w:t>1个，实际完成值：1个，指标完成率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无偏差</w:t>
      </w:r>
    </w:p>
    <w:p w14:paraId="170FD2B0">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：总体规划图件数量，指标值：</w:t>
      </w:r>
      <w:r>
        <w:rPr>
          <w:rFonts w:hint="eastAsia" w:eastAsia="仿宋_GB2312" w:cs="Times New Roman"/>
          <w:color w:val="auto"/>
          <w:sz w:val="32"/>
          <w:szCs w:val="32"/>
          <w:highlight w:val="none"/>
          <w:lang w:val="en-US" w:eastAsia="zh-CN"/>
        </w:rPr>
        <w:t>等于</w:t>
      </w:r>
      <w:r>
        <w:rPr>
          <w:rFonts w:hint="default" w:ascii="Times New Roman" w:hAnsi="Times New Roman" w:eastAsia="仿宋_GB2312" w:cs="Times New Roman"/>
          <w:color w:val="auto"/>
          <w:sz w:val="32"/>
          <w:szCs w:val="32"/>
          <w:highlight w:val="none"/>
        </w:rPr>
        <w:t>1个，实际完成值：1个，指标完成率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无偏差</w:t>
      </w:r>
    </w:p>
    <w:p w14:paraId="5CD328BB">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14:paraId="722A8046">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指标1：总体规划及建设方案编制合格率，指标值：</w:t>
      </w:r>
      <w:r>
        <w:rPr>
          <w:rFonts w:hint="eastAsia" w:eastAsia="仿宋_GB2312" w:cs="Times New Roman"/>
          <w:color w:val="auto"/>
          <w:sz w:val="32"/>
          <w:szCs w:val="32"/>
          <w:highlight w:val="none"/>
          <w:lang w:val="en-US" w:eastAsia="zh-CN"/>
        </w:rPr>
        <w:t>大于等于</w:t>
      </w:r>
      <w:r>
        <w:rPr>
          <w:rFonts w:hint="default" w:ascii="Times New Roman" w:hAnsi="Times New Roman" w:eastAsia="仿宋_GB2312" w:cs="Times New Roman"/>
          <w:color w:val="auto"/>
          <w:sz w:val="32"/>
          <w:szCs w:val="32"/>
          <w:highlight w:val="none"/>
        </w:rPr>
        <w:t>95%，实际完成值：100%，指标完成率</w:t>
      </w:r>
      <w:r>
        <w:rPr>
          <w:rFonts w:hint="eastAsia" w:eastAsia="仿宋_GB2312" w:cs="Times New Roman"/>
          <w:color w:val="auto"/>
          <w:sz w:val="32"/>
          <w:szCs w:val="32"/>
          <w:highlight w:val="none"/>
          <w:lang w:val="en-US" w:eastAsia="zh-CN"/>
        </w:rPr>
        <w:t>105</w:t>
      </w:r>
      <w:r>
        <w:rPr>
          <w:rFonts w:hint="default" w:ascii="Times New Roman" w:hAnsi="Times New Roman" w:eastAsia="仿宋_GB2312" w:cs="Times New Roman"/>
          <w:color w:val="auto"/>
          <w:sz w:val="32"/>
          <w:szCs w:val="32"/>
          <w:highlight w:val="none"/>
        </w:rPr>
        <w:t xml:space="preserve"> </w:t>
      </w:r>
      <w:r>
        <w:rPr>
          <w:rFonts w:hint="eastAsia" w:eastAsia="仿宋_GB2312" w:cs="Times New Roman"/>
          <w:color w:val="auto"/>
          <w:sz w:val="32"/>
          <w:szCs w:val="32"/>
          <w:highlight w:val="none"/>
          <w:lang w:val="en-US" w:eastAsia="zh-CN"/>
        </w:rPr>
        <w:t>.26</w:t>
      </w:r>
      <w:r>
        <w:rPr>
          <w:rFonts w:hint="default" w:ascii="Times New Roman" w:hAnsi="Times New Roman" w:eastAsia="仿宋_GB2312" w:cs="Times New Roman"/>
          <w:color w:val="auto"/>
          <w:sz w:val="32"/>
          <w:szCs w:val="32"/>
          <w:highlight w:val="none"/>
        </w:rPr>
        <w:t>%。偏差原因：</w:t>
      </w:r>
      <w:r>
        <w:rPr>
          <w:rFonts w:hint="eastAsia" w:ascii="Times New Roman" w:hAnsi="Times New Roman" w:eastAsia="仿宋_GB2312" w:cs="Times New Roman"/>
          <w:color w:val="auto"/>
          <w:sz w:val="32"/>
          <w:szCs w:val="32"/>
          <w:highlight w:val="none"/>
          <w:lang w:val="en-US" w:eastAsia="zh-CN"/>
        </w:rPr>
        <w:t>由于年初设置时，考虑项目完成进度的不确定性因素（方案、规划多次审核不合格等因素），保守估计目标值，目标值略有偏差，实际项目完成时，实际值略高于目标值</w:t>
      </w:r>
      <w:r>
        <w:rPr>
          <w:rFonts w:hint="eastAsia" w:eastAsia="仿宋_GB2312" w:cs="Times New Roman"/>
          <w:color w:val="auto"/>
          <w:sz w:val="32"/>
          <w:szCs w:val="32"/>
          <w:highlight w:val="none"/>
          <w:lang w:val="en-US" w:eastAsia="zh-CN"/>
        </w:rPr>
        <w:t>。改进措施：单位</w:t>
      </w:r>
      <w:r>
        <w:rPr>
          <w:rFonts w:hint="eastAsia" w:ascii="Times New Roman" w:hAnsi="Times New Roman" w:eastAsia="仿宋_GB2312" w:cs="Times New Roman"/>
          <w:color w:val="auto"/>
          <w:sz w:val="32"/>
          <w:szCs w:val="32"/>
          <w:highlight w:val="none"/>
          <w:lang w:val="en-US" w:eastAsia="zh-CN"/>
        </w:rPr>
        <w:t>日后将</w:t>
      </w:r>
      <w:r>
        <w:rPr>
          <w:rFonts w:hint="eastAsia" w:eastAsia="仿宋_GB2312" w:cs="Times New Roman"/>
          <w:color w:val="auto"/>
          <w:sz w:val="32"/>
          <w:szCs w:val="32"/>
          <w:highlight w:val="none"/>
          <w:lang w:val="en-US" w:eastAsia="zh-CN"/>
        </w:rPr>
        <w:t>细化目标设置，</w:t>
      </w:r>
      <w:r>
        <w:rPr>
          <w:rFonts w:hint="eastAsia" w:ascii="Times New Roman" w:hAnsi="Times New Roman" w:eastAsia="仿宋_GB2312" w:cs="Times New Roman"/>
          <w:color w:val="auto"/>
          <w:sz w:val="32"/>
          <w:szCs w:val="32"/>
          <w:highlight w:val="none"/>
          <w:lang w:val="en-US" w:eastAsia="zh-CN"/>
        </w:rPr>
        <w:t>进一步提升绩效目标值设置的精准度</w:t>
      </w:r>
      <w:r>
        <w:rPr>
          <w:rFonts w:hint="eastAsia" w:eastAsia="仿宋_GB2312" w:cs="Times New Roman"/>
          <w:color w:val="auto"/>
          <w:sz w:val="32"/>
          <w:szCs w:val="32"/>
          <w:highlight w:val="none"/>
          <w:lang w:val="en-US" w:eastAsia="zh-CN"/>
        </w:rPr>
        <w:t>。</w:t>
      </w:r>
    </w:p>
    <w:p w14:paraId="5E8C4BB0">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14:paraId="47FD1612">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指标1：方案规划编制及时率</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指标值：大于等于</w:t>
      </w:r>
      <w:r>
        <w:rPr>
          <w:rFonts w:hint="default" w:ascii="Times New Roman" w:hAnsi="Times New Roman" w:eastAsia="仿宋_GB2312" w:cs="Times New Roman"/>
          <w:color w:val="auto"/>
          <w:sz w:val="32"/>
          <w:szCs w:val="32"/>
          <w:highlight w:val="none"/>
        </w:rPr>
        <w:t>95%</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实际完成值：</w:t>
      </w:r>
      <w:r>
        <w:rPr>
          <w:rFonts w:hint="default" w:ascii="Times New Roman" w:hAnsi="Times New Roman" w:eastAsia="仿宋_GB2312" w:cs="Times New Roman"/>
          <w:color w:val="auto"/>
          <w:sz w:val="32"/>
          <w:szCs w:val="32"/>
          <w:highlight w:val="none"/>
        </w:rPr>
        <w:t>100%</w:t>
      </w:r>
      <w:r>
        <w:rPr>
          <w:rFonts w:hint="default" w:ascii="Times New Roman" w:hAnsi="Times New Roman" w:eastAsia="仿宋_GB2312" w:cs="Times New Roman"/>
          <w:color w:val="auto"/>
          <w:sz w:val="32"/>
          <w:szCs w:val="32"/>
          <w:highlight w:val="none"/>
        </w:rPr>
        <w:tab/>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指标完成率：105.26%。偏差原因：</w:t>
      </w:r>
      <w:r>
        <w:rPr>
          <w:rFonts w:hint="eastAsia" w:ascii="Times New Roman" w:hAnsi="Times New Roman" w:eastAsia="仿宋_GB2312" w:cs="Times New Roman"/>
          <w:color w:val="auto"/>
          <w:sz w:val="32"/>
          <w:szCs w:val="32"/>
          <w:highlight w:val="none"/>
          <w:lang w:val="en-US" w:eastAsia="zh-CN"/>
        </w:rPr>
        <w:t>由于年初设置时，考虑项目完成进度的不确定性因素（方案、规划多次审核不合格等因素），保守估计目标值，目标值略有偏差，实际项目完成时，实际值略高于目标值</w:t>
      </w:r>
      <w:r>
        <w:rPr>
          <w:rFonts w:hint="eastAsia" w:eastAsia="仿宋_GB2312" w:cs="Times New Roman"/>
          <w:color w:val="auto"/>
          <w:sz w:val="32"/>
          <w:szCs w:val="32"/>
          <w:highlight w:val="none"/>
          <w:lang w:val="en-US" w:eastAsia="zh-CN"/>
        </w:rPr>
        <w:t>。改进措施：单位</w:t>
      </w:r>
      <w:r>
        <w:rPr>
          <w:rFonts w:hint="eastAsia" w:ascii="Times New Roman" w:hAnsi="Times New Roman" w:eastAsia="仿宋_GB2312" w:cs="Times New Roman"/>
          <w:color w:val="auto"/>
          <w:sz w:val="32"/>
          <w:szCs w:val="32"/>
          <w:highlight w:val="none"/>
          <w:lang w:val="en-US" w:eastAsia="zh-CN"/>
        </w:rPr>
        <w:t>日后将</w:t>
      </w:r>
      <w:r>
        <w:rPr>
          <w:rFonts w:hint="eastAsia" w:eastAsia="仿宋_GB2312" w:cs="Times New Roman"/>
          <w:color w:val="auto"/>
          <w:sz w:val="32"/>
          <w:szCs w:val="32"/>
          <w:highlight w:val="none"/>
          <w:lang w:val="en-US" w:eastAsia="zh-CN"/>
        </w:rPr>
        <w:t>细化目标设置，</w:t>
      </w:r>
      <w:r>
        <w:rPr>
          <w:rFonts w:hint="eastAsia" w:ascii="Times New Roman" w:hAnsi="Times New Roman" w:eastAsia="仿宋_GB2312" w:cs="Times New Roman"/>
          <w:color w:val="auto"/>
          <w:sz w:val="32"/>
          <w:szCs w:val="32"/>
          <w:highlight w:val="none"/>
          <w:lang w:val="en-US" w:eastAsia="zh-CN"/>
        </w:rPr>
        <w:t>进一步提升绩效目标值设置的精准度</w:t>
      </w:r>
      <w:r>
        <w:rPr>
          <w:rFonts w:hint="eastAsia" w:eastAsia="仿宋_GB2312" w:cs="Times New Roman"/>
          <w:color w:val="auto"/>
          <w:sz w:val="32"/>
          <w:szCs w:val="32"/>
          <w:highlight w:val="none"/>
          <w:lang w:val="en-US" w:eastAsia="zh-CN"/>
        </w:rPr>
        <w:t>。</w:t>
      </w:r>
    </w:p>
    <w:p w14:paraId="66DB920B">
      <w:pPr>
        <w:pStyle w:val="9"/>
        <w:pageBreakBefore w:val="0"/>
        <w:numPr>
          <w:ilvl w:val="0"/>
          <w:numId w:val="3"/>
        </w:numPr>
        <w:kinsoku/>
        <w:wordWrap/>
        <w:overflowPunct/>
        <w:topLinePunct w:val="0"/>
        <w:autoSpaceDE/>
        <w:autoSpaceDN/>
        <w:bidi w:val="0"/>
        <w:adjustRightInd/>
        <w:snapToGrid/>
        <w:spacing w:after="0" w:line="560" w:lineRule="exact"/>
        <w:ind w:left="0" w:leftChars="0"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项目效益情况</w:t>
      </w:r>
    </w:p>
    <w:p w14:paraId="0D124D40">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%。具体效益指标及满意度指标完成情况如下：</w:t>
      </w:r>
    </w:p>
    <w:p w14:paraId="3F4AC614">
      <w:pPr>
        <w:pageBreakBefore w:val="0"/>
        <w:kinsoku/>
        <w:wordWrap/>
        <w:overflowPunct/>
        <w:topLinePunct w:val="0"/>
        <w:autoSpaceDE/>
        <w:autoSpaceDN/>
        <w:bidi w:val="0"/>
        <w:adjustRightInd/>
        <w:snapToGrid/>
        <w:spacing w:line="560" w:lineRule="exact"/>
        <w:ind w:left="0" w:leftChars="0" w:firstLine="643" w:firstLineChars="200"/>
        <w:textAlignment w:val="auto"/>
        <w:outlineLvl w:val="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1.实施效益</w:t>
      </w:r>
    </w:p>
    <w:p w14:paraId="14B673F5">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②社会效益指标：</w:t>
      </w:r>
    </w:p>
    <w:p w14:paraId="473E61B3">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指标1：有效提高城市文旅产业发展</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指标值：</w:t>
      </w:r>
      <w:r>
        <w:rPr>
          <w:rFonts w:hint="default" w:ascii="Times New Roman" w:hAnsi="Times New Roman" w:eastAsia="仿宋_GB2312" w:cs="Times New Roman"/>
          <w:color w:val="auto"/>
          <w:sz w:val="32"/>
          <w:szCs w:val="32"/>
          <w:highlight w:val="none"/>
        </w:rPr>
        <w:t>有效提高</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实际完成值：</w:t>
      </w:r>
      <w:r>
        <w:rPr>
          <w:rFonts w:hint="default" w:ascii="Times New Roman" w:hAnsi="Times New Roman" w:eastAsia="仿宋_GB2312" w:cs="Times New Roman"/>
          <w:color w:val="auto"/>
          <w:sz w:val="32"/>
          <w:szCs w:val="32"/>
          <w:highlight w:val="none"/>
        </w:rPr>
        <w:t>完全达到预期值</w:t>
      </w:r>
      <w:r>
        <w:rPr>
          <w:rFonts w:hint="default" w:ascii="Times New Roman" w:hAnsi="Times New Roman" w:eastAsia="仿宋_GB2312" w:cs="Times New Roman"/>
          <w:color w:val="auto"/>
          <w:sz w:val="32"/>
          <w:szCs w:val="32"/>
          <w:highlight w:val="none"/>
        </w:rPr>
        <w:tab/>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指标完成率：100%，无偏差。</w:t>
      </w:r>
    </w:p>
    <w:p w14:paraId="22E7EEF7">
      <w:pPr>
        <w:pageBreakBefore w:val="0"/>
        <w:kinsoku/>
        <w:wordWrap/>
        <w:overflowPunct/>
        <w:topLinePunct w:val="0"/>
        <w:autoSpaceDE/>
        <w:autoSpaceDN/>
        <w:bidi w:val="0"/>
        <w:adjustRightInd/>
        <w:snapToGrid/>
        <w:spacing w:line="560" w:lineRule="exact"/>
        <w:ind w:left="0" w:leftChars="0" w:firstLine="640" w:firstLineChars="200"/>
        <w:textAlignment w:val="auto"/>
        <w:rPr>
          <w:rStyle w:val="18"/>
          <w:rFonts w:hint="default" w:ascii="Times New Roman" w:hAnsi="Times New Roman" w:cs="Times New Roman"/>
          <w:color w:val="auto"/>
          <w:highlight w:val="none"/>
        </w:rPr>
      </w:pPr>
      <w:r>
        <w:rPr>
          <w:rFonts w:hint="default"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、主要经验及做法、存在的问题及原因分析</w:t>
      </w:r>
    </w:p>
    <w:p w14:paraId="62042BDD">
      <w:pPr>
        <w:pageBreakBefore w:val="0"/>
        <w:kinsoku/>
        <w:wordWrap/>
        <w:overflowPunct/>
        <w:topLinePunct w:val="0"/>
        <w:autoSpaceDE/>
        <w:autoSpaceDN/>
        <w:bidi w:val="0"/>
        <w:adjustRightInd/>
        <w:snapToGrid/>
        <w:spacing w:line="560" w:lineRule="exact"/>
        <w:ind w:left="0" w:leftChars="0"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C376C58">
      <w:pPr>
        <w:pStyle w:val="8"/>
        <w:pageBreakBefore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在水磨沟区文旅产业融合发展示范区项目中，我们严格遵循“先做事后验收，再付款”的原则，确保资金按照实际工作进度拨付。实施过程中，每一步工作完成后都需要经过严格验收，确认质量合格后才进行资金支付。这一措施有效避免了资金被提前占用或挪用于其他非项目活动的风险，保障了项目资金的专款专用，提高了资金使用的安全性和效率。</w:t>
      </w:r>
    </w:p>
    <w:p w14:paraId="08FBC3F7">
      <w:pPr>
        <w:keepNext/>
        <w:keepLines/>
        <w:pageBreakBefore w:val="0"/>
        <w:numPr>
          <w:ilvl w:val="0"/>
          <w:numId w:val="4"/>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F70CA01">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尽管监管措施较为完善，但仍存在资金拨付不及时的问题，影响了项目进度。原因在于审批流程繁琐，协调机制不顺畅。部分项目在执行过程中存在资金超支现象，主要是由于预算编制不够精准，对项目实际需求估计不足。</w:t>
      </w:r>
    </w:p>
    <w:p w14:paraId="73A52C76">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w:t>
      </w:r>
      <w:bookmarkStart w:id="7" w:name="_GoBack"/>
      <w:bookmarkEnd w:id="7"/>
      <w:r>
        <w:rPr>
          <w:rFonts w:hint="default" w:ascii="Times New Roman" w:hAnsi="Times New Roman" w:eastAsia="黑体" w:cs="Times New Roman"/>
          <w:sz w:val="32"/>
          <w:szCs w:val="32"/>
        </w:rPr>
        <w:t>议</w:t>
      </w:r>
    </w:p>
    <w:p w14:paraId="049FF604">
      <w:pPr>
        <w:pageBreakBefore w:val="0"/>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Times New Roman" w:hAnsi="Times New Roman" w:eastAsia="仿宋_GB2312" w:cs="Times New Roman"/>
          <w:lang w:eastAsia="zh-CN"/>
        </w:rPr>
      </w:pPr>
      <w:r>
        <w:rPr>
          <w:rFonts w:hint="default" w:ascii="Times New Roman" w:hAnsi="Times New Roman" w:eastAsia="仿宋_GB2312" w:cs="Times New Roman"/>
          <w:sz w:val="32"/>
          <w:szCs w:val="32"/>
        </w:rPr>
        <w:t>多进行有关绩效管理工作方面的培训。积极组织第三方开展绩效管理工作培训，进一步夯实业务基础，提高我单位绩效人员水平。建议简化资金审批流程，提高资金拨付效率。加强预算管理，提高预算编制的科学性和准确性。加强对项目负责人的资金管理培训，提升其资金管理能力</w:t>
      </w:r>
      <w:r>
        <w:rPr>
          <w:rFonts w:hint="eastAsia" w:eastAsia="仿宋_GB2312" w:cs="Times New Roman"/>
          <w:sz w:val="32"/>
          <w:szCs w:val="32"/>
          <w:lang w:eastAsia="zh-CN"/>
        </w:rPr>
        <w:t>。</w:t>
      </w:r>
    </w:p>
    <w:p w14:paraId="089B4A56">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6" w:name="page8"/>
      <w:bookmarkEnd w:id="6"/>
      <w:r>
        <w:rPr>
          <w:rFonts w:hint="default" w:ascii="Times New Roman" w:hAnsi="Times New Roman" w:eastAsia="黑体" w:cs="Times New Roman"/>
          <w:sz w:val="32"/>
          <w:szCs w:val="32"/>
        </w:rPr>
        <w:t>明的问题</w:t>
      </w:r>
    </w:p>
    <w:p w14:paraId="7F07CFD3">
      <w:pPr>
        <w:pStyle w:val="10"/>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仿宋_GB2312" w:cs="Times New Roman"/>
          <w:sz w:val="32"/>
          <w:szCs w:val="32"/>
        </w:rPr>
      </w:pPr>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F320DA-FB8A-4DDB-9DEC-6FFC4FCEBD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DEBF0E8-82A2-42F4-8077-80F9DEE8EBB6}"/>
  </w:font>
  <w:font w:name="Arial">
    <w:panose1 w:val="020B0604020202020204"/>
    <w:charset w:val="00"/>
    <w:family w:val="auto"/>
    <w:pitch w:val="default"/>
    <w:sig w:usb0="E0002EFF" w:usb1="C000785B" w:usb2="00000009" w:usb3="00000000" w:csb0="400001FF" w:csb1="FFFF0000"/>
    <w:embedRegular r:id="rId3" w:fontKey="{0B5FB938-E837-4432-A5C3-50DFA0E5D327}"/>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4BA94C2A-DCC5-430A-9479-F099A18CA36A}"/>
  </w:font>
  <w:font w:name="方正小标宋_GBK">
    <w:panose1 w:val="02000000000000000000"/>
    <w:charset w:val="86"/>
    <w:family w:val="script"/>
    <w:pitch w:val="default"/>
    <w:sig w:usb0="A00002BF" w:usb1="38CF7CFA" w:usb2="00082016" w:usb3="00000000" w:csb0="00040001" w:csb1="00000000"/>
    <w:embedRegular r:id="rId5" w:fontKey="{78D8EDC0-96B2-4CEA-B3A8-F88B38CAAD9D}"/>
  </w:font>
  <w:font w:name="华文中宋">
    <w:panose1 w:val="02010600040101010101"/>
    <w:charset w:val="86"/>
    <w:family w:val="auto"/>
    <w:pitch w:val="default"/>
    <w:sig w:usb0="00000287" w:usb1="080F0000" w:usb2="00000000" w:usb3="00000000" w:csb0="0004009F" w:csb1="DFD70000"/>
    <w:embedRegular r:id="rId6" w:fontKey="{CE83B56F-E86B-469B-9F68-68A3A8BBBC8D}"/>
  </w:font>
  <w:font w:name="楷体_GB2312">
    <w:panose1 w:val="02010609030101010101"/>
    <w:charset w:val="86"/>
    <w:family w:val="auto"/>
    <w:pitch w:val="default"/>
    <w:sig w:usb0="00000001" w:usb1="080E0000" w:usb2="00000000" w:usb3="00000000" w:csb0="00040000" w:csb1="00000000"/>
    <w:embedRegular r:id="rId7" w:fontKey="{6D612FA7-E624-479C-A7F2-B183A4A346D6}"/>
  </w:font>
  <w:font w:name="方正仿宋_GBK">
    <w:panose1 w:val="02000000000000000000"/>
    <w:charset w:val="86"/>
    <w:family w:val="script"/>
    <w:pitch w:val="default"/>
    <w:sig w:usb0="A00002BF" w:usb1="38CF7CFA" w:usb2="00082016" w:usb3="00000000" w:csb0="00040001" w:csb1="00000000"/>
    <w:embedRegular r:id="rId8" w:fontKey="{42C88023-1B6F-4347-95A8-25C97EFA9170}"/>
  </w:font>
  <w:font w:name="楷体">
    <w:panose1 w:val="02010609060101010101"/>
    <w:charset w:val="86"/>
    <w:family w:val="modern"/>
    <w:pitch w:val="default"/>
    <w:sig w:usb0="800002BF" w:usb1="38CF7CFA" w:usb2="00000016" w:usb3="00000000" w:csb0="00040001" w:csb1="00000000"/>
    <w:embedRegular r:id="rId9" w:fontKey="{8B29F1CB-1E00-4AE9-8A03-1A7CAA2D00A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06850A6B">
        <w:pPr>
          <w:pStyle w:val="6"/>
          <w:jc w:val="center"/>
        </w:pPr>
        <w:r>
          <w:fldChar w:fldCharType="begin"/>
        </w:r>
        <w:r>
          <w:instrText xml:space="preserve">PAGE   \* MERGEFORMAT</w:instrText>
        </w:r>
        <w:r>
          <w:fldChar w:fldCharType="separate"/>
        </w:r>
        <w:r>
          <w:rPr>
            <w:lang w:val="zh-CN"/>
          </w:rPr>
          <w:t>13</w:t>
        </w:r>
        <w:r>
          <w:fldChar w:fldCharType="end"/>
        </w:r>
      </w:p>
    </w:sdtContent>
  </w:sdt>
  <w:p w14:paraId="426649A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7686"/>
    </w:sdtPr>
    <w:sdtContent>
      <w:p w14:paraId="5C7594D0">
        <w:pPr>
          <w:pStyle w:val="6"/>
          <w:jc w:val="center"/>
        </w:pPr>
        <w:r>
          <w:fldChar w:fldCharType="begin"/>
        </w:r>
        <w:r>
          <w:instrText xml:space="preserve">PAGE   \* MERGEFORMAT</w:instrText>
        </w:r>
        <w:r>
          <w:fldChar w:fldCharType="separate"/>
        </w:r>
        <w:r>
          <w:rPr>
            <w:lang w:val="zh-CN"/>
          </w:rPr>
          <w:t>13</w:t>
        </w:r>
        <w:r>
          <w:fldChar w:fldCharType="end"/>
        </w:r>
      </w:p>
    </w:sdtContent>
  </w:sdt>
  <w:p w14:paraId="12C8470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0F63C"/>
    <w:multiLevelType w:val="singleLevel"/>
    <w:tmpl w:val="8DA0F63C"/>
    <w:lvl w:ilvl="0" w:tentative="0">
      <w:start w:val="2"/>
      <w:numFmt w:val="chineseCounting"/>
      <w:suff w:val="nothing"/>
      <w:lvlText w:val="（%1）"/>
      <w:lvlJc w:val="left"/>
      <w:rPr>
        <w:rFonts w:hint="eastAsia"/>
      </w:rPr>
    </w:lvl>
  </w:abstractNum>
  <w:abstractNum w:abstractNumId="1">
    <w:nsid w:val="272CFB4D"/>
    <w:multiLevelType w:val="singleLevel"/>
    <w:tmpl w:val="272CFB4D"/>
    <w:lvl w:ilvl="0" w:tentative="0">
      <w:start w:val="2"/>
      <w:numFmt w:val="chineseCounting"/>
      <w:suff w:val="nothing"/>
      <w:lvlText w:val="（%1）"/>
      <w:lvlJc w:val="left"/>
      <w:rPr>
        <w:rFonts w:hint="eastAsia"/>
      </w:rPr>
    </w:lvl>
  </w:abstractNum>
  <w:abstractNum w:abstractNumId="2">
    <w:nsid w:val="3E5DD7F6"/>
    <w:multiLevelType w:val="singleLevel"/>
    <w:tmpl w:val="3E5DD7F6"/>
    <w:lvl w:ilvl="0" w:tentative="0">
      <w:start w:val="3"/>
      <w:numFmt w:val="chineseCounting"/>
      <w:suff w:val="nothing"/>
      <w:lvlText w:val="%1、"/>
      <w:lvlJc w:val="left"/>
      <w:rPr>
        <w:rFonts w:hint="eastAsia"/>
      </w:rPr>
    </w:lvl>
  </w:abstractNum>
  <w:abstractNum w:abstractNumId="3">
    <w:nsid w:val="4C51916A"/>
    <w:multiLevelType w:val="singleLevel"/>
    <w:tmpl w:val="4C51916A"/>
    <w:lvl w:ilvl="0" w:tentative="0">
      <w:start w:val="3"/>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374357D7"/>
    <w:rsid w:val="3C76459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Body Text Indent"/>
    <w:basedOn w:val="1"/>
    <w:autoRedefine/>
    <w:qFormat/>
    <w:uiPriority w:val="0"/>
    <w:pPr>
      <w:spacing w:after="120"/>
      <w:ind w:left="420" w:leftChars="200"/>
    </w:pPr>
    <w:rPr>
      <w:rFonts w:ascii="Calibri" w:hAnsi="Calibri"/>
    </w:rPr>
  </w:style>
  <w:style w:type="paragraph" w:styleId="5">
    <w:name w:val="Balloon Text"/>
    <w:basedOn w:val="1"/>
    <w:link w:val="20"/>
    <w:autoRedefine/>
    <w:qFormat/>
    <w:uiPriority w:val="0"/>
    <w:rPr>
      <w:sz w:val="18"/>
      <w:szCs w:val="18"/>
    </w:rPr>
  </w:style>
  <w:style w:type="paragraph" w:styleId="6">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autoRedefine/>
    <w:qFormat/>
    <w:uiPriority w:val="0"/>
    <w:pPr>
      <w:spacing w:after="0"/>
      <w:ind w:firstLine="200" w:firstLineChars="200"/>
    </w:pPr>
  </w:style>
  <w:style w:type="paragraph" w:styleId="10">
    <w:name w:val="Body Text First Indent 2"/>
    <w:basedOn w:val="4"/>
    <w:autoRedefine/>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3"/>
    <w:link w:val="5"/>
    <w:autoRedefine/>
    <w:qFormat/>
    <w:uiPriority w:val="0"/>
    <w:rPr>
      <w:rFonts w:ascii="Times New Roman" w:hAnsi="Times New Roman" w:eastAsia="宋体" w:cs="Times New Roman"/>
      <w:kern w:val="2"/>
      <w:sz w:val="18"/>
      <w:szCs w:val="18"/>
    </w:rPr>
  </w:style>
  <w:style w:type="character" w:customStyle="1" w:styleId="21">
    <w:name w:val="页眉 字符"/>
    <w:basedOn w:val="13"/>
    <w:link w:val="7"/>
    <w:autoRedefine/>
    <w:qFormat/>
    <w:uiPriority w:val="0"/>
    <w:rPr>
      <w:rFonts w:ascii="Times New Roman" w:hAnsi="Times New Roman" w:eastAsia="宋体" w:cs="Times New Roman"/>
      <w:kern w:val="2"/>
      <w:sz w:val="18"/>
      <w:szCs w:val="18"/>
    </w:rPr>
  </w:style>
  <w:style w:type="character" w:customStyle="1" w:styleId="22">
    <w:name w:val="批注文字 字符"/>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35462C0B3FB543198819AAAFD75799DD_13</vt:lpwstr>
  </property>
  <property fmtid="{D5CDD505-2E9C-101B-9397-08002B2CF9AE}" pid="4" name="KSOTemplateDocerSaveRecord">
    <vt:lpwstr>eyJoZGlkIjoiNjgzN2FkNDZiZjIyODlmOTExMjEzYzZiZTZjYTRiYmUiLCJ1c2VySWQiOiIxMDU5MjcxNDc2In0=</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e46ad-4a7b-4b07-8160-a71dbfa10670}">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14</Pages>
  <Words>3790</Words>
  <Characters>3912</Characters>
  <Lines>66</Lines>
  <Paragraphs>18</Paragraphs>
  <TotalTime>1</TotalTime>
  <ScaleCrop>false</ScaleCrop>
  <LinksUpToDate>false</LinksUpToDate>
  <CharactersWithSpaces>3912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2025-11-05T10:42:20Z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eyJoZGlkIjoiN2E1ZDY0MDI5MTE3YjM0ZGMyMzg4N2EwMDI4ZjJiM2YiLCJ1c2VySWQiOiIyNTk4NTcxMjUifQ==</vt:lpwstr>
  </property>
</Properties>
</file>