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A0D12BD">
      <w:pPr>
        <w:rPr>
          <w:color w:val="auto"/>
          <w:highlight w:val="none"/>
        </w:rPr>
      </w:pPr>
    </w:p>
    <w:p w14:paraId="0D4F130F">
      <w:pPr>
        <w:spacing w:line="480" w:lineRule="auto"/>
        <w:ind w:firstLine="0" w:firstLineChars="0"/>
        <w:rPr>
          <w:rFonts w:hint="default" w:ascii="Times New Roman" w:hAnsi="Times New Roman" w:eastAsia="方正黑体_GBK" w:cs="Times New Roman"/>
          <w:b w:val="0"/>
          <w:bCs/>
          <w:color w:val="auto"/>
          <w:kern w:val="0"/>
          <w:sz w:val="32"/>
          <w:szCs w:val="32"/>
          <w:highlight w:val="none"/>
          <w:lang w:val="en-US" w:eastAsia="zh-CN" w:bidi="en-US"/>
        </w:rPr>
      </w:pPr>
      <w:r>
        <w:rPr>
          <w:rFonts w:hint="default" w:ascii="Times New Roman" w:hAnsi="Times New Roman" w:eastAsia="方正黑体_GBK" w:cs="Times New Roman"/>
          <w:b w:val="0"/>
          <w:bCs/>
          <w:color w:val="auto"/>
          <w:kern w:val="0"/>
          <w:sz w:val="32"/>
          <w:szCs w:val="32"/>
          <w:highlight w:val="none"/>
          <w:lang w:eastAsia="zh-CN" w:bidi="en-US"/>
        </w:rPr>
        <w:t>附件</w:t>
      </w:r>
      <w:r>
        <w:rPr>
          <w:rFonts w:hint="default" w:ascii="Times New Roman" w:hAnsi="Times New Roman" w:eastAsia="方正黑体_GBK" w:cs="Times New Roman"/>
          <w:b w:val="0"/>
          <w:bCs/>
          <w:color w:val="auto"/>
          <w:kern w:val="0"/>
          <w:sz w:val="32"/>
          <w:szCs w:val="32"/>
          <w:highlight w:val="none"/>
          <w:lang w:val="en-US" w:eastAsia="zh-CN" w:bidi="en-US"/>
        </w:rPr>
        <w:t>4</w:t>
      </w:r>
    </w:p>
    <w:p w14:paraId="6983C309">
      <w:pPr>
        <w:spacing w:line="480" w:lineRule="auto"/>
        <w:ind w:firstLine="0" w:firstLineChars="0"/>
        <w:rPr>
          <w:rFonts w:ascii="Times New Roman" w:hAnsi="Times New Roman" w:eastAsia="黑体" w:cs="Times New Roman"/>
          <w:b/>
          <w:color w:val="auto"/>
          <w:kern w:val="0"/>
          <w:sz w:val="50"/>
          <w:szCs w:val="50"/>
          <w:highlight w:val="none"/>
          <w:lang w:bidi="en-US"/>
        </w:rPr>
      </w:pPr>
    </w:p>
    <w:p w14:paraId="5B8B107A">
      <w:pPr>
        <w:spacing w:line="480" w:lineRule="auto"/>
        <w:ind w:firstLine="0" w:firstLineChars="0"/>
        <w:jc w:val="center"/>
        <w:rPr>
          <w:rFonts w:ascii="Times New Roman" w:hAnsi="Times New Roman" w:eastAsia="黑体" w:cs="Times New Roman"/>
          <w:b/>
          <w:color w:val="auto"/>
          <w:kern w:val="0"/>
          <w:sz w:val="50"/>
          <w:szCs w:val="50"/>
          <w:highlight w:val="none"/>
          <w:lang w:bidi="en-US"/>
        </w:rPr>
      </w:pPr>
    </w:p>
    <w:p w14:paraId="627EBE78">
      <w:pPr>
        <w:spacing w:before="120" w:after="120" w:line="480" w:lineRule="auto"/>
        <w:ind w:firstLine="0" w:firstLineChars="0"/>
        <w:jc w:val="center"/>
        <w:rPr>
          <w:rFonts w:ascii="仿宋_GB2312" w:hAnsi="Arial"/>
          <w:b/>
          <w:color w:val="auto"/>
          <w:sz w:val="44"/>
          <w:szCs w:val="44"/>
          <w:highlight w:val="none"/>
        </w:rPr>
      </w:pPr>
      <w:r>
        <w:rPr>
          <w:rFonts w:hint="eastAsia" w:ascii="仿宋_GB2312" w:hAnsi="Arial"/>
          <w:b/>
          <w:color w:val="auto"/>
          <w:sz w:val="44"/>
          <w:szCs w:val="44"/>
          <w:highlight w:val="none"/>
        </w:rPr>
        <w:t>财政项目支出绩效评价报告</w:t>
      </w:r>
    </w:p>
    <w:p w14:paraId="0CB5E3E1">
      <w:pPr>
        <w:spacing w:line="480" w:lineRule="auto"/>
        <w:ind w:firstLine="0" w:firstLineChars="0"/>
        <w:jc w:val="center"/>
        <w:rPr>
          <w:rFonts w:ascii="Times New Roman" w:hAnsi="Times New Roman" w:eastAsia="黑体" w:cs="Times New Roman"/>
          <w:b/>
          <w:color w:val="auto"/>
          <w:kern w:val="0"/>
          <w:sz w:val="50"/>
          <w:szCs w:val="50"/>
          <w:highlight w:val="none"/>
          <w:lang w:bidi="en-US"/>
        </w:rPr>
      </w:pPr>
    </w:p>
    <w:p w14:paraId="6FAA24FC">
      <w:pPr>
        <w:spacing w:line="480" w:lineRule="auto"/>
        <w:ind w:firstLine="0" w:firstLineChars="0"/>
        <w:jc w:val="center"/>
        <w:rPr>
          <w:rFonts w:ascii="Times New Roman" w:hAnsi="Times New Roman" w:eastAsia="黑体" w:cs="Times New Roman"/>
          <w:b/>
          <w:color w:val="auto"/>
          <w:kern w:val="0"/>
          <w:sz w:val="50"/>
          <w:szCs w:val="50"/>
          <w:highlight w:val="none"/>
          <w:lang w:bidi="en-US"/>
        </w:rPr>
      </w:pPr>
    </w:p>
    <w:p w14:paraId="4EAA1AEF">
      <w:pPr>
        <w:spacing w:line="480" w:lineRule="auto"/>
        <w:ind w:firstLine="0" w:firstLineChars="0"/>
        <w:jc w:val="center"/>
        <w:rPr>
          <w:rFonts w:ascii="Times New Roman" w:hAnsi="Times New Roman" w:eastAsia="黑体" w:cs="Times New Roman"/>
          <w:b/>
          <w:color w:val="auto"/>
          <w:kern w:val="0"/>
          <w:sz w:val="50"/>
          <w:szCs w:val="50"/>
          <w:highlight w:val="none"/>
          <w:lang w:bidi="en-US"/>
        </w:rPr>
      </w:pPr>
    </w:p>
    <w:p w14:paraId="586B2167">
      <w:pPr>
        <w:spacing w:line="480" w:lineRule="auto"/>
        <w:ind w:firstLine="0" w:firstLineChars="0"/>
        <w:jc w:val="center"/>
        <w:rPr>
          <w:rFonts w:ascii="Times New Roman" w:hAnsi="Times New Roman" w:eastAsia="黑体" w:cs="Times New Roman"/>
          <w:b/>
          <w:color w:val="auto"/>
          <w:kern w:val="0"/>
          <w:sz w:val="50"/>
          <w:szCs w:val="50"/>
          <w:highlight w:val="none"/>
          <w:lang w:bidi="en-US"/>
        </w:rPr>
      </w:pPr>
    </w:p>
    <w:p w14:paraId="66153F68">
      <w:pPr>
        <w:spacing w:line="480" w:lineRule="auto"/>
        <w:ind w:firstLine="0" w:firstLineChars="0"/>
        <w:jc w:val="center"/>
        <w:rPr>
          <w:rFonts w:ascii="Times New Roman" w:hAnsi="Times New Roman" w:eastAsia="黑体" w:cs="Times New Roman"/>
          <w:b/>
          <w:color w:val="auto"/>
          <w:kern w:val="0"/>
          <w:sz w:val="50"/>
          <w:szCs w:val="50"/>
          <w:highlight w:val="none"/>
          <w:lang w:bidi="en-US"/>
        </w:rPr>
      </w:pPr>
    </w:p>
    <w:p w14:paraId="38E4D371">
      <w:pPr>
        <w:spacing w:line="480" w:lineRule="auto"/>
        <w:ind w:firstLine="0" w:firstLineChars="0"/>
        <w:jc w:val="center"/>
        <w:rPr>
          <w:rFonts w:ascii="Times New Roman" w:hAnsi="Times New Roman" w:eastAsia="黑体" w:cs="Times New Roman"/>
          <w:b/>
          <w:color w:val="auto"/>
          <w:kern w:val="0"/>
          <w:sz w:val="50"/>
          <w:szCs w:val="50"/>
          <w:highlight w:val="none"/>
          <w:lang w:bidi="en-US"/>
        </w:rPr>
      </w:pPr>
    </w:p>
    <w:p w14:paraId="772E65B2">
      <w:pPr>
        <w:spacing w:line="480" w:lineRule="auto"/>
        <w:ind w:firstLine="0" w:firstLineChars="0"/>
        <w:jc w:val="center"/>
        <w:rPr>
          <w:rFonts w:ascii="仿宋_GB2312" w:hAnsi="Times New Roman" w:cs="Times New Roman"/>
          <w:color w:val="auto"/>
          <w:kern w:val="0"/>
          <w:sz w:val="30"/>
          <w:szCs w:val="30"/>
          <w:highlight w:val="none"/>
          <w:lang w:bidi="en-US"/>
        </w:rPr>
      </w:pPr>
    </w:p>
    <w:p w14:paraId="066EB153">
      <w:pPr>
        <w:pStyle w:val="6"/>
        <w:keepNext w:val="0"/>
        <w:keepLines w:val="0"/>
        <w:widowControl/>
        <w:suppressLineNumbers w:val="0"/>
        <w:shd w:val="clear" w:color="auto" w:fill="FFFFFF"/>
        <w:spacing w:before="0" w:beforeAutospacing="0" w:after="0" w:afterAutospacing="0" w:line="21" w:lineRule="atLeast"/>
        <w:ind w:left="479" w:leftChars="171" w:right="0" w:firstLine="964" w:firstLineChars="300"/>
        <w:rPr>
          <w:rFonts w:hint="eastAsia" w:ascii="仿宋_GB2312" w:hAnsi="Times New Roman" w:eastAsia="仿宋_GB2312" w:cs="Times New Roman"/>
          <w:b w:val="0"/>
          <w:bCs w:val="0"/>
          <w:color w:val="auto"/>
          <w:kern w:val="0"/>
          <w:sz w:val="32"/>
          <w:szCs w:val="32"/>
          <w:highlight w:val="none"/>
          <w:lang w:val="en-US" w:eastAsia="zh-CN" w:bidi="en-US"/>
        </w:rPr>
      </w:pPr>
      <w:r>
        <w:rPr>
          <w:rFonts w:hint="eastAsia" w:ascii="仿宋_GB2312" w:hAnsi="Times New Roman" w:cs="Times New Roman"/>
          <w:color w:val="auto"/>
          <w:kern w:val="0"/>
          <w:sz w:val="32"/>
          <w:szCs w:val="32"/>
          <w:highlight w:val="none"/>
          <w:lang w:bidi="en-US"/>
        </w:rPr>
        <w:t>项目名称：</w:t>
      </w:r>
      <w:r>
        <w:rPr>
          <w:rFonts w:hint="eastAsia" w:ascii="仿宋_GB2312" w:hAnsi="Times New Roman" w:eastAsia="仿宋_GB2312" w:cs="Times New Roman"/>
          <w:b w:val="0"/>
          <w:bCs w:val="0"/>
          <w:color w:val="auto"/>
          <w:kern w:val="0"/>
          <w:sz w:val="32"/>
          <w:szCs w:val="32"/>
          <w:highlight w:val="none"/>
          <w:lang w:val="en-US" w:eastAsia="zh-CN" w:bidi="en-US"/>
        </w:rPr>
        <w:t>无军籍退休退职职工津贴补贴</w:t>
      </w:r>
    </w:p>
    <w:p w14:paraId="6D4432A2">
      <w:pPr>
        <w:spacing w:line="480" w:lineRule="auto"/>
        <w:ind w:firstLine="1411" w:firstLineChars="441"/>
        <w:jc w:val="left"/>
        <w:rPr>
          <w:rFonts w:ascii="仿宋_GB2312" w:hAnsi="Times New Roman" w:cs="Times New Roman"/>
          <w:color w:val="auto"/>
          <w:kern w:val="0"/>
          <w:sz w:val="32"/>
          <w:szCs w:val="32"/>
          <w:highlight w:val="none"/>
          <w:lang w:bidi="en-US"/>
        </w:rPr>
      </w:pPr>
    </w:p>
    <w:p w14:paraId="4BC7FD37">
      <w:pPr>
        <w:keepNext w:val="0"/>
        <w:keepLines w:val="0"/>
        <w:pageBreakBefore w:val="0"/>
        <w:widowControl w:val="0"/>
        <w:kinsoku/>
        <w:wordWrap/>
        <w:overflowPunct/>
        <w:topLinePunct w:val="0"/>
        <w:autoSpaceDE/>
        <w:autoSpaceDN/>
        <w:bidi w:val="0"/>
        <w:adjustRightInd/>
        <w:snapToGrid/>
        <w:spacing w:line="700" w:lineRule="exact"/>
        <w:ind w:left="560" w:leftChars="200" w:firstLine="960" w:firstLineChars="300"/>
        <w:jc w:val="both"/>
        <w:textAlignment w:val="auto"/>
        <w:rPr>
          <w:rFonts w:hint="eastAsia" w:eastAsia="仿宋_GB2312"/>
          <w:color w:val="auto"/>
          <w:kern w:val="0"/>
          <w:sz w:val="36"/>
          <w:szCs w:val="36"/>
          <w:highlight w:val="none"/>
          <w:lang w:eastAsia="zh-CN"/>
        </w:rPr>
      </w:pPr>
      <w:r>
        <w:rPr>
          <w:rFonts w:hint="eastAsia" w:ascii="仿宋_GB2312" w:hAnsi="Times New Roman" w:cs="Times New Roman"/>
          <w:color w:val="auto"/>
          <w:kern w:val="0"/>
          <w:sz w:val="32"/>
          <w:szCs w:val="32"/>
          <w:highlight w:val="none"/>
          <w:lang w:val="en-US" w:eastAsia="zh-CN" w:bidi="en-US"/>
        </w:rPr>
        <w:t>实施</w:t>
      </w:r>
      <w:r>
        <w:rPr>
          <w:rFonts w:hint="eastAsia" w:ascii="仿宋_GB2312" w:hAnsi="Times New Roman" w:cs="Times New Roman"/>
          <w:color w:val="auto"/>
          <w:kern w:val="0"/>
          <w:sz w:val="32"/>
          <w:szCs w:val="32"/>
          <w:highlight w:val="none"/>
          <w:lang w:bidi="en-US"/>
        </w:rPr>
        <w:t>单位：</w:t>
      </w:r>
      <w:r>
        <w:rPr>
          <w:rFonts w:hint="eastAsia" w:ascii="仿宋_GB2312" w:hAnsi="Times New Roman" w:eastAsia="仿宋_GB2312" w:cs="Times New Roman"/>
          <w:color w:val="auto"/>
          <w:kern w:val="0"/>
          <w:sz w:val="32"/>
          <w:szCs w:val="32"/>
          <w:highlight w:val="none"/>
          <w:lang w:val="en-US" w:eastAsia="zh-CN" w:bidi="en-US"/>
        </w:rPr>
        <w:t>乌鲁木齐市水磨沟区退役军人事务局</w:t>
      </w:r>
    </w:p>
    <w:p w14:paraId="46700B5A">
      <w:pPr>
        <w:keepNext w:val="0"/>
        <w:keepLines w:val="0"/>
        <w:pageBreakBefore w:val="0"/>
        <w:widowControl w:val="0"/>
        <w:kinsoku/>
        <w:wordWrap/>
        <w:overflowPunct/>
        <w:topLinePunct w:val="0"/>
        <w:autoSpaceDE/>
        <w:autoSpaceDN/>
        <w:bidi w:val="0"/>
        <w:adjustRightInd/>
        <w:snapToGrid/>
        <w:spacing w:line="700" w:lineRule="exact"/>
        <w:ind w:left="560" w:leftChars="200" w:firstLine="960" w:firstLineChars="300"/>
        <w:jc w:val="both"/>
        <w:textAlignment w:val="auto"/>
        <w:rPr>
          <w:rFonts w:hint="eastAsia" w:ascii="仿宋_GB2312" w:hAnsi="Times New Roman" w:cs="Times New Roman"/>
          <w:color w:val="auto"/>
          <w:kern w:val="0"/>
          <w:sz w:val="32"/>
          <w:szCs w:val="32"/>
          <w:highlight w:val="none"/>
          <w:lang w:val="en-US" w:eastAsia="zh-CN" w:bidi="en-US"/>
        </w:rPr>
      </w:pPr>
      <w:r>
        <w:rPr>
          <w:rFonts w:hint="eastAsia" w:ascii="仿宋_GB2312" w:hAnsi="Times New Roman" w:cs="Times New Roman"/>
          <w:color w:val="auto"/>
          <w:kern w:val="0"/>
          <w:sz w:val="32"/>
          <w:szCs w:val="32"/>
          <w:highlight w:val="none"/>
          <w:lang w:val="en-US" w:eastAsia="zh-CN" w:bidi="en-US"/>
        </w:rPr>
        <w:t>主管部门：乌鲁木齐市水磨沟区退役军人事务局</w:t>
      </w:r>
    </w:p>
    <w:p w14:paraId="6354E650">
      <w:pPr>
        <w:spacing w:line="480" w:lineRule="auto"/>
        <w:ind w:firstLine="1411" w:firstLineChars="441"/>
        <w:jc w:val="left"/>
        <w:rPr>
          <w:rFonts w:ascii="仿宋_GB2312" w:hAnsi="Times New Roman" w:cs="Times New Roman"/>
          <w:color w:val="auto"/>
          <w:kern w:val="0"/>
          <w:sz w:val="32"/>
          <w:szCs w:val="32"/>
          <w:highlight w:val="none"/>
          <w:lang w:bidi="en-US"/>
        </w:rPr>
      </w:pPr>
    </w:p>
    <w:p w14:paraId="19CD613D">
      <w:pPr>
        <w:spacing w:line="480" w:lineRule="auto"/>
        <w:ind w:firstLine="0" w:firstLineChars="0"/>
        <w:rPr>
          <w:rFonts w:ascii="黑体" w:hAnsi="Times New Roman" w:eastAsia="黑体" w:cs="Times New Roman"/>
          <w:b/>
          <w:color w:val="auto"/>
          <w:kern w:val="0"/>
          <w:sz w:val="32"/>
          <w:szCs w:val="32"/>
          <w:highlight w:val="none"/>
          <w:lang w:bidi="en-US"/>
        </w:rPr>
      </w:pPr>
      <w:bookmarkStart w:id="62" w:name="_GoBack"/>
      <w:bookmarkEnd w:id="62"/>
    </w:p>
    <w:p w14:paraId="4CC2F861">
      <w:pPr>
        <w:spacing w:line="480" w:lineRule="auto"/>
        <w:ind w:firstLine="0" w:firstLineChars="0"/>
        <w:rPr>
          <w:rFonts w:ascii="黑体" w:hAnsi="Times New Roman" w:eastAsia="黑体" w:cs="Times New Roman"/>
          <w:b/>
          <w:color w:val="auto"/>
          <w:kern w:val="0"/>
          <w:sz w:val="32"/>
          <w:szCs w:val="32"/>
          <w:highlight w:val="none"/>
          <w:lang w:bidi="en-US"/>
        </w:rPr>
      </w:pPr>
    </w:p>
    <w:p w14:paraId="3A4913A0">
      <w:pPr>
        <w:spacing w:line="480" w:lineRule="auto"/>
        <w:ind w:firstLine="0" w:firstLineChars="0"/>
        <w:jc w:val="center"/>
        <w:rPr>
          <w:rFonts w:ascii="仿宋_GB2312" w:hAnsi="Times New Roman" w:cs="Times New Roman"/>
          <w:color w:val="auto"/>
          <w:kern w:val="0"/>
          <w:sz w:val="32"/>
          <w:szCs w:val="32"/>
          <w:highlight w:val="none"/>
          <w:lang w:bidi="en-US"/>
        </w:rPr>
      </w:pPr>
      <w:r>
        <w:rPr>
          <w:rFonts w:hint="eastAsia" w:ascii="仿宋_GB2312" w:hAnsi="Times New Roman" w:cs="Times New Roman"/>
          <w:color w:val="auto"/>
          <w:kern w:val="0"/>
          <w:sz w:val="32"/>
          <w:szCs w:val="32"/>
          <w:highlight w:val="none"/>
          <w:lang w:bidi="en-US"/>
        </w:rPr>
        <w:t>202</w:t>
      </w:r>
      <w:r>
        <w:rPr>
          <w:rFonts w:hint="eastAsia" w:ascii="仿宋_GB2312" w:hAnsi="Times New Roman" w:cs="Times New Roman"/>
          <w:color w:val="auto"/>
          <w:kern w:val="0"/>
          <w:sz w:val="32"/>
          <w:szCs w:val="32"/>
          <w:highlight w:val="none"/>
          <w:lang w:val="en-US" w:eastAsia="zh-CN" w:bidi="en-US"/>
        </w:rPr>
        <w:t>5</w:t>
      </w:r>
      <w:r>
        <w:rPr>
          <w:rFonts w:hint="eastAsia" w:ascii="仿宋_GB2312" w:hAnsi="Times New Roman" w:cs="Times New Roman"/>
          <w:color w:val="auto"/>
          <w:kern w:val="0"/>
          <w:sz w:val="32"/>
          <w:szCs w:val="32"/>
          <w:highlight w:val="none"/>
          <w:lang w:bidi="en-US"/>
        </w:rPr>
        <w:t>年0</w:t>
      </w:r>
      <w:r>
        <w:rPr>
          <w:rFonts w:ascii="仿宋_GB2312" w:hAnsi="Times New Roman" w:cs="Times New Roman"/>
          <w:color w:val="auto"/>
          <w:kern w:val="0"/>
          <w:sz w:val="32"/>
          <w:szCs w:val="32"/>
          <w:highlight w:val="none"/>
          <w:lang w:bidi="en-US"/>
        </w:rPr>
        <w:t>4</w:t>
      </w:r>
      <w:r>
        <w:rPr>
          <w:rFonts w:hint="eastAsia" w:ascii="仿宋_GB2312" w:hAnsi="Times New Roman" w:cs="Times New Roman"/>
          <w:color w:val="auto"/>
          <w:kern w:val="0"/>
          <w:sz w:val="32"/>
          <w:szCs w:val="32"/>
          <w:highlight w:val="none"/>
          <w:lang w:bidi="en-US"/>
        </w:rPr>
        <w:t>月</w:t>
      </w:r>
    </w:p>
    <w:p w14:paraId="37A57406">
      <w:pPr>
        <w:spacing w:line="480" w:lineRule="auto"/>
        <w:ind w:firstLine="0" w:firstLineChars="0"/>
        <w:jc w:val="center"/>
        <w:rPr>
          <w:rFonts w:ascii="仿宋_GB2312" w:hAnsi="Times New Roman" w:cs="Times New Roman"/>
          <w:color w:val="auto"/>
          <w:kern w:val="0"/>
          <w:sz w:val="32"/>
          <w:szCs w:val="32"/>
          <w:highlight w:val="none"/>
          <w:lang w:bidi="en-US"/>
        </w:rPr>
      </w:pPr>
    </w:p>
    <w:p w14:paraId="4C630160">
      <w:pPr>
        <w:tabs>
          <w:tab w:val="left" w:pos="3324"/>
        </w:tabs>
        <w:spacing w:line="480" w:lineRule="auto"/>
        <w:ind w:firstLine="0" w:firstLineChars="0"/>
        <w:rPr>
          <w:rFonts w:ascii="仿宋_GB2312" w:hAnsi="Times New Roman" w:cs="Times New Roman"/>
          <w:color w:val="auto"/>
          <w:kern w:val="0"/>
          <w:sz w:val="32"/>
          <w:szCs w:val="32"/>
          <w:highlight w:val="none"/>
          <w:lang w:bidi="en-US"/>
        </w:rPr>
      </w:pPr>
      <w:r>
        <w:rPr>
          <w:rFonts w:ascii="仿宋_GB2312" w:hAnsi="Times New Roman" w:cs="Times New Roman"/>
          <w:color w:val="auto"/>
          <w:kern w:val="0"/>
          <w:sz w:val="32"/>
          <w:szCs w:val="32"/>
          <w:highlight w:val="none"/>
          <w:lang w:bidi="en-US"/>
        </w:rPr>
        <w:tab/>
      </w:r>
    </w:p>
    <w:p w14:paraId="68D9B2B6">
      <w:pPr>
        <w:ind w:firstLine="640"/>
        <w:rPr>
          <w:rFonts w:ascii="仿宋_GB2312" w:hAnsi="Times New Roman" w:cs="Times New Roman"/>
          <w:color w:val="auto"/>
          <w:kern w:val="0"/>
          <w:sz w:val="32"/>
          <w:szCs w:val="32"/>
          <w:highlight w:val="none"/>
          <w:lang w:bidi="en-US"/>
        </w:rPr>
      </w:pPr>
    </w:p>
    <w:sdt>
      <w:sdtPr>
        <w:rPr>
          <w:rFonts w:ascii="Calibri" w:hAnsi="Calibri" w:eastAsia="仿宋_GB2312" w:cs="黑体"/>
          <w:color w:val="auto"/>
          <w:kern w:val="2"/>
          <w:sz w:val="28"/>
          <w:szCs w:val="22"/>
          <w:highlight w:val="none"/>
          <w:lang w:val="zh-CN"/>
        </w:rPr>
        <w:id w:val="-1822651860"/>
        <w:docPartObj>
          <w:docPartGallery w:val="Table of Contents"/>
          <w:docPartUnique/>
        </w:docPartObj>
      </w:sdtPr>
      <w:sdtEndPr>
        <w:rPr>
          <w:rFonts w:ascii="Calibri" w:hAnsi="Calibri" w:eastAsia="仿宋_GB2312" w:cs="黑体"/>
          <w:b/>
          <w:bCs/>
          <w:color w:val="auto"/>
          <w:kern w:val="2"/>
          <w:sz w:val="28"/>
          <w:szCs w:val="22"/>
          <w:highlight w:val="none"/>
          <w:lang w:val="zh-CN"/>
        </w:rPr>
      </w:sdtEndPr>
      <w:sdtContent>
        <w:p w14:paraId="54F0720D">
          <w:pPr>
            <w:pStyle w:val="31"/>
            <w:ind w:firstLine="560"/>
            <w:jc w:val="center"/>
            <w:rPr>
              <w:color w:val="auto"/>
              <w:highlight w:val="none"/>
            </w:rPr>
          </w:pPr>
          <w:r>
            <w:rPr>
              <w:color w:val="auto"/>
              <w:highlight w:val="none"/>
              <w:lang w:val="zh-CN"/>
            </w:rPr>
            <w:t>目录</w:t>
          </w:r>
        </w:p>
        <w:p w14:paraId="0245A7C3">
          <w:pPr>
            <w:pStyle w:val="12"/>
            <w:tabs>
              <w:tab w:val="right" w:leader="dot" w:pos="8296"/>
            </w:tabs>
            <w:ind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TOC \o "1-3" \h \z \u</w:instrText>
          </w:r>
          <w:r>
            <w:rPr>
              <w:color w:val="auto"/>
              <w:highlight w:val="none"/>
            </w:rPr>
            <w:fldChar w:fldCharType="separate"/>
          </w:r>
          <w:r>
            <w:rPr>
              <w:rStyle w:val="18"/>
              <w:color w:val="auto"/>
              <w:highlight w:val="none"/>
            </w:rPr>
            <w:fldChar w:fldCharType="begin"/>
          </w:r>
          <w:r>
            <w:rPr>
              <w:rStyle w:val="18"/>
              <w:color w:val="auto"/>
              <w:highlight w:val="none"/>
            </w:rPr>
            <w:instrText xml:space="preserve"> </w:instrText>
          </w:r>
          <w:r>
            <w:rPr>
              <w:color w:val="auto"/>
              <w:highlight w:val="none"/>
            </w:rPr>
            <w:instrText xml:space="preserve">HYPERLINK \l "_Toc196487532"</w:instrText>
          </w:r>
          <w:r>
            <w:rPr>
              <w:rStyle w:val="18"/>
              <w:color w:val="auto"/>
              <w:highlight w:val="none"/>
            </w:rPr>
            <w:instrText xml:space="preserve"> </w:instrText>
          </w:r>
          <w:r>
            <w:rPr>
              <w:rStyle w:val="18"/>
              <w:color w:val="auto"/>
              <w:highlight w:val="none"/>
            </w:rPr>
            <w:fldChar w:fldCharType="separate"/>
          </w:r>
          <w:r>
            <w:rPr>
              <w:rStyle w:val="18"/>
              <w:rFonts w:hint="eastAsia" w:ascii="仿宋" w:hAnsi="仿宋" w:eastAsia="仿宋"/>
              <w:color w:val="auto"/>
              <w:highlight w:val="none"/>
              <w:lang w:bidi="en-US"/>
            </w:rPr>
            <w:t>一、基本情况</w:t>
          </w:r>
          <w:r>
            <w:rPr>
              <w:color w:val="auto"/>
              <w:highlight w:val="none"/>
            </w:rPr>
            <w:tab/>
          </w:r>
          <w:r>
            <w:rPr>
              <w:color w:val="auto"/>
              <w:highlight w:val="none"/>
            </w:rPr>
            <w:fldChar w:fldCharType="begin"/>
          </w:r>
          <w:r>
            <w:rPr>
              <w:color w:val="auto"/>
              <w:highlight w:val="none"/>
            </w:rPr>
            <w:instrText xml:space="preserve"> PAGEREF _Toc196487532 \h </w:instrText>
          </w:r>
          <w:r>
            <w:rPr>
              <w:color w:val="auto"/>
              <w:highlight w:val="none"/>
            </w:rPr>
            <w:fldChar w:fldCharType="separate"/>
          </w:r>
          <w:r>
            <w:rPr>
              <w:color w:val="auto"/>
              <w:highlight w:val="none"/>
            </w:rPr>
            <w:t>1</w:t>
          </w:r>
          <w:r>
            <w:rPr>
              <w:color w:val="auto"/>
              <w:highlight w:val="none"/>
            </w:rPr>
            <w:fldChar w:fldCharType="end"/>
          </w:r>
          <w:r>
            <w:rPr>
              <w:rStyle w:val="18"/>
              <w:color w:val="auto"/>
              <w:highlight w:val="none"/>
            </w:rPr>
            <w:fldChar w:fldCharType="end"/>
          </w:r>
        </w:p>
        <w:p w14:paraId="254B050A">
          <w:pPr>
            <w:pStyle w:val="14"/>
            <w:tabs>
              <w:tab w:val="right" w:leader="dot" w:pos="8296"/>
            </w:tabs>
            <w:ind w:left="56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"_Toc196487533" </w:instrText>
          </w:r>
          <w:r>
            <w:rPr>
              <w:color w:val="auto"/>
              <w:highlight w:val="none"/>
            </w:rPr>
            <w:fldChar w:fldCharType="separate"/>
          </w:r>
          <w:r>
            <w:rPr>
              <w:rStyle w:val="18"/>
              <w:rFonts w:hint="eastAsia" w:ascii="仿宋" w:hAnsi="仿宋" w:eastAsia="仿宋"/>
              <w:color w:val="auto"/>
              <w:highlight w:val="none"/>
              <w:lang w:bidi="en-US"/>
            </w:rPr>
            <w:t>（一）项目概况：</w:t>
          </w:r>
          <w:r>
            <w:rPr>
              <w:color w:val="auto"/>
              <w:highlight w:val="none"/>
            </w:rPr>
            <w:tab/>
          </w:r>
          <w:r>
            <w:rPr>
              <w:color w:val="auto"/>
              <w:highlight w:val="none"/>
            </w:rPr>
            <w:fldChar w:fldCharType="begin"/>
          </w:r>
          <w:r>
            <w:rPr>
              <w:color w:val="auto"/>
              <w:highlight w:val="none"/>
            </w:rPr>
            <w:instrText xml:space="preserve"> PAGEREF _Toc196487533 \h </w:instrText>
          </w:r>
          <w:r>
            <w:rPr>
              <w:color w:val="auto"/>
              <w:highlight w:val="none"/>
            </w:rPr>
            <w:fldChar w:fldCharType="separate"/>
          </w:r>
          <w:r>
            <w:rPr>
              <w:color w:val="auto"/>
              <w:highlight w:val="none"/>
            </w:rPr>
            <w:t>1</w:t>
          </w:r>
          <w:r>
            <w:rPr>
              <w:color w:val="auto"/>
              <w:highlight w:val="none"/>
            </w:rPr>
            <w:fldChar w:fldCharType="end"/>
          </w:r>
          <w:r>
            <w:rPr>
              <w:color w:val="auto"/>
              <w:highlight w:val="none"/>
            </w:rPr>
            <w:fldChar w:fldCharType="end"/>
          </w:r>
        </w:p>
        <w:p w14:paraId="44E73333">
          <w:pPr>
            <w:pStyle w:val="7"/>
            <w:tabs>
              <w:tab w:val="right" w:leader="dot" w:pos="8296"/>
            </w:tabs>
            <w:ind w:left="112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"_Toc196487534" </w:instrText>
          </w:r>
          <w:r>
            <w:rPr>
              <w:color w:val="auto"/>
              <w:highlight w:val="none"/>
            </w:rPr>
            <w:fldChar w:fldCharType="separate"/>
          </w:r>
          <w:r>
            <w:rPr>
              <w:rStyle w:val="18"/>
              <w:color w:val="auto"/>
              <w:highlight w:val="none"/>
            </w:rPr>
            <w:t>1</w:t>
          </w:r>
          <w:r>
            <w:rPr>
              <w:rStyle w:val="18"/>
              <w:rFonts w:hint="eastAsia"/>
              <w:color w:val="auto"/>
              <w:highlight w:val="none"/>
            </w:rPr>
            <w:t>．项目背景、主要内容及实施情况</w:t>
          </w:r>
          <w:r>
            <w:rPr>
              <w:color w:val="auto"/>
              <w:highlight w:val="none"/>
            </w:rPr>
            <w:tab/>
          </w:r>
          <w:r>
            <w:rPr>
              <w:color w:val="auto"/>
              <w:highlight w:val="none"/>
            </w:rPr>
            <w:fldChar w:fldCharType="begin"/>
          </w:r>
          <w:r>
            <w:rPr>
              <w:color w:val="auto"/>
              <w:highlight w:val="none"/>
            </w:rPr>
            <w:instrText xml:space="preserve"> PAGEREF _Toc196487534 \h </w:instrText>
          </w:r>
          <w:r>
            <w:rPr>
              <w:color w:val="auto"/>
              <w:highlight w:val="none"/>
            </w:rPr>
            <w:fldChar w:fldCharType="separate"/>
          </w:r>
          <w:r>
            <w:rPr>
              <w:color w:val="auto"/>
              <w:highlight w:val="none"/>
            </w:rPr>
            <w:t>1</w:t>
          </w:r>
          <w:r>
            <w:rPr>
              <w:color w:val="auto"/>
              <w:highlight w:val="none"/>
            </w:rPr>
            <w:fldChar w:fldCharType="end"/>
          </w:r>
          <w:r>
            <w:rPr>
              <w:color w:val="auto"/>
              <w:highlight w:val="none"/>
            </w:rPr>
            <w:fldChar w:fldCharType="end"/>
          </w:r>
        </w:p>
        <w:p w14:paraId="4893EC9E">
          <w:pPr>
            <w:pStyle w:val="7"/>
            <w:tabs>
              <w:tab w:val="right" w:leader="dot" w:pos="8296"/>
            </w:tabs>
            <w:ind w:left="112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"_Toc196487535" </w:instrText>
          </w:r>
          <w:r>
            <w:rPr>
              <w:color w:val="auto"/>
              <w:highlight w:val="none"/>
            </w:rPr>
            <w:fldChar w:fldCharType="separate"/>
          </w:r>
          <w:r>
            <w:rPr>
              <w:rStyle w:val="18"/>
              <w:color w:val="auto"/>
              <w:highlight w:val="none"/>
            </w:rPr>
            <w:t>2.</w:t>
          </w:r>
          <w:r>
            <w:rPr>
              <w:rStyle w:val="18"/>
              <w:rFonts w:hint="eastAsia"/>
              <w:color w:val="auto"/>
              <w:highlight w:val="none"/>
            </w:rPr>
            <w:t>资金投入和使用情况</w:t>
          </w:r>
          <w:r>
            <w:rPr>
              <w:color w:val="auto"/>
              <w:highlight w:val="none"/>
            </w:rPr>
            <w:tab/>
          </w:r>
          <w:r>
            <w:rPr>
              <w:color w:val="auto"/>
              <w:highlight w:val="none"/>
            </w:rPr>
            <w:fldChar w:fldCharType="begin"/>
          </w:r>
          <w:r>
            <w:rPr>
              <w:color w:val="auto"/>
              <w:highlight w:val="none"/>
            </w:rPr>
            <w:instrText xml:space="preserve"> PAGEREF _Toc196487535 \h </w:instrText>
          </w:r>
          <w:r>
            <w:rPr>
              <w:color w:val="auto"/>
              <w:highlight w:val="none"/>
            </w:rPr>
            <w:fldChar w:fldCharType="separate"/>
          </w:r>
          <w:r>
            <w:rPr>
              <w:color w:val="auto"/>
              <w:highlight w:val="none"/>
            </w:rPr>
            <w:t>1</w:t>
          </w:r>
          <w:r>
            <w:rPr>
              <w:color w:val="auto"/>
              <w:highlight w:val="none"/>
            </w:rPr>
            <w:fldChar w:fldCharType="end"/>
          </w:r>
          <w:r>
            <w:rPr>
              <w:color w:val="auto"/>
              <w:highlight w:val="none"/>
            </w:rPr>
            <w:fldChar w:fldCharType="end"/>
          </w:r>
        </w:p>
        <w:p w14:paraId="0529556A">
          <w:pPr>
            <w:pStyle w:val="14"/>
            <w:tabs>
              <w:tab w:val="right" w:leader="dot" w:pos="8296"/>
            </w:tabs>
            <w:ind w:left="56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"_Toc196487536" </w:instrText>
          </w:r>
          <w:r>
            <w:rPr>
              <w:color w:val="auto"/>
              <w:highlight w:val="none"/>
            </w:rPr>
            <w:fldChar w:fldCharType="separate"/>
          </w:r>
          <w:r>
            <w:rPr>
              <w:rStyle w:val="18"/>
              <w:rFonts w:hint="eastAsia" w:ascii="仿宋" w:hAnsi="仿宋" w:eastAsia="仿宋"/>
              <w:color w:val="auto"/>
              <w:highlight w:val="none"/>
              <w:lang w:bidi="en-US"/>
            </w:rPr>
            <w:t>（二）项目绩效目标：</w:t>
          </w:r>
          <w:r>
            <w:rPr>
              <w:color w:val="auto"/>
              <w:highlight w:val="none"/>
            </w:rPr>
            <w:tab/>
          </w:r>
          <w:r>
            <w:rPr>
              <w:color w:val="auto"/>
              <w:highlight w:val="none"/>
            </w:rPr>
            <w:fldChar w:fldCharType="begin"/>
          </w:r>
          <w:r>
            <w:rPr>
              <w:color w:val="auto"/>
              <w:highlight w:val="none"/>
            </w:rPr>
            <w:instrText xml:space="preserve"> PAGEREF _Toc196487536 \h </w:instrText>
          </w:r>
          <w:r>
            <w:rPr>
              <w:color w:val="auto"/>
              <w:highlight w:val="none"/>
            </w:rPr>
            <w:fldChar w:fldCharType="separate"/>
          </w:r>
          <w:r>
            <w:rPr>
              <w:color w:val="auto"/>
              <w:highlight w:val="none"/>
            </w:rPr>
            <w:t>2</w:t>
          </w:r>
          <w:r>
            <w:rPr>
              <w:color w:val="auto"/>
              <w:highlight w:val="none"/>
            </w:rPr>
            <w:fldChar w:fldCharType="end"/>
          </w:r>
          <w:r>
            <w:rPr>
              <w:color w:val="auto"/>
              <w:highlight w:val="none"/>
            </w:rPr>
            <w:fldChar w:fldCharType="end"/>
          </w:r>
        </w:p>
        <w:p w14:paraId="2A49F8BB">
          <w:pPr>
            <w:pStyle w:val="12"/>
            <w:tabs>
              <w:tab w:val="right" w:leader="dot" w:pos="8296"/>
            </w:tabs>
            <w:ind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"_Toc196487537" </w:instrText>
          </w:r>
          <w:r>
            <w:rPr>
              <w:color w:val="auto"/>
              <w:highlight w:val="none"/>
            </w:rPr>
            <w:fldChar w:fldCharType="separate"/>
          </w:r>
          <w:r>
            <w:rPr>
              <w:rStyle w:val="18"/>
              <w:rFonts w:hint="eastAsia" w:ascii="仿宋" w:hAnsi="仿宋" w:eastAsia="仿宋"/>
              <w:color w:val="auto"/>
              <w:highlight w:val="none"/>
              <w:lang w:bidi="en-US"/>
            </w:rPr>
            <w:t>二、绩效评价工作开展情况</w:t>
          </w:r>
          <w:r>
            <w:rPr>
              <w:color w:val="auto"/>
              <w:highlight w:val="none"/>
            </w:rPr>
            <w:tab/>
          </w:r>
          <w:r>
            <w:rPr>
              <w:color w:val="auto"/>
              <w:highlight w:val="none"/>
            </w:rPr>
            <w:fldChar w:fldCharType="begin"/>
          </w:r>
          <w:r>
            <w:rPr>
              <w:color w:val="auto"/>
              <w:highlight w:val="none"/>
            </w:rPr>
            <w:instrText xml:space="preserve"> PAGEREF _Toc196487537 \h </w:instrText>
          </w:r>
          <w:r>
            <w:rPr>
              <w:color w:val="auto"/>
              <w:highlight w:val="none"/>
            </w:rPr>
            <w:fldChar w:fldCharType="separate"/>
          </w:r>
          <w:r>
            <w:rPr>
              <w:color w:val="auto"/>
              <w:highlight w:val="none"/>
            </w:rPr>
            <w:t>3</w:t>
          </w:r>
          <w:r>
            <w:rPr>
              <w:color w:val="auto"/>
              <w:highlight w:val="none"/>
            </w:rPr>
            <w:fldChar w:fldCharType="end"/>
          </w:r>
          <w:r>
            <w:rPr>
              <w:color w:val="auto"/>
              <w:highlight w:val="none"/>
            </w:rPr>
            <w:fldChar w:fldCharType="end"/>
          </w:r>
        </w:p>
        <w:p w14:paraId="0BD4AE44">
          <w:pPr>
            <w:pStyle w:val="14"/>
            <w:tabs>
              <w:tab w:val="right" w:leader="dot" w:pos="8296"/>
            </w:tabs>
            <w:ind w:left="56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"_Toc196487538" </w:instrText>
          </w:r>
          <w:r>
            <w:rPr>
              <w:color w:val="auto"/>
              <w:highlight w:val="none"/>
            </w:rPr>
            <w:fldChar w:fldCharType="separate"/>
          </w:r>
          <w:r>
            <w:rPr>
              <w:rStyle w:val="18"/>
              <w:rFonts w:hint="eastAsia" w:ascii="仿宋" w:hAnsi="仿宋" w:eastAsia="仿宋"/>
              <w:color w:val="auto"/>
              <w:highlight w:val="none"/>
              <w:lang w:bidi="en-US"/>
            </w:rPr>
            <w:t>（一）绩效评价目的、对象和范围</w:t>
          </w:r>
          <w:r>
            <w:rPr>
              <w:color w:val="auto"/>
              <w:highlight w:val="none"/>
            </w:rPr>
            <w:tab/>
          </w:r>
          <w:r>
            <w:rPr>
              <w:color w:val="auto"/>
              <w:highlight w:val="none"/>
            </w:rPr>
            <w:fldChar w:fldCharType="begin"/>
          </w:r>
          <w:r>
            <w:rPr>
              <w:color w:val="auto"/>
              <w:highlight w:val="none"/>
            </w:rPr>
            <w:instrText xml:space="preserve"> PAGEREF _Toc196487538 \h </w:instrText>
          </w:r>
          <w:r>
            <w:rPr>
              <w:color w:val="auto"/>
              <w:highlight w:val="none"/>
            </w:rPr>
            <w:fldChar w:fldCharType="separate"/>
          </w:r>
          <w:r>
            <w:rPr>
              <w:color w:val="auto"/>
              <w:highlight w:val="none"/>
            </w:rPr>
            <w:t>3</w:t>
          </w:r>
          <w:r>
            <w:rPr>
              <w:color w:val="auto"/>
              <w:highlight w:val="none"/>
            </w:rPr>
            <w:fldChar w:fldCharType="end"/>
          </w:r>
          <w:r>
            <w:rPr>
              <w:color w:val="auto"/>
              <w:highlight w:val="none"/>
            </w:rPr>
            <w:fldChar w:fldCharType="end"/>
          </w:r>
        </w:p>
        <w:p w14:paraId="573D83B9">
          <w:pPr>
            <w:pStyle w:val="7"/>
            <w:tabs>
              <w:tab w:val="right" w:leader="dot" w:pos="8296"/>
            </w:tabs>
            <w:ind w:left="112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"_Toc196487539" </w:instrText>
          </w:r>
          <w:r>
            <w:rPr>
              <w:color w:val="auto"/>
              <w:highlight w:val="none"/>
            </w:rPr>
            <w:fldChar w:fldCharType="separate"/>
          </w:r>
          <w:r>
            <w:rPr>
              <w:rStyle w:val="18"/>
              <w:color w:val="auto"/>
              <w:highlight w:val="none"/>
            </w:rPr>
            <w:t>1.</w:t>
          </w:r>
          <w:r>
            <w:rPr>
              <w:rStyle w:val="18"/>
              <w:rFonts w:hint="eastAsia"/>
              <w:color w:val="auto"/>
              <w:highlight w:val="none"/>
            </w:rPr>
            <w:t>绩效评价完整性</w:t>
          </w:r>
          <w:r>
            <w:rPr>
              <w:color w:val="auto"/>
              <w:highlight w:val="none"/>
            </w:rPr>
            <w:tab/>
          </w:r>
          <w:r>
            <w:rPr>
              <w:color w:val="auto"/>
              <w:highlight w:val="none"/>
            </w:rPr>
            <w:fldChar w:fldCharType="begin"/>
          </w:r>
          <w:r>
            <w:rPr>
              <w:color w:val="auto"/>
              <w:highlight w:val="none"/>
            </w:rPr>
            <w:instrText xml:space="preserve"> PAGEREF _Toc196487539 \h </w:instrText>
          </w:r>
          <w:r>
            <w:rPr>
              <w:color w:val="auto"/>
              <w:highlight w:val="none"/>
            </w:rPr>
            <w:fldChar w:fldCharType="separate"/>
          </w:r>
          <w:r>
            <w:rPr>
              <w:color w:val="auto"/>
              <w:highlight w:val="none"/>
            </w:rPr>
            <w:t>3</w:t>
          </w:r>
          <w:r>
            <w:rPr>
              <w:color w:val="auto"/>
              <w:highlight w:val="none"/>
            </w:rPr>
            <w:fldChar w:fldCharType="end"/>
          </w:r>
          <w:r>
            <w:rPr>
              <w:color w:val="auto"/>
              <w:highlight w:val="none"/>
            </w:rPr>
            <w:fldChar w:fldCharType="end"/>
          </w:r>
        </w:p>
        <w:p w14:paraId="79573FE2">
          <w:pPr>
            <w:pStyle w:val="7"/>
            <w:tabs>
              <w:tab w:val="right" w:leader="dot" w:pos="8296"/>
            </w:tabs>
            <w:ind w:left="112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"_Toc196487540" </w:instrText>
          </w:r>
          <w:r>
            <w:rPr>
              <w:color w:val="auto"/>
              <w:highlight w:val="none"/>
            </w:rPr>
            <w:fldChar w:fldCharType="separate"/>
          </w:r>
          <w:r>
            <w:rPr>
              <w:rStyle w:val="18"/>
              <w:color w:val="auto"/>
              <w:highlight w:val="none"/>
            </w:rPr>
            <w:t>2.</w:t>
          </w:r>
          <w:r>
            <w:rPr>
              <w:rStyle w:val="18"/>
              <w:rFonts w:hint="eastAsia"/>
              <w:color w:val="auto"/>
              <w:highlight w:val="none"/>
            </w:rPr>
            <w:t>评价目的</w:t>
          </w:r>
          <w:r>
            <w:rPr>
              <w:color w:val="auto"/>
              <w:highlight w:val="none"/>
            </w:rPr>
            <w:tab/>
          </w:r>
          <w:r>
            <w:rPr>
              <w:color w:val="auto"/>
              <w:highlight w:val="none"/>
            </w:rPr>
            <w:fldChar w:fldCharType="begin"/>
          </w:r>
          <w:r>
            <w:rPr>
              <w:color w:val="auto"/>
              <w:highlight w:val="none"/>
            </w:rPr>
            <w:instrText xml:space="preserve"> PAGEREF _Toc196487540 \h </w:instrText>
          </w:r>
          <w:r>
            <w:rPr>
              <w:color w:val="auto"/>
              <w:highlight w:val="none"/>
            </w:rPr>
            <w:fldChar w:fldCharType="separate"/>
          </w:r>
          <w:r>
            <w:rPr>
              <w:color w:val="auto"/>
              <w:highlight w:val="none"/>
            </w:rPr>
            <w:t>3</w:t>
          </w:r>
          <w:r>
            <w:rPr>
              <w:color w:val="auto"/>
              <w:highlight w:val="none"/>
            </w:rPr>
            <w:fldChar w:fldCharType="end"/>
          </w:r>
          <w:r>
            <w:rPr>
              <w:color w:val="auto"/>
              <w:highlight w:val="none"/>
            </w:rPr>
            <w:fldChar w:fldCharType="end"/>
          </w:r>
        </w:p>
        <w:p w14:paraId="36FCE73E">
          <w:pPr>
            <w:pStyle w:val="7"/>
            <w:tabs>
              <w:tab w:val="right" w:leader="dot" w:pos="8296"/>
            </w:tabs>
            <w:ind w:left="112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"_Toc196487541" </w:instrText>
          </w:r>
          <w:r>
            <w:rPr>
              <w:color w:val="auto"/>
              <w:highlight w:val="none"/>
            </w:rPr>
            <w:fldChar w:fldCharType="separate"/>
          </w:r>
          <w:r>
            <w:rPr>
              <w:rStyle w:val="18"/>
              <w:color w:val="auto"/>
              <w:highlight w:val="none"/>
            </w:rPr>
            <w:t>3.</w:t>
          </w:r>
          <w:r>
            <w:rPr>
              <w:rStyle w:val="18"/>
              <w:rFonts w:hint="eastAsia"/>
              <w:color w:val="auto"/>
              <w:highlight w:val="none"/>
            </w:rPr>
            <w:t>评价对象</w:t>
          </w:r>
          <w:r>
            <w:rPr>
              <w:color w:val="auto"/>
              <w:highlight w:val="none"/>
            </w:rPr>
            <w:tab/>
          </w:r>
          <w:r>
            <w:rPr>
              <w:color w:val="auto"/>
              <w:highlight w:val="none"/>
            </w:rPr>
            <w:fldChar w:fldCharType="begin"/>
          </w:r>
          <w:r>
            <w:rPr>
              <w:color w:val="auto"/>
              <w:highlight w:val="none"/>
            </w:rPr>
            <w:instrText xml:space="preserve"> PAGEREF _Toc196487541 \h </w:instrText>
          </w:r>
          <w:r>
            <w:rPr>
              <w:color w:val="auto"/>
              <w:highlight w:val="none"/>
            </w:rPr>
            <w:fldChar w:fldCharType="separate"/>
          </w:r>
          <w:r>
            <w:rPr>
              <w:color w:val="auto"/>
              <w:highlight w:val="none"/>
            </w:rPr>
            <w:t>4</w:t>
          </w:r>
          <w:r>
            <w:rPr>
              <w:color w:val="auto"/>
              <w:highlight w:val="none"/>
            </w:rPr>
            <w:fldChar w:fldCharType="end"/>
          </w:r>
          <w:r>
            <w:rPr>
              <w:color w:val="auto"/>
              <w:highlight w:val="none"/>
            </w:rPr>
            <w:fldChar w:fldCharType="end"/>
          </w:r>
        </w:p>
        <w:p w14:paraId="1341D8F3">
          <w:pPr>
            <w:pStyle w:val="7"/>
            <w:tabs>
              <w:tab w:val="right" w:leader="dot" w:pos="8296"/>
            </w:tabs>
            <w:ind w:left="112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"_Toc196487542" </w:instrText>
          </w:r>
          <w:r>
            <w:rPr>
              <w:color w:val="auto"/>
              <w:highlight w:val="none"/>
            </w:rPr>
            <w:fldChar w:fldCharType="separate"/>
          </w:r>
          <w:r>
            <w:rPr>
              <w:rStyle w:val="18"/>
              <w:color w:val="auto"/>
              <w:highlight w:val="none"/>
            </w:rPr>
            <w:t>4.</w:t>
          </w:r>
          <w:r>
            <w:rPr>
              <w:rStyle w:val="18"/>
              <w:rFonts w:hint="eastAsia"/>
              <w:color w:val="auto"/>
              <w:highlight w:val="none"/>
            </w:rPr>
            <w:t>绩效评价范围</w:t>
          </w:r>
          <w:r>
            <w:rPr>
              <w:color w:val="auto"/>
              <w:highlight w:val="none"/>
            </w:rPr>
            <w:tab/>
          </w:r>
          <w:r>
            <w:rPr>
              <w:color w:val="auto"/>
              <w:highlight w:val="none"/>
            </w:rPr>
            <w:fldChar w:fldCharType="begin"/>
          </w:r>
          <w:r>
            <w:rPr>
              <w:color w:val="auto"/>
              <w:highlight w:val="none"/>
            </w:rPr>
            <w:instrText xml:space="preserve"> PAGEREF _Toc196487542 \h </w:instrText>
          </w:r>
          <w:r>
            <w:rPr>
              <w:color w:val="auto"/>
              <w:highlight w:val="none"/>
            </w:rPr>
            <w:fldChar w:fldCharType="separate"/>
          </w:r>
          <w:r>
            <w:rPr>
              <w:color w:val="auto"/>
              <w:highlight w:val="none"/>
            </w:rPr>
            <w:t>4</w:t>
          </w:r>
          <w:r>
            <w:rPr>
              <w:color w:val="auto"/>
              <w:highlight w:val="none"/>
            </w:rPr>
            <w:fldChar w:fldCharType="end"/>
          </w:r>
          <w:r>
            <w:rPr>
              <w:color w:val="auto"/>
              <w:highlight w:val="none"/>
            </w:rPr>
            <w:fldChar w:fldCharType="end"/>
          </w:r>
        </w:p>
        <w:p w14:paraId="27B55B5E">
          <w:pPr>
            <w:pStyle w:val="14"/>
            <w:tabs>
              <w:tab w:val="right" w:leader="dot" w:pos="8296"/>
            </w:tabs>
            <w:ind w:left="56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"_Toc196487543" </w:instrText>
          </w:r>
          <w:r>
            <w:rPr>
              <w:color w:val="auto"/>
              <w:highlight w:val="none"/>
            </w:rPr>
            <w:fldChar w:fldCharType="separate"/>
          </w:r>
          <w:r>
            <w:rPr>
              <w:rStyle w:val="18"/>
              <w:rFonts w:hint="eastAsia" w:ascii="仿宋" w:hAnsi="仿宋" w:eastAsia="仿宋"/>
              <w:color w:val="auto"/>
              <w:highlight w:val="none"/>
              <w:lang w:bidi="en-US"/>
            </w:rPr>
            <w:t>（二）绩效评价原则、指标体系、方法及标准</w:t>
          </w:r>
          <w:r>
            <w:rPr>
              <w:color w:val="auto"/>
              <w:highlight w:val="none"/>
            </w:rPr>
            <w:tab/>
          </w:r>
          <w:r>
            <w:rPr>
              <w:color w:val="auto"/>
              <w:highlight w:val="none"/>
            </w:rPr>
            <w:fldChar w:fldCharType="begin"/>
          </w:r>
          <w:r>
            <w:rPr>
              <w:color w:val="auto"/>
              <w:highlight w:val="none"/>
            </w:rPr>
            <w:instrText xml:space="preserve"> PAGEREF _Toc196487543 \h </w:instrText>
          </w:r>
          <w:r>
            <w:rPr>
              <w:color w:val="auto"/>
              <w:highlight w:val="none"/>
            </w:rPr>
            <w:fldChar w:fldCharType="separate"/>
          </w:r>
          <w:r>
            <w:rPr>
              <w:color w:val="auto"/>
              <w:highlight w:val="none"/>
            </w:rPr>
            <w:t>4</w:t>
          </w:r>
          <w:r>
            <w:rPr>
              <w:color w:val="auto"/>
              <w:highlight w:val="none"/>
            </w:rPr>
            <w:fldChar w:fldCharType="end"/>
          </w:r>
          <w:r>
            <w:rPr>
              <w:color w:val="auto"/>
              <w:highlight w:val="none"/>
            </w:rPr>
            <w:fldChar w:fldCharType="end"/>
          </w:r>
        </w:p>
        <w:p w14:paraId="0938642B">
          <w:pPr>
            <w:pStyle w:val="7"/>
            <w:tabs>
              <w:tab w:val="right" w:leader="dot" w:pos="8296"/>
            </w:tabs>
            <w:ind w:left="112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"_Toc196487544" </w:instrText>
          </w:r>
          <w:r>
            <w:rPr>
              <w:color w:val="auto"/>
              <w:highlight w:val="none"/>
            </w:rPr>
            <w:fldChar w:fldCharType="separate"/>
          </w:r>
          <w:r>
            <w:rPr>
              <w:rStyle w:val="18"/>
              <w:color w:val="auto"/>
              <w:highlight w:val="none"/>
            </w:rPr>
            <w:t>1.</w:t>
          </w:r>
          <w:r>
            <w:rPr>
              <w:rStyle w:val="18"/>
              <w:rFonts w:hint="eastAsia"/>
              <w:color w:val="auto"/>
              <w:highlight w:val="none"/>
            </w:rPr>
            <w:t>评价原则</w:t>
          </w:r>
          <w:r>
            <w:rPr>
              <w:color w:val="auto"/>
              <w:highlight w:val="none"/>
            </w:rPr>
            <w:tab/>
          </w:r>
          <w:r>
            <w:rPr>
              <w:color w:val="auto"/>
              <w:highlight w:val="none"/>
            </w:rPr>
            <w:fldChar w:fldCharType="end"/>
          </w:r>
        </w:p>
        <w:p w14:paraId="60C1C0AB">
          <w:pPr>
            <w:pStyle w:val="7"/>
            <w:tabs>
              <w:tab w:val="right" w:leader="dot" w:pos="8296"/>
            </w:tabs>
            <w:ind w:left="112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"_Toc196487545" </w:instrText>
          </w:r>
          <w:r>
            <w:rPr>
              <w:color w:val="auto"/>
              <w:highlight w:val="none"/>
            </w:rPr>
            <w:fldChar w:fldCharType="separate"/>
          </w:r>
          <w:r>
            <w:rPr>
              <w:rStyle w:val="18"/>
              <w:color w:val="auto"/>
              <w:highlight w:val="none"/>
            </w:rPr>
            <w:t>2.</w:t>
          </w:r>
          <w:r>
            <w:rPr>
              <w:rStyle w:val="18"/>
              <w:rFonts w:hint="eastAsia"/>
              <w:color w:val="auto"/>
              <w:highlight w:val="none"/>
            </w:rPr>
            <w:t>评价指标体系</w:t>
          </w:r>
          <w:r>
            <w:rPr>
              <w:color w:val="auto"/>
              <w:highlight w:val="none"/>
            </w:rPr>
            <w:tab/>
          </w:r>
          <w:r>
            <w:rPr>
              <w:color w:val="auto"/>
              <w:highlight w:val="none"/>
            </w:rPr>
            <w:fldChar w:fldCharType="begin"/>
          </w:r>
          <w:r>
            <w:rPr>
              <w:color w:val="auto"/>
              <w:highlight w:val="none"/>
            </w:rPr>
            <w:instrText xml:space="preserve"> PAGEREF _Toc196487545 \h </w:instrText>
          </w:r>
          <w:r>
            <w:rPr>
              <w:color w:val="auto"/>
              <w:highlight w:val="none"/>
            </w:rPr>
            <w:fldChar w:fldCharType="separate"/>
          </w:r>
          <w:r>
            <w:rPr>
              <w:color w:val="auto"/>
              <w:highlight w:val="none"/>
            </w:rPr>
            <w:t>5</w:t>
          </w:r>
          <w:r>
            <w:rPr>
              <w:color w:val="auto"/>
              <w:highlight w:val="none"/>
            </w:rPr>
            <w:fldChar w:fldCharType="end"/>
          </w:r>
          <w:r>
            <w:rPr>
              <w:color w:val="auto"/>
              <w:highlight w:val="none"/>
            </w:rPr>
            <w:fldChar w:fldCharType="end"/>
          </w:r>
        </w:p>
        <w:p w14:paraId="6ED21986">
          <w:pPr>
            <w:pStyle w:val="7"/>
            <w:tabs>
              <w:tab w:val="right" w:leader="dot" w:pos="8296"/>
            </w:tabs>
            <w:ind w:left="112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"_Toc196487546" </w:instrText>
          </w:r>
          <w:r>
            <w:rPr>
              <w:color w:val="auto"/>
              <w:highlight w:val="none"/>
            </w:rPr>
            <w:fldChar w:fldCharType="separate"/>
          </w:r>
          <w:r>
            <w:rPr>
              <w:rStyle w:val="18"/>
              <w:color w:val="auto"/>
              <w:highlight w:val="none"/>
            </w:rPr>
            <w:t>3.</w:t>
          </w:r>
          <w:r>
            <w:rPr>
              <w:rStyle w:val="18"/>
              <w:rFonts w:hint="eastAsia"/>
              <w:color w:val="auto"/>
              <w:highlight w:val="none"/>
            </w:rPr>
            <w:t>评价方法</w:t>
          </w:r>
          <w:r>
            <w:rPr>
              <w:color w:val="auto"/>
              <w:highlight w:val="none"/>
            </w:rPr>
            <w:tab/>
          </w:r>
          <w:r>
            <w:rPr>
              <w:color w:val="auto"/>
              <w:highlight w:val="none"/>
            </w:rPr>
            <w:fldChar w:fldCharType="begin"/>
          </w:r>
          <w:r>
            <w:rPr>
              <w:color w:val="auto"/>
              <w:highlight w:val="none"/>
            </w:rPr>
            <w:instrText xml:space="preserve"> PAGEREF _Toc196487546 \h </w:instrText>
          </w:r>
          <w:r>
            <w:rPr>
              <w:color w:val="auto"/>
              <w:highlight w:val="none"/>
            </w:rPr>
            <w:fldChar w:fldCharType="separate"/>
          </w:r>
          <w:r>
            <w:rPr>
              <w:color w:val="auto"/>
              <w:highlight w:val="none"/>
            </w:rPr>
            <w:t>12</w:t>
          </w:r>
          <w:r>
            <w:rPr>
              <w:color w:val="auto"/>
              <w:highlight w:val="none"/>
            </w:rPr>
            <w:fldChar w:fldCharType="end"/>
          </w:r>
          <w:r>
            <w:rPr>
              <w:color w:val="auto"/>
              <w:highlight w:val="none"/>
            </w:rPr>
            <w:fldChar w:fldCharType="end"/>
          </w:r>
        </w:p>
        <w:p w14:paraId="56E5D248">
          <w:pPr>
            <w:pStyle w:val="7"/>
            <w:tabs>
              <w:tab w:val="right" w:leader="dot" w:pos="8296"/>
            </w:tabs>
            <w:ind w:left="112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"_Toc196487547" </w:instrText>
          </w:r>
          <w:r>
            <w:rPr>
              <w:color w:val="auto"/>
              <w:highlight w:val="none"/>
            </w:rPr>
            <w:fldChar w:fldCharType="separate"/>
          </w:r>
          <w:r>
            <w:rPr>
              <w:rStyle w:val="18"/>
              <w:color w:val="auto"/>
              <w:highlight w:val="none"/>
            </w:rPr>
            <w:t>4.</w:t>
          </w:r>
          <w:r>
            <w:rPr>
              <w:rStyle w:val="18"/>
              <w:rFonts w:hint="eastAsia"/>
              <w:color w:val="auto"/>
              <w:highlight w:val="none"/>
            </w:rPr>
            <w:t>评价标准</w:t>
          </w:r>
          <w:r>
            <w:rPr>
              <w:color w:val="auto"/>
              <w:highlight w:val="none"/>
            </w:rPr>
            <w:tab/>
          </w:r>
          <w:r>
            <w:rPr>
              <w:color w:val="auto"/>
              <w:highlight w:val="none"/>
            </w:rPr>
            <w:fldChar w:fldCharType="begin"/>
          </w:r>
          <w:r>
            <w:rPr>
              <w:color w:val="auto"/>
              <w:highlight w:val="none"/>
            </w:rPr>
            <w:instrText xml:space="preserve"> PAGEREF _Toc196487547 \h </w:instrText>
          </w:r>
          <w:r>
            <w:rPr>
              <w:color w:val="auto"/>
              <w:highlight w:val="none"/>
            </w:rPr>
            <w:fldChar w:fldCharType="separate"/>
          </w:r>
          <w:r>
            <w:rPr>
              <w:color w:val="auto"/>
              <w:highlight w:val="none"/>
            </w:rPr>
            <w:t>13</w:t>
          </w:r>
          <w:r>
            <w:rPr>
              <w:color w:val="auto"/>
              <w:highlight w:val="none"/>
            </w:rPr>
            <w:fldChar w:fldCharType="end"/>
          </w:r>
          <w:r>
            <w:rPr>
              <w:color w:val="auto"/>
              <w:highlight w:val="none"/>
            </w:rPr>
            <w:fldChar w:fldCharType="end"/>
          </w:r>
        </w:p>
        <w:p w14:paraId="7EAE9FFC">
          <w:pPr>
            <w:pStyle w:val="14"/>
            <w:tabs>
              <w:tab w:val="right" w:leader="dot" w:pos="8296"/>
            </w:tabs>
            <w:ind w:left="56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"_Toc196487548" </w:instrText>
          </w:r>
          <w:r>
            <w:rPr>
              <w:color w:val="auto"/>
              <w:highlight w:val="none"/>
            </w:rPr>
            <w:fldChar w:fldCharType="separate"/>
          </w:r>
          <w:r>
            <w:rPr>
              <w:rStyle w:val="18"/>
              <w:rFonts w:hint="eastAsia" w:ascii="仿宋" w:hAnsi="仿宋" w:eastAsia="仿宋"/>
              <w:color w:val="auto"/>
              <w:highlight w:val="none"/>
              <w:lang w:bidi="en-US"/>
            </w:rPr>
            <w:t>（三）绩效评价工作过程</w:t>
          </w:r>
          <w:r>
            <w:rPr>
              <w:color w:val="auto"/>
              <w:highlight w:val="none"/>
            </w:rPr>
            <w:tab/>
          </w:r>
          <w:r>
            <w:rPr>
              <w:color w:val="auto"/>
              <w:highlight w:val="none"/>
            </w:rPr>
            <w:fldChar w:fldCharType="begin"/>
          </w:r>
          <w:r>
            <w:rPr>
              <w:color w:val="auto"/>
              <w:highlight w:val="none"/>
            </w:rPr>
            <w:instrText xml:space="preserve"> PAGEREF _Toc196487548 \h </w:instrText>
          </w:r>
          <w:r>
            <w:rPr>
              <w:color w:val="auto"/>
              <w:highlight w:val="none"/>
            </w:rPr>
            <w:fldChar w:fldCharType="separate"/>
          </w:r>
          <w:r>
            <w:rPr>
              <w:color w:val="auto"/>
              <w:highlight w:val="none"/>
            </w:rPr>
            <w:t>13</w:t>
          </w:r>
          <w:r>
            <w:rPr>
              <w:color w:val="auto"/>
              <w:highlight w:val="none"/>
            </w:rPr>
            <w:fldChar w:fldCharType="end"/>
          </w:r>
          <w:r>
            <w:rPr>
              <w:color w:val="auto"/>
              <w:highlight w:val="none"/>
            </w:rPr>
            <w:fldChar w:fldCharType="end"/>
          </w:r>
        </w:p>
        <w:p w14:paraId="2AFCFBC1">
          <w:pPr>
            <w:pStyle w:val="12"/>
            <w:tabs>
              <w:tab w:val="right" w:leader="dot" w:pos="8296"/>
            </w:tabs>
            <w:ind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"_Toc196487549" </w:instrText>
          </w:r>
          <w:r>
            <w:rPr>
              <w:color w:val="auto"/>
              <w:highlight w:val="none"/>
            </w:rPr>
            <w:fldChar w:fldCharType="separate"/>
          </w:r>
          <w:r>
            <w:rPr>
              <w:rStyle w:val="18"/>
              <w:rFonts w:hint="eastAsia" w:ascii="仿宋" w:hAnsi="仿宋" w:eastAsia="仿宋"/>
              <w:color w:val="auto"/>
              <w:highlight w:val="none"/>
              <w:lang w:bidi="en-US"/>
            </w:rPr>
            <w:t>三、综合评价情况及评价结论</w:t>
          </w:r>
          <w:r>
            <w:rPr>
              <w:color w:val="auto"/>
              <w:highlight w:val="none"/>
            </w:rPr>
            <w:tab/>
          </w:r>
          <w:r>
            <w:rPr>
              <w:color w:val="auto"/>
              <w:highlight w:val="none"/>
            </w:rPr>
            <w:fldChar w:fldCharType="begin"/>
          </w:r>
          <w:r>
            <w:rPr>
              <w:color w:val="auto"/>
              <w:highlight w:val="none"/>
            </w:rPr>
            <w:instrText xml:space="preserve"> PAGEREF _Toc196487549 \h </w:instrText>
          </w:r>
          <w:r>
            <w:rPr>
              <w:color w:val="auto"/>
              <w:highlight w:val="none"/>
            </w:rPr>
            <w:fldChar w:fldCharType="separate"/>
          </w:r>
          <w:r>
            <w:rPr>
              <w:color w:val="auto"/>
              <w:highlight w:val="none"/>
            </w:rPr>
            <w:t>14</w:t>
          </w:r>
          <w:r>
            <w:rPr>
              <w:color w:val="auto"/>
              <w:highlight w:val="none"/>
            </w:rPr>
            <w:fldChar w:fldCharType="end"/>
          </w:r>
          <w:r>
            <w:rPr>
              <w:color w:val="auto"/>
              <w:highlight w:val="none"/>
            </w:rPr>
            <w:fldChar w:fldCharType="end"/>
          </w:r>
        </w:p>
        <w:p w14:paraId="644D4ED2">
          <w:pPr>
            <w:pStyle w:val="14"/>
            <w:tabs>
              <w:tab w:val="right" w:leader="dot" w:pos="8296"/>
            </w:tabs>
            <w:ind w:left="56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"_Toc196487550" </w:instrText>
          </w:r>
          <w:r>
            <w:rPr>
              <w:color w:val="auto"/>
              <w:highlight w:val="none"/>
            </w:rPr>
            <w:fldChar w:fldCharType="separate"/>
          </w:r>
          <w:r>
            <w:rPr>
              <w:rStyle w:val="18"/>
              <w:rFonts w:hint="eastAsia" w:ascii="仿宋" w:hAnsi="仿宋" w:eastAsia="仿宋"/>
              <w:color w:val="auto"/>
              <w:highlight w:val="none"/>
              <w:lang w:bidi="en-US"/>
            </w:rPr>
            <w:t>（一）评价结论</w:t>
          </w:r>
          <w:r>
            <w:rPr>
              <w:color w:val="auto"/>
              <w:highlight w:val="none"/>
            </w:rPr>
            <w:tab/>
          </w:r>
          <w:r>
            <w:rPr>
              <w:color w:val="auto"/>
              <w:highlight w:val="none"/>
            </w:rPr>
            <w:fldChar w:fldCharType="begin"/>
          </w:r>
          <w:r>
            <w:rPr>
              <w:color w:val="auto"/>
              <w:highlight w:val="none"/>
            </w:rPr>
            <w:instrText xml:space="preserve"> PAGEREF _Toc196487550 \h </w:instrText>
          </w:r>
          <w:r>
            <w:rPr>
              <w:color w:val="auto"/>
              <w:highlight w:val="none"/>
            </w:rPr>
            <w:fldChar w:fldCharType="separate"/>
          </w:r>
          <w:r>
            <w:rPr>
              <w:color w:val="auto"/>
              <w:highlight w:val="none"/>
            </w:rPr>
            <w:t>14</w:t>
          </w:r>
          <w:r>
            <w:rPr>
              <w:color w:val="auto"/>
              <w:highlight w:val="none"/>
            </w:rPr>
            <w:fldChar w:fldCharType="end"/>
          </w:r>
          <w:r>
            <w:rPr>
              <w:color w:val="auto"/>
              <w:highlight w:val="none"/>
            </w:rPr>
            <w:fldChar w:fldCharType="end"/>
          </w:r>
        </w:p>
        <w:p w14:paraId="1C202659">
          <w:pPr>
            <w:pStyle w:val="14"/>
            <w:tabs>
              <w:tab w:val="right" w:leader="dot" w:pos="8296"/>
            </w:tabs>
            <w:ind w:left="56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"_Toc196487551" </w:instrText>
          </w:r>
          <w:r>
            <w:rPr>
              <w:color w:val="auto"/>
              <w:highlight w:val="none"/>
            </w:rPr>
            <w:fldChar w:fldCharType="separate"/>
          </w:r>
          <w:r>
            <w:rPr>
              <w:rStyle w:val="18"/>
              <w:rFonts w:hint="eastAsia" w:ascii="仿宋" w:hAnsi="仿宋" w:eastAsia="仿宋"/>
              <w:color w:val="auto"/>
              <w:highlight w:val="none"/>
              <w:lang w:bidi="en-US"/>
            </w:rPr>
            <w:t>（二）主要绩效</w:t>
          </w:r>
          <w:r>
            <w:rPr>
              <w:color w:val="auto"/>
              <w:highlight w:val="none"/>
            </w:rPr>
            <w:tab/>
          </w:r>
          <w:r>
            <w:rPr>
              <w:color w:val="auto"/>
              <w:highlight w:val="none"/>
            </w:rPr>
            <w:fldChar w:fldCharType="begin"/>
          </w:r>
          <w:r>
            <w:rPr>
              <w:color w:val="auto"/>
              <w:highlight w:val="none"/>
            </w:rPr>
            <w:instrText xml:space="preserve"> PAGEREF _Toc196487551 \h </w:instrText>
          </w:r>
          <w:r>
            <w:rPr>
              <w:color w:val="auto"/>
              <w:highlight w:val="none"/>
            </w:rPr>
            <w:fldChar w:fldCharType="separate"/>
          </w:r>
          <w:r>
            <w:rPr>
              <w:color w:val="auto"/>
              <w:highlight w:val="none"/>
            </w:rPr>
            <w:t>15</w:t>
          </w:r>
          <w:r>
            <w:rPr>
              <w:color w:val="auto"/>
              <w:highlight w:val="none"/>
            </w:rPr>
            <w:fldChar w:fldCharType="end"/>
          </w:r>
          <w:r>
            <w:rPr>
              <w:color w:val="auto"/>
              <w:highlight w:val="none"/>
            </w:rPr>
            <w:fldChar w:fldCharType="end"/>
          </w:r>
        </w:p>
        <w:p w14:paraId="399C418C">
          <w:pPr>
            <w:pStyle w:val="12"/>
            <w:tabs>
              <w:tab w:val="right" w:leader="dot" w:pos="8296"/>
            </w:tabs>
            <w:ind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"_Toc196487552" </w:instrText>
          </w:r>
          <w:r>
            <w:rPr>
              <w:color w:val="auto"/>
              <w:highlight w:val="none"/>
            </w:rPr>
            <w:fldChar w:fldCharType="separate"/>
          </w:r>
          <w:r>
            <w:rPr>
              <w:rStyle w:val="18"/>
              <w:rFonts w:hint="eastAsia" w:ascii="仿宋" w:hAnsi="仿宋" w:eastAsia="仿宋"/>
              <w:color w:val="auto"/>
              <w:highlight w:val="none"/>
              <w:lang w:bidi="en-US"/>
            </w:rPr>
            <w:t>四、绩效评价指标分析</w:t>
          </w:r>
          <w:r>
            <w:rPr>
              <w:color w:val="auto"/>
              <w:highlight w:val="none"/>
            </w:rPr>
            <w:tab/>
          </w:r>
          <w:r>
            <w:rPr>
              <w:color w:val="auto"/>
              <w:highlight w:val="none"/>
            </w:rPr>
            <w:fldChar w:fldCharType="begin"/>
          </w:r>
          <w:r>
            <w:rPr>
              <w:color w:val="auto"/>
              <w:highlight w:val="none"/>
            </w:rPr>
            <w:instrText xml:space="preserve"> PAGEREF _Toc196487552 \h </w:instrText>
          </w:r>
          <w:r>
            <w:rPr>
              <w:color w:val="auto"/>
              <w:highlight w:val="none"/>
            </w:rPr>
            <w:fldChar w:fldCharType="separate"/>
          </w:r>
          <w:r>
            <w:rPr>
              <w:color w:val="auto"/>
              <w:highlight w:val="none"/>
            </w:rPr>
            <w:t>15</w:t>
          </w:r>
          <w:r>
            <w:rPr>
              <w:color w:val="auto"/>
              <w:highlight w:val="none"/>
            </w:rPr>
            <w:fldChar w:fldCharType="end"/>
          </w:r>
          <w:r>
            <w:rPr>
              <w:color w:val="auto"/>
              <w:highlight w:val="none"/>
            </w:rPr>
            <w:fldChar w:fldCharType="end"/>
          </w:r>
        </w:p>
        <w:p w14:paraId="687FF7A8">
          <w:pPr>
            <w:pStyle w:val="14"/>
            <w:tabs>
              <w:tab w:val="right" w:leader="dot" w:pos="8296"/>
            </w:tabs>
            <w:ind w:left="56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"_Toc196487553" </w:instrText>
          </w:r>
          <w:r>
            <w:rPr>
              <w:color w:val="auto"/>
              <w:highlight w:val="none"/>
            </w:rPr>
            <w:fldChar w:fldCharType="separate"/>
          </w:r>
          <w:r>
            <w:rPr>
              <w:rStyle w:val="18"/>
              <w:rFonts w:hint="eastAsia" w:ascii="仿宋" w:hAnsi="仿宋" w:eastAsia="仿宋"/>
              <w:color w:val="auto"/>
              <w:highlight w:val="none"/>
              <w:lang w:bidi="en-US"/>
            </w:rPr>
            <w:t>（一）项目决策情况</w:t>
          </w:r>
          <w:r>
            <w:rPr>
              <w:color w:val="auto"/>
              <w:highlight w:val="none"/>
            </w:rPr>
            <w:tab/>
          </w:r>
          <w:r>
            <w:rPr>
              <w:color w:val="auto"/>
              <w:highlight w:val="none"/>
            </w:rPr>
            <w:fldChar w:fldCharType="begin"/>
          </w:r>
          <w:r>
            <w:rPr>
              <w:color w:val="auto"/>
              <w:highlight w:val="none"/>
            </w:rPr>
            <w:instrText xml:space="preserve"> PAGEREF _Toc196487553 \h </w:instrText>
          </w:r>
          <w:r>
            <w:rPr>
              <w:color w:val="auto"/>
              <w:highlight w:val="none"/>
            </w:rPr>
            <w:fldChar w:fldCharType="separate"/>
          </w:r>
          <w:r>
            <w:rPr>
              <w:color w:val="auto"/>
              <w:highlight w:val="none"/>
            </w:rPr>
            <w:t>15</w:t>
          </w:r>
          <w:r>
            <w:rPr>
              <w:color w:val="auto"/>
              <w:highlight w:val="none"/>
            </w:rPr>
            <w:fldChar w:fldCharType="end"/>
          </w:r>
          <w:r>
            <w:rPr>
              <w:color w:val="auto"/>
              <w:highlight w:val="none"/>
            </w:rPr>
            <w:fldChar w:fldCharType="end"/>
          </w:r>
        </w:p>
        <w:p w14:paraId="44F8A7E7">
          <w:pPr>
            <w:pStyle w:val="7"/>
            <w:tabs>
              <w:tab w:val="right" w:leader="dot" w:pos="8296"/>
            </w:tabs>
            <w:ind w:left="112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"_Toc196487554" </w:instrText>
          </w:r>
          <w:r>
            <w:rPr>
              <w:color w:val="auto"/>
              <w:highlight w:val="none"/>
            </w:rPr>
            <w:fldChar w:fldCharType="separate"/>
          </w:r>
          <w:r>
            <w:rPr>
              <w:rStyle w:val="18"/>
              <w:color w:val="auto"/>
              <w:highlight w:val="none"/>
            </w:rPr>
            <w:t>1.</w:t>
          </w:r>
          <w:r>
            <w:rPr>
              <w:rStyle w:val="18"/>
              <w:rFonts w:hint="eastAsia"/>
              <w:color w:val="auto"/>
              <w:highlight w:val="none"/>
            </w:rPr>
            <w:t>项目立项</w:t>
          </w:r>
          <w:r>
            <w:rPr>
              <w:color w:val="auto"/>
              <w:highlight w:val="none"/>
            </w:rPr>
            <w:tab/>
          </w:r>
          <w:r>
            <w:rPr>
              <w:color w:val="auto"/>
              <w:highlight w:val="none"/>
            </w:rPr>
            <w:fldChar w:fldCharType="begin"/>
          </w:r>
          <w:r>
            <w:rPr>
              <w:color w:val="auto"/>
              <w:highlight w:val="none"/>
            </w:rPr>
            <w:instrText xml:space="preserve"> PAGEREF _Toc196487554 \h </w:instrText>
          </w:r>
          <w:r>
            <w:rPr>
              <w:color w:val="auto"/>
              <w:highlight w:val="none"/>
            </w:rPr>
            <w:fldChar w:fldCharType="separate"/>
          </w:r>
          <w:r>
            <w:rPr>
              <w:color w:val="auto"/>
              <w:highlight w:val="none"/>
            </w:rPr>
            <w:t>15</w:t>
          </w:r>
          <w:r>
            <w:rPr>
              <w:color w:val="auto"/>
              <w:highlight w:val="none"/>
            </w:rPr>
            <w:fldChar w:fldCharType="end"/>
          </w:r>
          <w:r>
            <w:rPr>
              <w:color w:val="auto"/>
              <w:highlight w:val="none"/>
            </w:rPr>
            <w:fldChar w:fldCharType="end"/>
          </w:r>
        </w:p>
        <w:p w14:paraId="69DA479C">
          <w:pPr>
            <w:pStyle w:val="7"/>
            <w:tabs>
              <w:tab w:val="right" w:leader="dot" w:pos="8296"/>
            </w:tabs>
            <w:ind w:left="112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"_Toc196487555" </w:instrText>
          </w:r>
          <w:r>
            <w:rPr>
              <w:color w:val="auto"/>
              <w:highlight w:val="none"/>
            </w:rPr>
            <w:fldChar w:fldCharType="separate"/>
          </w:r>
          <w:r>
            <w:rPr>
              <w:rStyle w:val="18"/>
              <w:color w:val="auto"/>
              <w:highlight w:val="none"/>
            </w:rPr>
            <w:t>2.</w:t>
          </w:r>
          <w:r>
            <w:rPr>
              <w:rStyle w:val="18"/>
              <w:rFonts w:hint="eastAsia"/>
              <w:color w:val="auto"/>
              <w:highlight w:val="none"/>
            </w:rPr>
            <w:t>绩效目标</w:t>
          </w:r>
          <w:r>
            <w:rPr>
              <w:color w:val="auto"/>
              <w:highlight w:val="none"/>
            </w:rPr>
            <w:tab/>
          </w:r>
          <w:r>
            <w:rPr>
              <w:color w:val="auto"/>
              <w:highlight w:val="none"/>
            </w:rPr>
            <w:fldChar w:fldCharType="begin"/>
          </w:r>
          <w:r>
            <w:rPr>
              <w:color w:val="auto"/>
              <w:highlight w:val="none"/>
            </w:rPr>
            <w:instrText xml:space="preserve"> PAGEREF _Toc196487555 \h </w:instrText>
          </w:r>
          <w:r>
            <w:rPr>
              <w:color w:val="auto"/>
              <w:highlight w:val="none"/>
            </w:rPr>
            <w:fldChar w:fldCharType="separate"/>
          </w:r>
          <w:r>
            <w:rPr>
              <w:color w:val="auto"/>
              <w:highlight w:val="none"/>
            </w:rPr>
            <w:t>16</w:t>
          </w:r>
          <w:r>
            <w:rPr>
              <w:color w:val="auto"/>
              <w:highlight w:val="none"/>
            </w:rPr>
            <w:fldChar w:fldCharType="end"/>
          </w:r>
          <w:r>
            <w:rPr>
              <w:color w:val="auto"/>
              <w:highlight w:val="none"/>
            </w:rPr>
            <w:fldChar w:fldCharType="end"/>
          </w:r>
        </w:p>
        <w:p w14:paraId="4B0583A5">
          <w:pPr>
            <w:pStyle w:val="7"/>
            <w:tabs>
              <w:tab w:val="right" w:leader="dot" w:pos="8296"/>
            </w:tabs>
            <w:ind w:left="112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"_Toc196487556" </w:instrText>
          </w:r>
          <w:r>
            <w:rPr>
              <w:color w:val="auto"/>
              <w:highlight w:val="none"/>
            </w:rPr>
            <w:fldChar w:fldCharType="separate"/>
          </w:r>
          <w:r>
            <w:rPr>
              <w:rStyle w:val="18"/>
              <w:color w:val="auto"/>
              <w:highlight w:val="none"/>
            </w:rPr>
            <w:t>3.</w:t>
          </w:r>
          <w:r>
            <w:rPr>
              <w:rStyle w:val="18"/>
              <w:rFonts w:hint="eastAsia"/>
              <w:color w:val="auto"/>
              <w:highlight w:val="none"/>
            </w:rPr>
            <w:t>资金投入</w:t>
          </w:r>
          <w:r>
            <w:rPr>
              <w:color w:val="auto"/>
              <w:highlight w:val="none"/>
            </w:rPr>
            <w:tab/>
          </w:r>
          <w:r>
            <w:rPr>
              <w:color w:val="auto"/>
              <w:highlight w:val="none"/>
            </w:rPr>
            <w:fldChar w:fldCharType="begin"/>
          </w:r>
          <w:r>
            <w:rPr>
              <w:color w:val="auto"/>
              <w:highlight w:val="none"/>
            </w:rPr>
            <w:instrText xml:space="preserve"> PAGEREF _Toc196487556 \h </w:instrText>
          </w:r>
          <w:r>
            <w:rPr>
              <w:color w:val="auto"/>
              <w:highlight w:val="none"/>
            </w:rPr>
            <w:fldChar w:fldCharType="separate"/>
          </w:r>
          <w:r>
            <w:rPr>
              <w:color w:val="auto"/>
              <w:highlight w:val="none"/>
            </w:rPr>
            <w:t>17</w:t>
          </w:r>
          <w:r>
            <w:rPr>
              <w:color w:val="auto"/>
              <w:highlight w:val="none"/>
            </w:rPr>
            <w:fldChar w:fldCharType="end"/>
          </w:r>
          <w:r>
            <w:rPr>
              <w:color w:val="auto"/>
              <w:highlight w:val="none"/>
            </w:rPr>
            <w:fldChar w:fldCharType="end"/>
          </w:r>
        </w:p>
        <w:p w14:paraId="0E92D9CC">
          <w:pPr>
            <w:pStyle w:val="14"/>
            <w:tabs>
              <w:tab w:val="right" w:leader="dot" w:pos="8296"/>
            </w:tabs>
            <w:ind w:left="56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"_Toc196487557" </w:instrText>
          </w:r>
          <w:r>
            <w:rPr>
              <w:color w:val="auto"/>
              <w:highlight w:val="none"/>
            </w:rPr>
            <w:fldChar w:fldCharType="separate"/>
          </w:r>
          <w:r>
            <w:rPr>
              <w:rStyle w:val="18"/>
              <w:rFonts w:hint="eastAsia" w:ascii="仿宋" w:hAnsi="仿宋" w:eastAsia="仿宋"/>
              <w:color w:val="auto"/>
              <w:highlight w:val="none"/>
              <w:lang w:bidi="en-US"/>
            </w:rPr>
            <w:t>（二）项目过程情况</w:t>
          </w:r>
          <w:r>
            <w:rPr>
              <w:color w:val="auto"/>
              <w:highlight w:val="none"/>
            </w:rPr>
            <w:tab/>
          </w:r>
          <w:r>
            <w:rPr>
              <w:color w:val="auto"/>
              <w:highlight w:val="none"/>
            </w:rPr>
            <w:fldChar w:fldCharType="begin"/>
          </w:r>
          <w:r>
            <w:rPr>
              <w:color w:val="auto"/>
              <w:highlight w:val="none"/>
            </w:rPr>
            <w:instrText xml:space="preserve"> PAGEREF _Toc196487557 \h </w:instrText>
          </w:r>
          <w:r>
            <w:rPr>
              <w:color w:val="auto"/>
              <w:highlight w:val="none"/>
            </w:rPr>
            <w:fldChar w:fldCharType="separate"/>
          </w:r>
          <w:r>
            <w:rPr>
              <w:color w:val="auto"/>
              <w:highlight w:val="none"/>
            </w:rPr>
            <w:t>17</w:t>
          </w:r>
          <w:r>
            <w:rPr>
              <w:color w:val="auto"/>
              <w:highlight w:val="none"/>
            </w:rPr>
            <w:fldChar w:fldCharType="end"/>
          </w:r>
          <w:r>
            <w:rPr>
              <w:color w:val="auto"/>
              <w:highlight w:val="none"/>
            </w:rPr>
            <w:fldChar w:fldCharType="end"/>
          </w:r>
        </w:p>
        <w:p w14:paraId="7A4A8D57">
          <w:pPr>
            <w:pStyle w:val="7"/>
            <w:tabs>
              <w:tab w:val="right" w:leader="dot" w:pos="8296"/>
            </w:tabs>
            <w:ind w:left="112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"_Toc196487558" </w:instrText>
          </w:r>
          <w:r>
            <w:rPr>
              <w:color w:val="auto"/>
              <w:highlight w:val="none"/>
            </w:rPr>
            <w:fldChar w:fldCharType="separate"/>
          </w:r>
          <w:r>
            <w:rPr>
              <w:rStyle w:val="18"/>
              <w:color w:val="auto"/>
              <w:highlight w:val="none"/>
            </w:rPr>
            <w:t>1.</w:t>
          </w:r>
          <w:r>
            <w:rPr>
              <w:rStyle w:val="18"/>
              <w:rFonts w:hint="eastAsia"/>
              <w:color w:val="auto"/>
              <w:highlight w:val="none"/>
            </w:rPr>
            <w:t>资金管理</w:t>
          </w:r>
          <w:r>
            <w:rPr>
              <w:color w:val="auto"/>
              <w:highlight w:val="none"/>
            </w:rPr>
            <w:tab/>
          </w:r>
          <w:r>
            <w:rPr>
              <w:color w:val="auto"/>
              <w:highlight w:val="none"/>
            </w:rPr>
            <w:fldChar w:fldCharType="begin"/>
          </w:r>
          <w:r>
            <w:rPr>
              <w:color w:val="auto"/>
              <w:highlight w:val="none"/>
            </w:rPr>
            <w:instrText xml:space="preserve"> PAGEREF _Toc196487558 \h </w:instrText>
          </w:r>
          <w:r>
            <w:rPr>
              <w:color w:val="auto"/>
              <w:highlight w:val="none"/>
            </w:rPr>
            <w:fldChar w:fldCharType="separate"/>
          </w:r>
          <w:r>
            <w:rPr>
              <w:color w:val="auto"/>
              <w:highlight w:val="none"/>
            </w:rPr>
            <w:t>17</w:t>
          </w:r>
          <w:r>
            <w:rPr>
              <w:color w:val="auto"/>
              <w:highlight w:val="none"/>
            </w:rPr>
            <w:fldChar w:fldCharType="end"/>
          </w:r>
          <w:r>
            <w:rPr>
              <w:color w:val="auto"/>
              <w:highlight w:val="none"/>
            </w:rPr>
            <w:fldChar w:fldCharType="end"/>
          </w:r>
        </w:p>
        <w:p w14:paraId="59950FEE">
          <w:pPr>
            <w:pStyle w:val="7"/>
            <w:tabs>
              <w:tab w:val="right" w:leader="dot" w:pos="8296"/>
            </w:tabs>
            <w:ind w:left="112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"_Toc196487559" </w:instrText>
          </w:r>
          <w:r>
            <w:rPr>
              <w:color w:val="auto"/>
              <w:highlight w:val="none"/>
            </w:rPr>
            <w:fldChar w:fldCharType="separate"/>
          </w:r>
          <w:r>
            <w:rPr>
              <w:rStyle w:val="18"/>
              <w:color w:val="auto"/>
              <w:highlight w:val="none"/>
            </w:rPr>
            <w:t>2.</w:t>
          </w:r>
          <w:r>
            <w:rPr>
              <w:rStyle w:val="18"/>
              <w:rFonts w:hint="eastAsia"/>
              <w:color w:val="auto"/>
              <w:highlight w:val="none"/>
            </w:rPr>
            <w:t>组织实施</w:t>
          </w:r>
          <w:r>
            <w:rPr>
              <w:color w:val="auto"/>
              <w:highlight w:val="none"/>
            </w:rPr>
            <w:tab/>
          </w:r>
          <w:r>
            <w:rPr>
              <w:color w:val="auto"/>
              <w:highlight w:val="none"/>
            </w:rPr>
            <w:fldChar w:fldCharType="begin"/>
          </w:r>
          <w:r>
            <w:rPr>
              <w:color w:val="auto"/>
              <w:highlight w:val="none"/>
            </w:rPr>
            <w:instrText xml:space="preserve"> PAGEREF _Toc196487559 \h </w:instrText>
          </w:r>
          <w:r>
            <w:rPr>
              <w:color w:val="auto"/>
              <w:highlight w:val="none"/>
            </w:rPr>
            <w:fldChar w:fldCharType="separate"/>
          </w:r>
          <w:r>
            <w:rPr>
              <w:color w:val="auto"/>
              <w:highlight w:val="none"/>
            </w:rPr>
            <w:t>18</w:t>
          </w:r>
          <w:r>
            <w:rPr>
              <w:color w:val="auto"/>
              <w:highlight w:val="none"/>
            </w:rPr>
            <w:fldChar w:fldCharType="end"/>
          </w:r>
          <w:r>
            <w:rPr>
              <w:color w:val="auto"/>
              <w:highlight w:val="none"/>
            </w:rPr>
            <w:fldChar w:fldCharType="end"/>
          </w:r>
        </w:p>
        <w:p w14:paraId="603FE5D0">
          <w:pPr>
            <w:pStyle w:val="14"/>
            <w:tabs>
              <w:tab w:val="right" w:leader="dot" w:pos="8296"/>
            </w:tabs>
            <w:ind w:left="56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"_Toc196487560" </w:instrText>
          </w:r>
          <w:r>
            <w:rPr>
              <w:color w:val="auto"/>
              <w:highlight w:val="none"/>
            </w:rPr>
            <w:fldChar w:fldCharType="separate"/>
          </w:r>
          <w:r>
            <w:rPr>
              <w:rStyle w:val="18"/>
              <w:rFonts w:hint="eastAsia" w:ascii="仿宋" w:hAnsi="仿宋" w:eastAsia="仿宋"/>
              <w:color w:val="auto"/>
              <w:highlight w:val="none"/>
              <w:lang w:bidi="en-US"/>
            </w:rPr>
            <w:t>（三）项目产出情况</w:t>
          </w:r>
          <w:r>
            <w:rPr>
              <w:color w:val="auto"/>
              <w:highlight w:val="none"/>
            </w:rPr>
            <w:tab/>
          </w:r>
          <w:r>
            <w:rPr>
              <w:color w:val="auto"/>
              <w:highlight w:val="none"/>
            </w:rPr>
            <w:fldChar w:fldCharType="begin"/>
          </w:r>
          <w:r>
            <w:rPr>
              <w:color w:val="auto"/>
              <w:highlight w:val="none"/>
            </w:rPr>
            <w:instrText xml:space="preserve"> PAGEREF _Toc196487560 \h </w:instrText>
          </w:r>
          <w:r>
            <w:rPr>
              <w:color w:val="auto"/>
              <w:highlight w:val="none"/>
            </w:rPr>
            <w:fldChar w:fldCharType="separate"/>
          </w:r>
          <w:r>
            <w:rPr>
              <w:color w:val="auto"/>
              <w:highlight w:val="none"/>
            </w:rPr>
            <w:t>18</w:t>
          </w:r>
          <w:r>
            <w:rPr>
              <w:color w:val="auto"/>
              <w:highlight w:val="none"/>
            </w:rPr>
            <w:fldChar w:fldCharType="end"/>
          </w:r>
          <w:r>
            <w:rPr>
              <w:color w:val="auto"/>
              <w:highlight w:val="none"/>
            </w:rPr>
            <w:fldChar w:fldCharType="end"/>
          </w:r>
        </w:p>
        <w:p w14:paraId="74A42B6F">
          <w:pPr>
            <w:pStyle w:val="7"/>
            <w:tabs>
              <w:tab w:val="right" w:leader="dot" w:pos="8296"/>
            </w:tabs>
            <w:ind w:left="112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"_Toc196487561" </w:instrText>
          </w:r>
          <w:r>
            <w:rPr>
              <w:color w:val="auto"/>
              <w:highlight w:val="none"/>
            </w:rPr>
            <w:fldChar w:fldCharType="separate"/>
          </w:r>
          <w:r>
            <w:rPr>
              <w:rStyle w:val="18"/>
              <w:color w:val="auto"/>
              <w:highlight w:val="none"/>
            </w:rPr>
            <w:t>1.</w:t>
          </w:r>
          <w:r>
            <w:rPr>
              <w:rStyle w:val="18"/>
              <w:rFonts w:hint="eastAsia"/>
              <w:color w:val="auto"/>
              <w:highlight w:val="none"/>
            </w:rPr>
            <w:t>产出数量</w:t>
          </w:r>
          <w:r>
            <w:rPr>
              <w:color w:val="auto"/>
              <w:highlight w:val="none"/>
            </w:rPr>
            <w:tab/>
          </w:r>
          <w:r>
            <w:rPr>
              <w:color w:val="auto"/>
              <w:highlight w:val="none"/>
            </w:rPr>
            <w:fldChar w:fldCharType="begin"/>
          </w:r>
          <w:r>
            <w:rPr>
              <w:color w:val="auto"/>
              <w:highlight w:val="none"/>
            </w:rPr>
            <w:instrText xml:space="preserve"> PAGEREF _Toc196487561 \h </w:instrText>
          </w:r>
          <w:r>
            <w:rPr>
              <w:color w:val="auto"/>
              <w:highlight w:val="none"/>
            </w:rPr>
            <w:fldChar w:fldCharType="separate"/>
          </w:r>
          <w:r>
            <w:rPr>
              <w:color w:val="auto"/>
              <w:highlight w:val="none"/>
            </w:rPr>
            <w:t>19</w:t>
          </w:r>
          <w:r>
            <w:rPr>
              <w:color w:val="auto"/>
              <w:highlight w:val="none"/>
            </w:rPr>
            <w:fldChar w:fldCharType="end"/>
          </w:r>
          <w:r>
            <w:rPr>
              <w:color w:val="auto"/>
              <w:highlight w:val="none"/>
            </w:rPr>
            <w:fldChar w:fldCharType="end"/>
          </w:r>
        </w:p>
        <w:p w14:paraId="797CB307">
          <w:pPr>
            <w:pStyle w:val="7"/>
            <w:tabs>
              <w:tab w:val="right" w:leader="dot" w:pos="8296"/>
            </w:tabs>
            <w:ind w:left="112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"_Toc196487562" </w:instrText>
          </w:r>
          <w:r>
            <w:rPr>
              <w:color w:val="auto"/>
              <w:highlight w:val="none"/>
            </w:rPr>
            <w:fldChar w:fldCharType="separate"/>
          </w:r>
          <w:r>
            <w:rPr>
              <w:rStyle w:val="18"/>
              <w:color w:val="auto"/>
              <w:highlight w:val="none"/>
            </w:rPr>
            <w:t>2.</w:t>
          </w:r>
          <w:r>
            <w:rPr>
              <w:rStyle w:val="18"/>
              <w:rFonts w:hint="eastAsia"/>
              <w:color w:val="auto"/>
              <w:highlight w:val="none"/>
            </w:rPr>
            <w:t>产出质量</w:t>
          </w:r>
          <w:r>
            <w:rPr>
              <w:color w:val="auto"/>
              <w:highlight w:val="none"/>
            </w:rPr>
            <w:tab/>
          </w:r>
          <w:r>
            <w:rPr>
              <w:color w:val="auto"/>
              <w:highlight w:val="none"/>
            </w:rPr>
            <w:fldChar w:fldCharType="begin"/>
          </w:r>
          <w:r>
            <w:rPr>
              <w:color w:val="auto"/>
              <w:highlight w:val="none"/>
            </w:rPr>
            <w:instrText xml:space="preserve"> PAGEREF _Toc196487562 \h </w:instrText>
          </w:r>
          <w:r>
            <w:rPr>
              <w:color w:val="auto"/>
              <w:highlight w:val="none"/>
            </w:rPr>
            <w:fldChar w:fldCharType="separate"/>
          </w:r>
          <w:r>
            <w:rPr>
              <w:color w:val="auto"/>
              <w:highlight w:val="none"/>
            </w:rPr>
            <w:t>19</w:t>
          </w:r>
          <w:r>
            <w:rPr>
              <w:color w:val="auto"/>
              <w:highlight w:val="none"/>
            </w:rPr>
            <w:fldChar w:fldCharType="end"/>
          </w:r>
          <w:r>
            <w:rPr>
              <w:color w:val="auto"/>
              <w:highlight w:val="none"/>
            </w:rPr>
            <w:fldChar w:fldCharType="end"/>
          </w:r>
        </w:p>
        <w:p w14:paraId="519DBF75">
          <w:pPr>
            <w:pStyle w:val="7"/>
            <w:tabs>
              <w:tab w:val="right" w:leader="dot" w:pos="8296"/>
            </w:tabs>
            <w:ind w:left="112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"_Toc196487563" </w:instrText>
          </w:r>
          <w:r>
            <w:rPr>
              <w:color w:val="auto"/>
              <w:highlight w:val="none"/>
            </w:rPr>
            <w:fldChar w:fldCharType="separate"/>
          </w:r>
          <w:r>
            <w:rPr>
              <w:rStyle w:val="18"/>
              <w:color w:val="auto"/>
              <w:highlight w:val="none"/>
            </w:rPr>
            <w:t>3.</w:t>
          </w:r>
          <w:r>
            <w:rPr>
              <w:rStyle w:val="18"/>
              <w:rFonts w:hint="eastAsia"/>
              <w:color w:val="auto"/>
              <w:highlight w:val="none"/>
            </w:rPr>
            <w:t>产出时效</w:t>
          </w:r>
          <w:r>
            <w:rPr>
              <w:color w:val="auto"/>
              <w:highlight w:val="none"/>
            </w:rPr>
            <w:tab/>
          </w:r>
          <w:r>
            <w:rPr>
              <w:color w:val="auto"/>
              <w:highlight w:val="none"/>
            </w:rPr>
            <w:fldChar w:fldCharType="begin"/>
          </w:r>
          <w:r>
            <w:rPr>
              <w:color w:val="auto"/>
              <w:highlight w:val="none"/>
            </w:rPr>
            <w:instrText xml:space="preserve"> PAGEREF _Toc196487563 \h </w:instrText>
          </w:r>
          <w:r>
            <w:rPr>
              <w:color w:val="auto"/>
              <w:highlight w:val="none"/>
            </w:rPr>
            <w:fldChar w:fldCharType="separate"/>
          </w:r>
          <w:r>
            <w:rPr>
              <w:color w:val="auto"/>
              <w:highlight w:val="none"/>
            </w:rPr>
            <w:t>19</w:t>
          </w:r>
          <w:r>
            <w:rPr>
              <w:color w:val="auto"/>
              <w:highlight w:val="none"/>
            </w:rPr>
            <w:fldChar w:fldCharType="end"/>
          </w:r>
          <w:r>
            <w:rPr>
              <w:color w:val="auto"/>
              <w:highlight w:val="none"/>
            </w:rPr>
            <w:fldChar w:fldCharType="end"/>
          </w:r>
        </w:p>
        <w:p w14:paraId="29CF20CE">
          <w:pPr>
            <w:pStyle w:val="7"/>
            <w:tabs>
              <w:tab w:val="right" w:leader="dot" w:pos="8296"/>
            </w:tabs>
            <w:ind w:left="112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"_Toc196487564" </w:instrText>
          </w:r>
          <w:r>
            <w:rPr>
              <w:color w:val="auto"/>
              <w:highlight w:val="none"/>
            </w:rPr>
            <w:fldChar w:fldCharType="separate"/>
          </w:r>
          <w:r>
            <w:rPr>
              <w:rStyle w:val="18"/>
              <w:color w:val="auto"/>
              <w:highlight w:val="none"/>
            </w:rPr>
            <w:t>4.</w:t>
          </w:r>
          <w:r>
            <w:rPr>
              <w:rStyle w:val="18"/>
              <w:rFonts w:hint="eastAsia"/>
              <w:color w:val="auto"/>
              <w:highlight w:val="none"/>
            </w:rPr>
            <w:t>产出成本</w:t>
          </w:r>
          <w:r>
            <w:rPr>
              <w:color w:val="auto"/>
              <w:highlight w:val="none"/>
            </w:rPr>
            <w:tab/>
          </w:r>
          <w:r>
            <w:rPr>
              <w:color w:val="auto"/>
              <w:highlight w:val="none"/>
            </w:rPr>
            <w:fldChar w:fldCharType="begin"/>
          </w:r>
          <w:r>
            <w:rPr>
              <w:color w:val="auto"/>
              <w:highlight w:val="none"/>
            </w:rPr>
            <w:instrText xml:space="preserve"> PAGEREF _Toc196487564 \h </w:instrText>
          </w:r>
          <w:r>
            <w:rPr>
              <w:color w:val="auto"/>
              <w:highlight w:val="none"/>
            </w:rPr>
            <w:fldChar w:fldCharType="separate"/>
          </w:r>
          <w:r>
            <w:rPr>
              <w:color w:val="auto"/>
              <w:highlight w:val="none"/>
            </w:rPr>
            <w:t>19</w:t>
          </w:r>
          <w:r>
            <w:rPr>
              <w:color w:val="auto"/>
              <w:highlight w:val="none"/>
            </w:rPr>
            <w:fldChar w:fldCharType="end"/>
          </w:r>
          <w:r>
            <w:rPr>
              <w:color w:val="auto"/>
              <w:highlight w:val="none"/>
            </w:rPr>
            <w:fldChar w:fldCharType="end"/>
          </w:r>
        </w:p>
        <w:p w14:paraId="00E1E320">
          <w:pPr>
            <w:pStyle w:val="14"/>
            <w:tabs>
              <w:tab w:val="right" w:leader="dot" w:pos="8296"/>
            </w:tabs>
            <w:ind w:left="56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"_Toc196487565" </w:instrText>
          </w:r>
          <w:r>
            <w:rPr>
              <w:color w:val="auto"/>
              <w:highlight w:val="none"/>
            </w:rPr>
            <w:fldChar w:fldCharType="separate"/>
          </w:r>
          <w:r>
            <w:rPr>
              <w:rStyle w:val="18"/>
              <w:rFonts w:hint="eastAsia" w:ascii="仿宋" w:hAnsi="仿宋" w:eastAsia="仿宋"/>
              <w:color w:val="auto"/>
              <w:highlight w:val="none"/>
              <w:lang w:bidi="en-US"/>
            </w:rPr>
            <w:t>（四）项目效益</w:t>
          </w:r>
          <w:r>
            <w:rPr>
              <w:color w:val="auto"/>
              <w:highlight w:val="none"/>
            </w:rPr>
            <w:tab/>
          </w:r>
          <w:r>
            <w:rPr>
              <w:color w:val="auto"/>
              <w:highlight w:val="none"/>
            </w:rPr>
            <w:fldChar w:fldCharType="begin"/>
          </w:r>
          <w:r>
            <w:rPr>
              <w:color w:val="auto"/>
              <w:highlight w:val="none"/>
            </w:rPr>
            <w:instrText xml:space="preserve"> PAGEREF _Toc196487565 \h </w:instrText>
          </w:r>
          <w:r>
            <w:rPr>
              <w:color w:val="auto"/>
              <w:highlight w:val="none"/>
            </w:rPr>
            <w:fldChar w:fldCharType="separate"/>
          </w:r>
          <w:r>
            <w:rPr>
              <w:color w:val="auto"/>
              <w:highlight w:val="none"/>
            </w:rPr>
            <w:t>20</w:t>
          </w:r>
          <w:r>
            <w:rPr>
              <w:color w:val="auto"/>
              <w:highlight w:val="none"/>
            </w:rPr>
            <w:fldChar w:fldCharType="end"/>
          </w:r>
          <w:r>
            <w:rPr>
              <w:color w:val="auto"/>
              <w:highlight w:val="none"/>
            </w:rPr>
            <w:fldChar w:fldCharType="end"/>
          </w:r>
        </w:p>
        <w:p w14:paraId="623270B3">
          <w:pPr>
            <w:pStyle w:val="14"/>
            <w:tabs>
              <w:tab w:val="right" w:leader="dot" w:pos="8296"/>
            </w:tabs>
            <w:ind w:left="56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"_Toc196487566" </w:instrText>
          </w:r>
          <w:r>
            <w:rPr>
              <w:color w:val="auto"/>
              <w:highlight w:val="none"/>
            </w:rPr>
            <w:fldChar w:fldCharType="separate"/>
          </w:r>
          <w:r>
            <w:rPr>
              <w:rStyle w:val="18"/>
              <w:rFonts w:hint="eastAsia" w:ascii="仿宋" w:hAnsi="仿宋" w:eastAsia="仿宋"/>
              <w:color w:val="auto"/>
              <w:highlight w:val="none"/>
              <w:lang w:bidi="en-US"/>
            </w:rPr>
            <w:t>（五）满意度指标完成情况分析</w:t>
          </w:r>
          <w:r>
            <w:rPr>
              <w:color w:val="auto"/>
              <w:highlight w:val="none"/>
            </w:rPr>
            <w:tab/>
          </w:r>
          <w:r>
            <w:rPr>
              <w:color w:val="auto"/>
              <w:highlight w:val="none"/>
            </w:rPr>
            <w:fldChar w:fldCharType="begin"/>
          </w:r>
          <w:r>
            <w:rPr>
              <w:color w:val="auto"/>
              <w:highlight w:val="none"/>
            </w:rPr>
            <w:instrText xml:space="preserve"> PAGEREF _Toc196487566 \h </w:instrText>
          </w:r>
          <w:r>
            <w:rPr>
              <w:color w:val="auto"/>
              <w:highlight w:val="none"/>
            </w:rPr>
            <w:fldChar w:fldCharType="separate"/>
          </w:r>
          <w:r>
            <w:rPr>
              <w:color w:val="auto"/>
              <w:highlight w:val="none"/>
            </w:rPr>
            <w:t>20</w:t>
          </w:r>
          <w:r>
            <w:rPr>
              <w:color w:val="auto"/>
              <w:highlight w:val="none"/>
            </w:rPr>
            <w:fldChar w:fldCharType="end"/>
          </w:r>
          <w:r>
            <w:rPr>
              <w:color w:val="auto"/>
              <w:highlight w:val="none"/>
            </w:rPr>
            <w:fldChar w:fldCharType="end"/>
          </w:r>
        </w:p>
        <w:p w14:paraId="2BB63B0B">
          <w:pPr>
            <w:pStyle w:val="12"/>
            <w:tabs>
              <w:tab w:val="right" w:leader="dot" w:pos="8296"/>
            </w:tabs>
            <w:ind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"_Toc196487567" </w:instrText>
          </w:r>
          <w:r>
            <w:rPr>
              <w:color w:val="auto"/>
              <w:highlight w:val="none"/>
            </w:rPr>
            <w:fldChar w:fldCharType="separate"/>
          </w:r>
          <w:r>
            <w:rPr>
              <w:rStyle w:val="18"/>
              <w:rFonts w:hint="eastAsia" w:ascii="仿宋" w:hAnsi="仿宋" w:eastAsia="仿宋"/>
              <w:color w:val="auto"/>
              <w:highlight w:val="none"/>
              <w:lang w:bidi="en-US"/>
            </w:rPr>
            <w:t>五、主要经验及做法、存在的问题及原因分析</w:t>
          </w:r>
          <w:r>
            <w:rPr>
              <w:color w:val="auto"/>
              <w:highlight w:val="none"/>
            </w:rPr>
            <w:tab/>
          </w:r>
          <w:r>
            <w:rPr>
              <w:color w:val="auto"/>
              <w:highlight w:val="none"/>
            </w:rPr>
            <w:fldChar w:fldCharType="begin"/>
          </w:r>
          <w:r>
            <w:rPr>
              <w:color w:val="auto"/>
              <w:highlight w:val="none"/>
            </w:rPr>
            <w:instrText xml:space="preserve"> PAGEREF _Toc196487567 \h </w:instrText>
          </w:r>
          <w:r>
            <w:rPr>
              <w:color w:val="auto"/>
              <w:highlight w:val="none"/>
            </w:rPr>
            <w:fldChar w:fldCharType="separate"/>
          </w:r>
          <w:r>
            <w:rPr>
              <w:color w:val="auto"/>
              <w:highlight w:val="none"/>
            </w:rPr>
            <w:t>21</w:t>
          </w:r>
          <w:r>
            <w:rPr>
              <w:color w:val="auto"/>
              <w:highlight w:val="none"/>
            </w:rPr>
            <w:fldChar w:fldCharType="end"/>
          </w:r>
          <w:r>
            <w:rPr>
              <w:color w:val="auto"/>
              <w:highlight w:val="none"/>
            </w:rPr>
            <w:fldChar w:fldCharType="end"/>
          </w:r>
        </w:p>
        <w:p w14:paraId="30F0EC6C">
          <w:pPr>
            <w:pStyle w:val="14"/>
            <w:tabs>
              <w:tab w:val="right" w:leader="dot" w:pos="8296"/>
            </w:tabs>
            <w:ind w:left="56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"_Toc196487568" </w:instrText>
          </w:r>
          <w:r>
            <w:rPr>
              <w:color w:val="auto"/>
              <w:highlight w:val="none"/>
            </w:rPr>
            <w:fldChar w:fldCharType="separate"/>
          </w:r>
          <w:r>
            <w:rPr>
              <w:rStyle w:val="18"/>
              <w:rFonts w:hint="eastAsia" w:ascii="仿宋" w:hAnsi="仿宋" w:eastAsia="仿宋"/>
              <w:color w:val="auto"/>
              <w:highlight w:val="none"/>
              <w:lang w:bidi="en-US"/>
            </w:rPr>
            <w:t>（一）主要经验及做法</w:t>
          </w:r>
          <w:r>
            <w:rPr>
              <w:color w:val="auto"/>
              <w:highlight w:val="none"/>
            </w:rPr>
            <w:tab/>
          </w:r>
          <w:r>
            <w:rPr>
              <w:color w:val="auto"/>
              <w:highlight w:val="none"/>
            </w:rPr>
            <w:fldChar w:fldCharType="begin"/>
          </w:r>
          <w:r>
            <w:rPr>
              <w:color w:val="auto"/>
              <w:highlight w:val="none"/>
            </w:rPr>
            <w:instrText xml:space="preserve"> PAGEREF _Toc196487568 \h </w:instrText>
          </w:r>
          <w:r>
            <w:rPr>
              <w:color w:val="auto"/>
              <w:highlight w:val="none"/>
            </w:rPr>
            <w:fldChar w:fldCharType="separate"/>
          </w:r>
          <w:r>
            <w:rPr>
              <w:color w:val="auto"/>
              <w:highlight w:val="none"/>
            </w:rPr>
            <w:t>21</w:t>
          </w:r>
          <w:r>
            <w:rPr>
              <w:color w:val="auto"/>
              <w:highlight w:val="none"/>
            </w:rPr>
            <w:fldChar w:fldCharType="end"/>
          </w:r>
          <w:r>
            <w:rPr>
              <w:color w:val="auto"/>
              <w:highlight w:val="none"/>
            </w:rPr>
            <w:fldChar w:fldCharType="end"/>
          </w:r>
        </w:p>
        <w:p w14:paraId="435526D8">
          <w:pPr>
            <w:pStyle w:val="14"/>
            <w:tabs>
              <w:tab w:val="right" w:leader="dot" w:pos="8296"/>
            </w:tabs>
            <w:ind w:left="560"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"_Toc196487569" </w:instrText>
          </w:r>
          <w:r>
            <w:rPr>
              <w:color w:val="auto"/>
              <w:highlight w:val="none"/>
            </w:rPr>
            <w:fldChar w:fldCharType="separate"/>
          </w:r>
          <w:r>
            <w:rPr>
              <w:rStyle w:val="18"/>
              <w:rFonts w:hint="eastAsia" w:ascii="仿宋" w:hAnsi="仿宋" w:eastAsia="仿宋"/>
              <w:color w:val="auto"/>
              <w:highlight w:val="none"/>
              <w:lang w:bidi="en-US"/>
            </w:rPr>
            <w:t>（二）存在的问题及原因分析</w:t>
          </w:r>
          <w:r>
            <w:rPr>
              <w:color w:val="auto"/>
              <w:highlight w:val="none"/>
            </w:rPr>
            <w:tab/>
          </w:r>
          <w:r>
            <w:rPr>
              <w:color w:val="auto"/>
              <w:highlight w:val="none"/>
            </w:rPr>
            <w:fldChar w:fldCharType="begin"/>
          </w:r>
          <w:r>
            <w:rPr>
              <w:color w:val="auto"/>
              <w:highlight w:val="none"/>
            </w:rPr>
            <w:instrText xml:space="preserve"> PAGEREF _Toc196487569 \h </w:instrText>
          </w:r>
          <w:r>
            <w:rPr>
              <w:color w:val="auto"/>
              <w:highlight w:val="none"/>
            </w:rPr>
            <w:fldChar w:fldCharType="separate"/>
          </w:r>
          <w:r>
            <w:rPr>
              <w:color w:val="auto"/>
              <w:highlight w:val="none"/>
            </w:rPr>
            <w:t>21</w:t>
          </w:r>
          <w:r>
            <w:rPr>
              <w:color w:val="auto"/>
              <w:highlight w:val="none"/>
            </w:rPr>
            <w:fldChar w:fldCharType="end"/>
          </w:r>
          <w:r>
            <w:rPr>
              <w:color w:val="auto"/>
              <w:highlight w:val="none"/>
            </w:rPr>
            <w:fldChar w:fldCharType="end"/>
          </w:r>
        </w:p>
        <w:p w14:paraId="2B3CA17E">
          <w:pPr>
            <w:pStyle w:val="12"/>
            <w:tabs>
              <w:tab w:val="right" w:leader="dot" w:pos="8296"/>
            </w:tabs>
            <w:ind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"_Toc196487570" </w:instrText>
          </w:r>
          <w:r>
            <w:rPr>
              <w:color w:val="auto"/>
              <w:highlight w:val="none"/>
            </w:rPr>
            <w:fldChar w:fldCharType="separate"/>
          </w:r>
          <w:r>
            <w:rPr>
              <w:rStyle w:val="18"/>
              <w:rFonts w:hint="eastAsia" w:ascii="仿宋" w:hAnsi="仿宋" w:eastAsia="仿宋"/>
              <w:color w:val="auto"/>
              <w:highlight w:val="none"/>
              <w:lang w:bidi="en-US"/>
            </w:rPr>
            <w:t>六、有关建议</w:t>
          </w:r>
          <w:r>
            <w:rPr>
              <w:color w:val="auto"/>
              <w:highlight w:val="none"/>
            </w:rPr>
            <w:tab/>
          </w:r>
          <w:r>
            <w:rPr>
              <w:color w:val="auto"/>
              <w:highlight w:val="none"/>
            </w:rPr>
            <w:fldChar w:fldCharType="begin"/>
          </w:r>
          <w:r>
            <w:rPr>
              <w:color w:val="auto"/>
              <w:highlight w:val="none"/>
            </w:rPr>
            <w:instrText xml:space="preserve"> PAGEREF _Toc196487570 \h </w:instrText>
          </w:r>
          <w:r>
            <w:rPr>
              <w:color w:val="auto"/>
              <w:highlight w:val="none"/>
            </w:rPr>
            <w:fldChar w:fldCharType="separate"/>
          </w:r>
          <w:r>
            <w:rPr>
              <w:color w:val="auto"/>
              <w:highlight w:val="none"/>
            </w:rPr>
            <w:t>22</w:t>
          </w:r>
          <w:r>
            <w:rPr>
              <w:color w:val="auto"/>
              <w:highlight w:val="none"/>
            </w:rPr>
            <w:fldChar w:fldCharType="end"/>
          </w:r>
          <w:r>
            <w:rPr>
              <w:color w:val="auto"/>
              <w:highlight w:val="none"/>
            </w:rPr>
            <w:fldChar w:fldCharType="end"/>
          </w:r>
        </w:p>
        <w:p w14:paraId="1A16095D">
          <w:pPr>
            <w:pStyle w:val="12"/>
            <w:tabs>
              <w:tab w:val="right" w:leader="dot" w:pos="8296"/>
            </w:tabs>
            <w:ind w:firstLine="560"/>
            <w:rPr>
              <w:rFonts w:asciiTheme="minorHAnsi" w:hAnsiTheme="minorHAnsi" w:eastAsiaTheme="minorEastAsia" w:cstheme="minorBidi"/>
              <w:color w:val="auto"/>
              <w:sz w:val="21"/>
              <w:highlight w:val="none"/>
            </w:rPr>
          </w:pPr>
          <w:r>
            <w:rPr>
              <w:color w:val="auto"/>
              <w:highlight w:val="none"/>
            </w:rPr>
            <w:fldChar w:fldCharType="begin"/>
          </w:r>
          <w:r>
            <w:rPr>
              <w:color w:val="auto"/>
              <w:highlight w:val="none"/>
            </w:rPr>
            <w:instrText xml:space="preserve"> HYPERLINK \l "_Toc196487571" </w:instrText>
          </w:r>
          <w:r>
            <w:rPr>
              <w:color w:val="auto"/>
              <w:highlight w:val="none"/>
            </w:rPr>
            <w:fldChar w:fldCharType="separate"/>
          </w:r>
          <w:r>
            <w:rPr>
              <w:rStyle w:val="18"/>
              <w:rFonts w:hint="eastAsia" w:ascii="仿宋" w:hAnsi="仿宋" w:eastAsia="仿宋"/>
              <w:color w:val="auto"/>
              <w:highlight w:val="none"/>
              <w:lang w:bidi="en-US"/>
            </w:rPr>
            <w:t>七、其他需要说明的问题</w:t>
          </w:r>
          <w:r>
            <w:rPr>
              <w:color w:val="auto"/>
              <w:highlight w:val="none"/>
            </w:rPr>
            <w:tab/>
          </w:r>
          <w:r>
            <w:rPr>
              <w:color w:val="auto"/>
              <w:highlight w:val="none"/>
            </w:rPr>
            <w:fldChar w:fldCharType="begin"/>
          </w:r>
          <w:r>
            <w:rPr>
              <w:color w:val="auto"/>
              <w:highlight w:val="none"/>
            </w:rPr>
            <w:instrText xml:space="preserve"> PAGEREF _Toc196487571 \h </w:instrText>
          </w:r>
          <w:r>
            <w:rPr>
              <w:color w:val="auto"/>
              <w:highlight w:val="none"/>
            </w:rPr>
            <w:fldChar w:fldCharType="separate"/>
          </w:r>
          <w:r>
            <w:rPr>
              <w:color w:val="auto"/>
              <w:highlight w:val="none"/>
            </w:rPr>
            <w:t>23</w:t>
          </w:r>
          <w:r>
            <w:rPr>
              <w:color w:val="auto"/>
              <w:highlight w:val="none"/>
            </w:rPr>
            <w:fldChar w:fldCharType="end"/>
          </w:r>
          <w:r>
            <w:rPr>
              <w:color w:val="auto"/>
              <w:highlight w:val="none"/>
            </w:rPr>
            <w:fldChar w:fldCharType="end"/>
          </w:r>
        </w:p>
        <w:p w14:paraId="7F5F5B76">
          <w:pPr>
            <w:ind w:firstLine="562"/>
            <w:rPr>
              <w:color w:val="auto"/>
              <w:highlight w:val="none"/>
            </w:rPr>
          </w:pPr>
          <w:r>
            <w:rPr>
              <w:b/>
              <w:bCs/>
              <w:color w:val="auto"/>
              <w:highlight w:val="none"/>
              <w:lang w:val="zh-CN"/>
            </w:rPr>
            <w:fldChar w:fldCharType="end"/>
          </w:r>
        </w:p>
      </w:sdtContent>
    </w:sdt>
    <w:p w14:paraId="59F7692E">
      <w:pPr>
        <w:ind w:firstLine="598" w:firstLineChars="187"/>
        <w:rPr>
          <w:rFonts w:ascii="仿宋_GB2312" w:hAnsi="Times New Roman" w:cs="Times New Roman"/>
          <w:color w:val="auto"/>
          <w:sz w:val="32"/>
          <w:szCs w:val="32"/>
          <w:highlight w:val="none"/>
          <w:lang w:bidi="en-US"/>
        </w:rPr>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docGrid w:type="lines" w:linePitch="312" w:charSpace="0"/>
        </w:sectPr>
      </w:pPr>
    </w:p>
    <w:p w14:paraId="6EFCD185">
      <w:pPr>
        <w:pStyle w:val="3"/>
        <w:ind w:firstLine="0" w:firstLineChars="0"/>
        <w:jc w:val="left"/>
        <w:rPr>
          <w:rFonts w:ascii="仿宋" w:hAnsi="仿宋" w:eastAsia="仿宋"/>
          <w:color w:val="auto"/>
          <w:sz w:val="36"/>
          <w:szCs w:val="36"/>
          <w:highlight w:val="none"/>
          <w:lang w:bidi="en-US"/>
        </w:rPr>
      </w:pPr>
      <w:bookmarkStart w:id="0" w:name="_Toc67911601"/>
      <w:bookmarkStart w:id="1" w:name="_Toc196487532"/>
      <w:r>
        <w:rPr>
          <w:rFonts w:hint="eastAsia" w:ascii="仿宋" w:hAnsi="仿宋" w:eastAsia="仿宋"/>
          <w:color w:val="auto"/>
          <w:sz w:val="36"/>
          <w:szCs w:val="36"/>
          <w:highlight w:val="none"/>
          <w:lang w:bidi="en-US"/>
        </w:rPr>
        <w:t>一、基本情况</w:t>
      </w:r>
      <w:bookmarkEnd w:id="0"/>
      <w:bookmarkEnd w:id="1"/>
    </w:p>
    <w:p w14:paraId="6352A89B">
      <w:pPr>
        <w:spacing w:line="560" w:lineRule="exact"/>
        <w:ind w:firstLine="560" w:firstLineChars="200"/>
        <w:rPr>
          <w:rFonts w:hint="eastAsia" w:ascii="仿宋_GB2312"/>
          <w:color w:val="auto"/>
          <w:highlight w:val="none"/>
          <w:lang w:eastAsia="zh-CN"/>
        </w:rPr>
      </w:pPr>
      <w:bookmarkStart w:id="2" w:name="_Toc196487533"/>
      <w:bookmarkStart w:id="3" w:name="_Toc67911602"/>
      <w:r>
        <w:rPr>
          <w:rFonts w:hint="eastAsia" w:ascii="仿宋" w:hAnsi="仿宋" w:eastAsia="仿宋"/>
          <w:color w:val="auto"/>
          <w:highlight w:val="none"/>
          <w:lang w:bidi="en-US"/>
        </w:rPr>
        <w:t>（一）项目概况：</w:t>
      </w:r>
      <w:bookmarkEnd w:id="2"/>
      <w:bookmarkEnd w:id="3"/>
      <w:r>
        <w:rPr>
          <w:rFonts w:hint="eastAsia" w:ascii="仿宋_GB2312" w:hAnsi="仿宋_GB2312" w:eastAsia="仿宋_GB2312" w:cs="仿宋_GB2312"/>
          <w:color w:val="auto"/>
          <w:sz w:val="30"/>
          <w:szCs w:val="30"/>
          <w:highlight w:val="none"/>
          <w:lang w:eastAsia="zh-CN"/>
        </w:rPr>
        <w:t>军</w:t>
      </w:r>
      <w:r>
        <w:rPr>
          <w:rFonts w:hint="eastAsia" w:ascii="仿宋_GB2312"/>
          <w:color w:val="auto"/>
          <w:highlight w:val="none"/>
          <w:lang w:eastAsia="zh-CN"/>
        </w:rPr>
        <w:t>队无军籍退休退职职工服务管理办法（</w:t>
      </w:r>
      <w:r>
        <w:rPr>
          <w:rFonts w:hint="eastAsia" w:ascii="仿宋_GB2312"/>
          <w:color w:val="auto"/>
          <w:highlight w:val="none"/>
          <w:lang w:val="en-US" w:eastAsia="zh-CN"/>
        </w:rPr>
        <w:t>2015年11月30日民政部部务会议通过2015年12月17日中华人民共和国民政部令第57号公布自2016年2月1日起施行</w:t>
      </w:r>
      <w:r>
        <w:rPr>
          <w:rFonts w:hint="eastAsia" w:ascii="仿宋_GB2312"/>
          <w:color w:val="auto"/>
          <w:highlight w:val="none"/>
          <w:lang w:eastAsia="zh-CN"/>
        </w:rPr>
        <w:t>）无军籍退休退职职工，是指已移交政府安置的中国人民解放军和中国人民武装警察部队无军籍退休退职职工，无军籍职工服务管理应当从维护无军籍职工的合法权益出发，贯彻执行国家关于无军籍职工的政策，完善无军籍职工服务管理机制，落实无军籍职工生活待遇，发放无军籍职工退休退职费和津贴补贴，落实无军籍职工医疗待遇。</w:t>
      </w:r>
    </w:p>
    <w:p w14:paraId="20D60B5C">
      <w:pPr>
        <w:pStyle w:val="5"/>
        <w:ind w:left="0" w:leftChars="0" w:firstLine="0" w:firstLineChars="0"/>
        <w:rPr>
          <w:color w:val="auto"/>
          <w:highlight w:val="none"/>
        </w:rPr>
      </w:pPr>
      <w:bookmarkStart w:id="4" w:name="_Toc196487534"/>
      <w:r>
        <w:rPr>
          <w:rFonts w:hint="eastAsia"/>
          <w:color w:val="auto"/>
          <w:highlight w:val="none"/>
        </w:rPr>
        <w:t>1．项目背景、主要内容及实施情况</w:t>
      </w:r>
      <w:bookmarkEnd w:id="4"/>
    </w:p>
    <w:p w14:paraId="58CBEFBD">
      <w:pPr>
        <w:spacing w:line="360" w:lineRule="auto"/>
        <w:ind w:firstLine="560"/>
        <w:rPr>
          <w:rFonts w:ascii="仿宋_GB2312"/>
          <w:color w:val="auto"/>
          <w:highlight w:val="none"/>
        </w:rPr>
      </w:pPr>
      <w:r>
        <w:rPr>
          <w:rFonts w:hint="eastAsia" w:ascii="仿宋_GB2312"/>
          <w:color w:val="auto"/>
          <w:highlight w:val="none"/>
        </w:rPr>
        <w:t>该项目实施背景：</w:t>
      </w:r>
    </w:p>
    <w:p w14:paraId="1700185A">
      <w:pPr>
        <w:spacing w:line="360" w:lineRule="auto"/>
        <w:ind w:firstLine="560"/>
        <w:rPr>
          <w:rFonts w:hint="eastAsia" w:ascii="仿宋_GB2312"/>
          <w:color w:val="auto"/>
          <w:highlight w:val="none"/>
        </w:rPr>
      </w:pPr>
      <w:r>
        <w:rPr>
          <w:rFonts w:ascii="仿宋_GB2312"/>
          <w:color w:val="auto"/>
          <w:highlight w:val="none"/>
        </w:rPr>
        <w:t>项目</w:t>
      </w:r>
      <w:r>
        <w:rPr>
          <w:rFonts w:hint="eastAsia" w:ascii="仿宋_GB2312"/>
          <w:color w:val="auto"/>
          <w:highlight w:val="none"/>
        </w:rPr>
        <w:t>2024</w:t>
      </w:r>
      <w:r>
        <w:rPr>
          <w:rFonts w:ascii="仿宋_GB2312"/>
          <w:color w:val="auto"/>
          <w:highlight w:val="none"/>
        </w:rPr>
        <w:t>年的主要实施内容：</w:t>
      </w:r>
      <w:r>
        <w:rPr>
          <w:rFonts w:hint="eastAsia" w:ascii="仿宋_GB2312"/>
          <w:color w:val="auto"/>
          <w:highlight w:val="none"/>
        </w:rPr>
        <w:t>①</w:t>
      </w:r>
      <w:r>
        <w:rPr>
          <w:rFonts w:hint="eastAsia" w:ascii="仿宋_GB2312"/>
          <w:color w:val="auto"/>
          <w:highlight w:val="none"/>
          <w:lang w:eastAsia="zh-CN"/>
        </w:rPr>
        <w:t>无军籍职工人数</w:t>
      </w:r>
      <w:r>
        <w:rPr>
          <w:rFonts w:hint="eastAsia" w:ascii="仿宋_GB2312"/>
          <w:color w:val="auto"/>
          <w:highlight w:val="none"/>
          <w:lang w:val="en-US" w:eastAsia="zh-CN"/>
        </w:rPr>
        <w:t>295人，在</w:t>
      </w:r>
      <w:r>
        <w:rPr>
          <w:rFonts w:hint="eastAsia" w:ascii="仿宋_GB2312"/>
          <w:color w:val="auto"/>
          <w:highlight w:val="none"/>
          <w:lang w:eastAsia="zh-CN"/>
        </w:rPr>
        <w:t>每月</w:t>
      </w:r>
      <w:r>
        <w:rPr>
          <w:rFonts w:hint="eastAsia" w:ascii="仿宋_GB2312"/>
          <w:color w:val="auto"/>
          <w:highlight w:val="none"/>
          <w:lang w:val="en-US" w:eastAsia="zh-CN"/>
        </w:rPr>
        <w:t>15日之前</w:t>
      </w:r>
      <w:r>
        <w:rPr>
          <w:rFonts w:hint="eastAsia" w:ascii="仿宋_GB2312"/>
          <w:color w:val="auto"/>
          <w:highlight w:val="none"/>
          <w:lang w:eastAsia="zh-CN"/>
        </w:rPr>
        <w:t>发放无军籍职工退休退职费和津贴补贴，无军籍职工医疗补助。</w:t>
      </w:r>
    </w:p>
    <w:p w14:paraId="7A6B5D36">
      <w:pPr>
        <w:spacing w:line="360" w:lineRule="auto"/>
        <w:ind w:firstLine="560"/>
        <w:rPr>
          <w:rFonts w:hint="eastAsia" w:ascii="仿宋_GB2312"/>
          <w:color w:val="auto"/>
          <w:highlight w:val="none"/>
        </w:rPr>
      </w:pPr>
      <w:r>
        <w:rPr>
          <w:rFonts w:hint="eastAsia" w:ascii="仿宋_GB2312"/>
          <w:color w:val="auto"/>
          <w:highlight w:val="none"/>
        </w:rPr>
        <w:t>实际完成情况。项目目前已经完成实际设立的目标，项目在实施过程中严格按照目标设立的各阶段任务进行</w:t>
      </w:r>
      <w:r>
        <w:rPr>
          <w:rFonts w:hint="eastAsia" w:ascii="仿宋_GB2312"/>
          <w:color w:val="auto"/>
          <w:highlight w:val="none"/>
          <w:lang w:eastAsia="zh-CN"/>
        </w:rPr>
        <w:t>，每月</w:t>
      </w:r>
      <w:r>
        <w:rPr>
          <w:rFonts w:hint="eastAsia" w:ascii="仿宋_GB2312"/>
          <w:color w:val="auto"/>
          <w:highlight w:val="none"/>
          <w:lang w:val="en-US" w:eastAsia="zh-CN"/>
        </w:rPr>
        <w:t>15日之前及时将无军籍退休职工津贴补贴发放到位。项目预算1647.7万元，实际执行数为1365.06万元，执行率82.9%</w:t>
      </w:r>
    </w:p>
    <w:p w14:paraId="20F9E2DF">
      <w:pPr>
        <w:spacing w:line="360" w:lineRule="auto"/>
        <w:ind w:firstLine="560"/>
        <w:rPr>
          <w:rFonts w:hint="eastAsia" w:ascii="仿宋_GB2312"/>
          <w:color w:val="auto"/>
          <w:highlight w:val="none"/>
        </w:rPr>
      </w:pPr>
      <w:bookmarkStart w:id="5" w:name="_Toc196487535"/>
      <w:r>
        <w:rPr>
          <w:rFonts w:hint="eastAsia" w:ascii="仿宋_GB2312"/>
          <w:color w:val="auto"/>
          <w:highlight w:val="none"/>
        </w:rPr>
        <w:t>2.资金投入和使用情况</w:t>
      </w:r>
      <w:bookmarkEnd w:id="5"/>
    </w:p>
    <w:p w14:paraId="2164FD4B">
      <w:pPr>
        <w:spacing w:line="360" w:lineRule="auto"/>
        <w:ind w:firstLine="560"/>
        <w:rPr>
          <w:rFonts w:hint="default" w:ascii="仿宋_GB2312"/>
          <w:color w:val="auto"/>
          <w:highlight w:val="none"/>
          <w:lang w:val="en-US" w:eastAsia="zh-CN"/>
        </w:rPr>
      </w:pPr>
      <w:r>
        <w:rPr>
          <w:rFonts w:hint="eastAsia" w:ascii="仿宋_GB2312"/>
          <w:color w:val="auto"/>
          <w:highlight w:val="none"/>
        </w:rPr>
        <w:t>该项目资金投入情况：</w:t>
      </w:r>
      <w:r>
        <w:rPr>
          <w:rFonts w:hint="default" w:ascii="仿宋_GB2312"/>
          <w:color w:val="auto"/>
          <w:highlight w:val="none"/>
          <w:lang w:val="en-US" w:eastAsia="zh-CN"/>
        </w:rPr>
        <w:t>【乌财社[2023]221号关于提前下达2024年中央财政退役安置补助经费预算的通知】</w:t>
      </w:r>
      <w:r>
        <w:rPr>
          <w:rFonts w:hint="eastAsia" w:ascii="仿宋_GB2312"/>
          <w:color w:val="auto"/>
          <w:highlight w:val="none"/>
          <w:lang w:val="en-US" w:eastAsia="zh-CN"/>
        </w:rPr>
        <w:t>项目系</w:t>
      </w:r>
      <w:r>
        <w:rPr>
          <w:rFonts w:hint="default" w:ascii="仿宋_GB2312"/>
          <w:color w:val="auto"/>
          <w:highlight w:val="none"/>
          <w:lang w:val="en-US" w:eastAsia="zh-CN"/>
        </w:rPr>
        <w:t>2024</w:t>
      </w:r>
      <w:r>
        <w:rPr>
          <w:rFonts w:hint="eastAsia" w:ascii="仿宋_GB2312"/>
          <w:color w:val="auto"/>
          <w:highlight w:val="none"/>
          <w:lang w:val="en-US" w:eastAsia="zh-CN"/>
        </w:rPr>
        <w:t>年中央资金，共安排预算1647.7万元，预算无追加及调整。</w:t>
      </w:r>
    </w:p>
    <w:p w14:paraId="25D426B4">
      <w:pPr>
        <w:spacing w:line="360" w:lineRule="auto"/>
        <w:ind w:firstLine="560"/>
        <w:rPr>
          <w:rFonts w:hint="eastAsia" w:ascii="仿宋_GB2312"/>
          <w:color w:val="auto"/>
          <w:highlight w:val="none"/>
        </w:rPr>
      </w:pPr>
      <w:r>
        <w:rPr>
          <w:rFonts w:hint="eastAsia" w:ascii="仿宋_GB2312"/>
          <w:color w:val="auto"/>
          <w:highlight w:val="none"/>
        </w:rPr>
        <w:t>该项目资金使用情况：该项目年初预算数</w:t>
      </w:r>
      <w:r>
        <w:rPr>
          <w:rFonts w:hint="eastAsia" w:ascii="仿宋_GB2312"/>
          <w:color w:val="auto"/>
          <w:highlight w:val="none"/>
          <w:lang w:val="en-US" w:eastAsia="zh-CN"/>
        </w:rPr>
        <w:t>1647.7</w:t>
      </w:r>
      <w:r>
        <w:rPr>
          <w:rFonts w:hint="eastAsia" w:ascii="仿宋_GB2312"/>
          <w:color w:val="auto"/>
          <w:highlight w:val="none"/>
        </w:rPr>
        <w:t>万元，全年预算数</w:t>
      </w:r>
      <w:r>
        <w:rPr>
          <w:rFonts w:hint="eastAsia" w:ascii="仿宋_GB2312"/>
          <w:color w:val="auto"/>
          <w:highlight w:val="none"/>
          <w:lang w:val="en-US" w:eastAsia="zh-CN"/>
        </w:rPr>
        <w:t>1647.7</w:t>
      </w:r>
      <w:r>
        <w:rPr>
          <w:rFonts w:hint="eastAsia" w:ascii="仿宋_GB2312"/>
          <w:color w:val="auto"/>
          <w:highlight w:val="none"/>
        </w:rPr>
        <w:t>万元,，全年执行数</w:t>
      </w:r>
      <w:r>
        <w:rPr>
          <w:rFonts w:hint="eastAsia" w:ascii="仿宋_GB2312"/>
          <w:color w:val="auto"/>
          <w:highlight w:val="none"/>
          <w:lang w:val="en-US" w:eastAsia="zh-CN"/>
        </w:rPr>
        <w:t>1365.06</w:t>
      </w:r>
      <w:r>
        <w:rPr>
          <w:rFonts w:hint="eastAsia" w:ascii="仿宋_GB2312"/>
          <w:color w:val="auto"/>
          <w:highlight w:val="none"/>
        </w:rPr>
        <w:t>万元，预算执行率为</w:t>
      </w:r>
      <w:r>
        <w:rPr>
          <w:rFonts w:hint="eastAsia" w:ascii="仿宋_GB2312"/>
          <w:color w:val="auto"/>
          <w:highlight w:val="none"/>
          <w:lang w:val="en-US" w:eastAsia="zh-CN"/>
        </w:rPr>
        <w:t>82.9</w:t>
      </w:r>
      <w:r>
        <w:rPr>
          <w:rFonts w:hint="eastAsia" w:ascii="仿宋_GB2312"/>
          <w:color w:val="auto"/>
          <w:highlight w:val="none"/>
        </w:rPr>
        <w:t>%，主要用于：</w:t>
      </w:r>
      <w:r>
        <w:rPr>
          <w:rFonts w:hint="eastAsia" w:ascii="仿宋_GB2312"/>
          <w:color w:val="auto"/>
          <w:highlight w:val="none"/>
          <w:lang w:eastAsia="zh-CN"/>
        </w:rPr>
        <w:t>每月给无军籍退休职工发放津贴补贴</w:t>
      </w:r>
      <w:r>
        <w:rPr>
          <w:rFonts w:hint="eastAsia" w:ascii="仿宋_GB2312"/>
          <w:color w:val="auto"/>
          <w:highlight w:val="none"/>
        </w:rPr>
        <w:t>。</w:t>
      </w:r>
    </w:p>
    <w:p w14:paraId="25769A44">
      <w:pPr>
        <w:pStyle w:val="4"/>
        <w:ind w:left="0" w:leftChars="0" w:firstLine="0" w:firstLineChars="0"/>
        <w:rPr>
          <w:rFonts w:ascii="仿宋" w:hAnsi="仿宋" w:eastAsia="仿宋"/>
          <w:color w:val="auto"/>
          <w:highlight w:val="none"/>
          <w:lang w:bidi="en-US"/>
        </w:rPr>
      </w:pPr>
      <w:bookmarkStart w:id="6" w:name="_Toc196487536"/>
      <w:bookmarkStart w:id="7" w:name="_Toc67911603"/>
      <w:r>
        <w:rPr>
          <w:rFonts w:hint="eastAsia" w:ascii="仿宋" w:hAnsi="仿宋" w:eastAsia="仿宋"/>
          <w:color w:val="auto"/>
          <w:highlight w:val="none"/>
          <w:lang w:bidi="en-US"/>
        </w:rPr>
        <w:t>（二）项目绩效目标：</w:t>
      </w:r>
      <w:bookmarkEnd w:id="6"/>
      <w:bookmarkEnd w:id="7"/>
    </w:p>
    <w:p w14:paraId="397B9889">
      <w:pPr>
        <w:spacing w:line="360" w:lineRule="auto"/>
        <w:ind w:firstLine="560"/>
        <w:rPr>
          <w:rFonts w:ascii="仿宋_GB2312" w:hAnsi="仿宋"/>
          <w:color w:val="auto"/>
          <w:szCs w:val="28"/>
          <w:highlight w:val="none"/>
        </w:rPr>
      </w:pPr>
      <w:r>
        <w:rPr>
          <w:rFonts w:hint="eastAsia" w:ascii="仿宋_GB2312" w:hAnsi="仿宋"/>
          <w:color w:val="auto"/>
          <w:szCs w:val="28"/>
          <w:highlight w:val="none"/>
        </w:rPr>
        <w:t>本项目依据《中共中央 国务院关于全面实施预算绩效管理的意见》（中发〔2018〕</w:t>
      </w:r>
      <w:r>
        <w:rPr>
          <w:rFonts w:ascii="仿宋_GB2312" w:hAnsi="仿宋"/>
          <w:color w:val="auto"/>
          <w:szCs w:val="28"/>
          <w:highlight w:val="none"/>
        </w:rPr>
        <w:t>34</w:t>
      </w:r>
      <w:r>
        <w:rPr>
          <w:rFonts w:hint="eastAsia" w:ascii="仿宋_GB2312" w:hAnsi="仿宋"/>
          <w:color w:val="auto"/>
          <w:szCs w:val="28"/>
          <w:highlight w:val="none"/>
        </w:rPr>
        <w:t>号）、《关于印发&lt;乌鲁木齐市本级部门预算绩效目标管理暂行办法</w:t>
      </w:r>
      <w:r>
        <w:rPr>
          <w:rFonts w:ascii="仿宋_GB2312" w:hAnsi="仿宋"/>
          <w:color w:val="auto"/>
          <w:szCs w:val="28"/>
          <w:highlight w:val="none"/>
        </w:rPr>
        <w:t>&gt;</w:t>
      </w:r>
      <w:r>
        <w:rPr>
          <w:rFonts w:hint="eastAsia" w:ascii="仿宋_GB2312" w:hAnsi="仿宋"/>
          <w:color w:val="auto"/>
          <w:szCs w:val="28"/>
          <w:highlight w:val="none"/>
        </w:rPr>
        <w:t>的通知》（乌财预</w:t>
      </w:r>
      <w:bookmarkStart w:id="8" w:name="_Hlk67566397"/>
      <w:r>
        <w:rPr>
          <w:rFonts w:hint="eastAsia" w:ascii="仿宋_GB2312" w:hAnsi="仿宋"/>
          <w:color w:val="auto"/>
          <w:szCs w:val="28"/>
          <w:highlight w:val="none"/>
        </w:rPr>
        <w:t>〔2018〕</w:t>
      </w:r>
      <w:r>
        <w:rPr>
          <w:rFonts w:ascii="仿宋_GB2312" w:hAnsi="仿宋"/>
          <w:color w:val="auto"/>
          <w:szCs w:val="28"/>
          <w:highlight w:val="none"/>
        </w:rPr>
        <w:t>5</w:t>
      </w:r>
      <w:r>
        <w:rPr>
          <w:rFonts w:hint="eastAsia" w:ascii="仿宋_GB2312" w:hAnsi="仿宋"/>
          <w:color w:val="auto"/>
          <w:szCs w:val="28"/>
          <w:highlight w:val="none"/>
        </w:rPr>
        <w:t>6号</w:t>
      </w:r>
      <w:bookmarkEnd w:id="8"/>
      <w:r>
        <w:rPr>
          <w:rFonts w:hint="eastAsia" w:ascii="仿宋_GB2312" w:hAnsi="仿宋"/>
          <w:color w:val="auto"/>
          <w:szCs w:val="28"/>
          <w:highlight w:val="none"/>
        </w:rPr>
        <w:t>）、《关于做好2</w:t>
      </w:r>
      <w:r>
        <w:rPr>
          <w:rFonts w:ascii="仿宋_GB2312" w:hAnsi="仿宋"/>
          <w:color w:val="auto"/>
          <w:szCs w:val="28"/>
          <w:highlight w:val="none"/>
        </w:rPr>
        <w:t>019</w:t>
      </w:r>
      <w:r>
        <w:rPr>
          <w:rFonts w:hint="eastAsia" w:ascii="仿宋_GB2312" w:hAnsi="仿宋"/>
          <w:color w:val="auto"/>
          <w:szCs w:val="28"/>
          <w:highlight w:val="none"/>
        </w:rPr>
        <w:t>年部门预算项目支出绩效目标管理有关事宜的通知》（乌财预〔20</w:t>
      </w:r>
      <w:r>
        <w:rPr>
          <w:rFonts w:ascii="仿宋_GB2312" w:hAnsi="仿宋"/>
          <w:color w:val="auto"/>
          <w:szCs w:val="28"/>
          <w:highlight w:val="none"/>
        </w:rPr>
        <w:t>18</w:t>
      </w:r>
      <w:r>
        <w:rPr>
          <w:rFonts w:hint="eastAsia" w:ascii="仿宋_GB2312" w:hAnsi="仿宋"/>
          <w:color w:val="auto"/>
          <w:szCs w:val="28"/>
          <w:highlight w:val="none"/>
        </w:rPr>
        <w:t>〕</w:t>
      </w:r>
      <w:r>
        <w:rPr>
          <w:rFonts w:ascii="仿宋_GB2312" w:hAnsi="仿宋"/>
          <w:color w:val="auto"/>
          <w:szCs w:val="28"/>
          <w:highlight w:val="none"/>
        </w:rPr>
        <w:t>76</w:t>
      </w:r>
      <w:r>
        <w:rPr>
          <w:rFonts w:hint="eastAsia" w:ascii="仿宋_GB2312" w:hAnsi="仿宋"/>
          <w:color w:val="auto"/>
          <w:szCs w:val="28"/>
          <w:highlight w:val="none"/>
        </w:rPr>
        <w:t>号）和《项目支出绩效评价管理办法》（财预〔20</w:t>
      </w:r>
      <w:r>
        <w:rPr>
          <w:rFonts w:ascii="仿宋_GB2312" w:hAnsi="仿宋"/>
          <w:color w:val="auto"/>
          <w:szCs w:val="28"/>
          <w:highlight w:val="none"/>
        </w:rPr>
        <w:t>20</w:t>
      </w:r>
      <w:r>
        <w:rPr>
          <w:rFonts w:hint="eastAsia" w:ascii="仿宋_GB2312" w:hAnsi="仿宋"/>
          <w:color w:val="auto"/>
          <w:szCs w:val="28"/>
          <w:highlight w:val="none"/>
        </w:rPr>
        <w:t>〕</w:t>
      </w:r>
      <w:r>
        <w:rPr>
          <w:rFonts w:ascii="仿宋_GB2312" w:hAnsi="仿宋"/>
          <w:color w:val="auto"/>
          <w:szCs w:val="28"/>
          <w:highlight w:val="none"/>
        </w:rPr>
        <w:t>10</w:t>
      </w:r>
      <w:r>
        <w:rPr>
          <w:rFonts w:hint="eastAsia" w:ascii="仿宋_GB2312" w:hAnsi="仿宋"/>
          <w:color w:val="auto"/>
          <w:szCs w:val="28"/>
          <w:highlight w:val="none"/>
        </w:rPr>
        <w:t>号）等文件要求，结合项目开展情况，按照“谁申请资金，谁编制目标”的原则和规定的方法、程序，科学合理编制。绩效目标作为对预期指标的细化和量化描述，主要包括产出指标、效益指标和满意度指标。按照指向明确、细化量化、合理可行和相应匹配的要求，设定三级绩效目标（数量指标、质量指标、时效指标、成本指标、效益指标、满意度指标），以准确、清晰地反映财政资金在使用期所能达到的预期产出和效果。</w:t>
      </w:r>
    </w:p>
    <w:p w14:paraId="3C611D50">
      <w:pPr>
        <w:spacing w:line="360" w:lineRule="auto"/>
        <w:ind w:firstLine="560"/>
        <w:rPr>
          <w:rFonts w:ascii="仿宋_GB2312" w:hAnsi="仿宋"/>
          <w:color w:val="auto"/>
          <w:szCs w:val="28"/>
          <w:highlight w:val="none"/>
        </w:rPr>
      </w:pPr>
      <w:r>
        <w:rPr>
          <w:rFonts w:hint="eastAsia" w:ascii="仿宋_GB2312" w:hAnsi="仿宋"/>
          <w:color w:val="auto"/>
          <w:szCs w:val="28"/>
          <w:highlight w:val="none"/>
        </w:rPr>
        <w:t>该项目</w:t>
      </w:r>
      <w:r>
        <w:rPr>
          <w:rFonts w:ascii="仿宋_GB2312" w:hAnsi="仿宋"/>
          <w:color w:val="auto"/>
          <w:szCs w:val="28"/>
          <w:highlight w:val="none"/>
        </w:rPr>
        <w:t>为经常性项目。</w:t>
      </w:r>
    </w:p>
    <w:p w14:paraId="25046069">
      <w:pPr>
        <w:spacing w:line="360" w:lineRule="auto"/>
        <w:ind w:firstLine="560"/>
        <w:rPr>
          <w:rFonts w:hint="eastAsia" w:ascii="仿宋_GB2312" w:hAnsi="仿宋"/>
          <w:color w:val="auto"/>
          <w:szCs w:val="28"/>
          <w:highlight w:val="none"/>
        </w:rPr>
      </w:pPr>
      <w:r>
        <w:rPr>
          <w:rFonts w:hint="eastAsia" w:ascii="仿宋_GB2312" w:hAnsi="仿宋"/>
          <w:color w:val="auto"/>
          <w:szCs w:val="28"/>
          <w:highlight w:val="none"/>
        </w:rPr>
        <w:t>该项目总体绩效目标：</w:t>
      </w:r>
      <w:r>
        <w:rPr>
          <w:rFonts w:hint="eastAsia" w:ascii="仿宋_GB2312" w:hAnsi="仿宋"/>
          <w:color w:val="auto"/>
          <w:szCs w:val="28"/>
          <w:highlight w:val="none"/>
          <w:lang w:val="en-US" w:eastAsia="zh-CN"/>
        </w:rPr>
        <w:t>无军籍退休退职职工津贴补贴项目</w:t>
      </w:r>
      <w:r>
        <w:rPr>
          <w:rFonts w:hint="eastAsia" w:ascii="仿宋_GB2312" w:hAnsi="仿宋"/>
          <w:color w:val="auto"/>
          <w:szCs w:val="28"/>
          <w:highlight w:val="none"/>
        </w:rPr>
        <w:t>，</w:t>
      </w:r>
      <w:r>
        <w:rPr>
          <w:rFonts w:hint="eastAsia" w:ascii="仿宋_GB2312" w:hAnsi="仿宋"/>
          <w:color w:val="auto"/>
          <w:szCs w:val="28"/>
          <w:highlight w:val="none"/>
          <w:lang w:val="en-US" w:eastAsia="zh-CN"/>
        </w:rPr>
        <w:t>拨付金额1647.7万元，人均年度发放补贴5.585万元，每月按时发放津贴，保障无军籍职工基本生活及医疗。</w:t>
      </w:r>
      <w:r>
        <w:rPr>
          <w:rFonts w:hint="eastAsia" w:ascii="仿宋_GB2312" w:hAnsi="仿宋"/>
          <w:color w:val="auto"/>
          <w:szCs w:val="28"/>
          <w:highlight w:val="none"/>
        </w:rPr>
        <w:t>。</w:t>
      </w:r>
    </w:p>
    <w:p w14:paraId="461DD2FF">
      <w:pPr>
        <w:spacing w:line="360" w:lineRule="auto"/>
        <w:ind w:firstLine="560"/>
        <w:rPr>
          <w:rFonts w:hint="eastAsia" w:ascii="仿宋_GB2312" w:hAnsi="仿宋"/>
          <w:color w:val="auto"/>
          <w:szCs w:val="28"/>
          <w:highlight w:val="none"/>
        </w:rPr>
      </w:pPr>
      <w:r>
        <w:rPr>
          <w:rFonts w:hint="eastAsia" w:ascii="仿宋_GB2312" w:hAnsi="仿宋"/>
          <w:color w:val="auto"/>
          <w:szCs w:val="28"/>
          <w:highlight w:val="none"/>
        </w:rPr>
        <w:t>该项目阶段性目标为：</w:t>
      </w:r>
      <w:r>
        <w:rPr>
          <w:rFonts w:hint="eastAsia" w:ascii="仿宋_GB2312" w:hAnsi="仿宋"/>
          <w:color w:val="auto"/>
          <w:szCs w:val="28"/>
          <w:highlight w:val="none"/>
          <w:lang w:val="en-US" w:eastAsia="zh-CN"/>
        </w:rPr>
        <w:t>无军籍退休退职职工津贴补贴项目</w:t>
      </w:r>
      <w:r>
        <w:rPr>
          <w:rFonts w:hint="eastAsia" w:ascii="仿宋_GB2312" w:hAnsi="仿宋"/>
          <w:color w:val="auto"/>
          <w:szCs w:val="28"/>
          <w:highlight w:val="none"/>
        </w:rPr>
        <w:t>，</w:t>
      </w:r>
      <w:r>
        <w:rPr>
          <w:rFonts w:hint="eastAsia" w:ascii="仿宋_GB2312" w:hAnsi="仿宋"/>
          <w:color w:val="auto"/>
          <w:szCs w:val="28"/>
          <w:highlight w:val="none"/>
          <w:lang w:val="en-US" w:eastAsia="zh-CN"/>
        </w:rPr>
        <w:t>拨付金额1647.7万元，人均年度发放补贴5.585万元，每月按时发放津贴，保障无军籍职工基本生活及医疗。</w:t>
      </w:r>
    </w:p>
    <w:p w14:paraId="45A0C32D">
      <w:pPr>
        <w:pStyle w:val="3"/>
        <w:ind w:firstLine="0" w:firstLineChars="0"/>
        <w:jc w:val="left"/>
        <w:rPr>
          <w:rFonts w:ascii="仿宋" w:hAnsi="仿宋" w:eastAsia="仿宋"/>
          <w:color w:val="auto"/>
          <w:sz w:val="36"/>
          <w:szCs w:val="36"/>
          <w:highlight w:val="none"/>
          <w:lang w:bidi="en-US"/>
        </w:rPr>
      </w:pPr>
      <w:bookmarkStart w:id="9" w:name="_Toc67911604"/>
      <w:bookmarkStart w:id="10" w:name="_Toc196487537"/>
      <w:r>
        <w:rPr>
          <w:rFonts w:hint="eastAsia" w:ascii="仿宋" w:hAnsi="仿宋" w:eastAsia="仿宋"/>
          <w:color w:val="auto"/>
          <w:sz w:val="36"/>
          <w:szCs w:val="36"/>
          <w:highlight w:val="none"/>
          <w:lang w:bidi="en-US"/>
        </w:rPr>
        <w:t>二、绩效评价工作开展情况</w:t>
      </w:r>
      <w:bookmarkEnd w:id="9"/>
      <w:bookmarkEnd w:id="10"/>
    </w:p>
    <w:p w14:paraId="51E52394">
      <w:pPr>
        <w:pStyle w:val="4"/>
        <w:ind w:firstLine="643"/>
        <w:rPr>
          <w:rFonts w:ascii="仿宋" w:hAnsi="仿宋" w:eastAsia="仿宋"/>
          <w:color w:val="auto"/>
          <w:highlight w:val="none"/>
          <w:lang w:bidi="en-US"/>
        </w:rPr>
      </w:pPr>
      <w:bookmarkStart w:id="11" w:name="_Toc67911605"/>
      <w:bookmarkStart w:id="12" w:name="_Toc196487538"/>
      <w:r>
        <w:rPr>
          <w:rFonts w:hint="eastAsia" w:ascii="仿宋" w:hAnsi="仿宋" w:eastAsia="仿宋"/>
          <w:color w:val="auto"/>
          <w:highlight w:val="none"/>
          <w:lang w:bidi="en-US"/>
        </w:rPr>
        <w:t>（一）绩效评价目的、对象和范围</w:t>
      </w:r>
      <w:bookmarkEnd w:id="11"/>
      <w:bookmarkEnd w:id="12"/>
    </w:p>
    <w:p w14:paraId="2D3589A0">
      <w:pPr>
        <w:pStyle w:val="5"/>
        <w:ind w:firstLine="643"/>
        <w:rPr>
          <w:color w:val="auto"/>
          <w:highlight w:val="none"/>
        </w:rPr>
      </w:pPr>
      <w:bookmarkStart w:id="13" w:name="_Toc196487539"/>
      <w:r>
        <w:rPr>
          <w:rFonts w:hint="eastAsia"/>
          <w:color w:val="auto"/>
          <w:highlight w:val="none"/>
        </w:rPr>
        <w:t>1</w:t>
      </w:r>
      <w:r>
        <w:rPr>
          <w:color w:val="auto"/>
          <w:highlight w:val="none"/>
        </w:rPr>
        <w:t>.绩效评价完整性</w:t>
      </w:r>
      <w:bookmarkEnd w:id="13"/>
    </w:p>
    <w:p w14:paraId="3F06D297">
      <w:pPr>
        <w:spacing w:line="360" w:lineRule="auto"/>
        <w:ind w:firstLine="560"/>
        <w:rPr>
          <w:rFonts w:ascii="仿宋_GB2312" w:hAnsi="仿宋"/>
          <w:color w:val="auto"/>
          <w:szCs w:val="28"/>
          <w:highlight w:val="none"/>
        </w:rPr>
      </w:pPr>
      <w:r>
        <w:rPr>
          <w:rFonts w:hint="eastAsia" w:ascii="仿宋_GB2312" w:hAnsi="仿宋"/>
          <w:color w:val="auto"/>
          <w:szCs w:val="28"/>
          <w:highlight w:val="none"/>
        </w:rPr>
        <w:t>首先，需要描述项目的目标、范围和要求是否能够通过绩效评价指标体系完整地体现。</w:t>
      </w:r>
    </w:p>
    <w:p w14:paraId="260991F3">
      <w:pPr>
        <w:spacing w:line="360" w:lineRule="auto"/>
        <w:ind w:firstLine="560"/>
        <w:rPr>
          <w:rFonts w:ascii="仿宋_GB2312" w:hAnsi="仿宋"/>
          <w:color w:val="auto"/>
          <w:szCs w:val="28"/>
          <w:highlight w:val="none"/>
        </w:rPr>
      </w:pPr>
      <w:r>
        <w:rPr>
          <w:rFonts w:ascii="仿宋_GB2312" w:hAnsi="仿宋"/>
          <w:color w:val="auto"/>
          <w:szCs w:val="28"/>
          <w:highlight w:val="none"/>
        </w:rPr>
        <w:t>其次</w:t>
      </w:r>
      <w:r>
        <w:rPr>
          <w:rFonts w:hint="eastAsia" w:ascii="仿宋_GB2312" w:hAnsi="仿宋"/>
          <w:color w:val="auto"/>
          <w:szCs w:val="28"/>
          <w:highlight w:val="none"/>
        </w:rPr>
        <w:t>，应分析项目的计划和执行过程，以便于体现项目的进展情况和完成度。</w:t>
      </w:r>
    </w:p>
    <w:p w14:paraId="0896571D">
      <w:pPr>
        <w:spacing w:line="360" w:lineRule="auto"/>
        <w:ind w:firstLine="560"/>
        <w:rPr>
          <w:rFonts w:ascii="仿宋_GB2312" w:hAnsi="仿宋"/>
          <w:color w:val="auto"/>
          <w:szCs w:val="28"/>
          <w:highlight w:val="none"/>
        </w:rPr>
      </w:pPr>
      <w:r>
        <w:rPr>
          <w:rFonts w:hint="eastAsia" w:ascii="仿宋_GB2312" w:hAnsi="仿宋"/>
          <w:color w:val="auto"/>
          <w:szCs w:val="28"/>
          <w:highlight w:val="none"/>
        </w:rPr>
        <w:t>最后，需要对评价数据的来源、采集能进行描述，以确保数据的准确性和完整性。</w:t>
      </w:r>
    </w:p>
    <w:p w14:paraId="2620754F">
      <w:pPr>
        <w:pStyle w:val="5"/>
        <w:ind w:firstLine="643"/>
        <w:rPr>
          <w:color w:val="auto"/>
          <w:highlight w:val="none"/>
        </w:rPr>
      </w:pPr>
      <w:bookmarkStart w:id="14" w:name="_Toc196487540"/>
      <w:r>
        <w:rPr>
          <w:color w:val="auto"/>
          <w:highlight w:val="none"/>
        </w:rPr>
        <w:t>2</w:t>
      </w:r>
      <w:r>
        <w:rPr>
          <w:rFonts w:hint="eastAsia"/>
          <w:color w:val="auto"/>
          <w:highlight w:val="none"/>
        </w:rPr>
        <w:t>.评价目的</w:t>
      </w:r>
      <w:bookmarkEnd w:id="14"/>
    </w:p>
    <w:p w14:paraId="1DA22015">
      <w:pPr>
        <w:spacing w:line="360" w:lineRule="auto"/>
        <w:ind w:firstLine="560"/>
        <w:rPr>
          <w:rFonts w:hint="eastAsia" w:ascii="仿宋_GB2312"/>
          <w:color w:val="auto"/>
          <w:highlight w:val="none"/>
        </w:rPr>
      </w:pPr>
      <w:r>
        <w:rPr>
          <w:rFonts w:hint="eastAsia" w:ascii="仿宋_GB2312"/>
          <w:color w:val="auto"/>
          <w:highlight w:val="none"/>
        </w:rPr>
        <w:t>本项工作旨在落实《中共中央 国务院关于全面实施预算绩效管理的意见》（中发〔2018〕34号）文件精神，全面推进预算绩效管理工作，落实预算执行及绩效管理主体责任。具体而言包括以下两点：（1）通过对项目设立的背景、意义、项目内容、项目现状及绩效目标、资金投入、资金管理、组织实施、产出指标、成本指标和效益指标等进行深入调研和分析，进一步了解</w:t>
      </w:r>
      <w:r>
        <w:rPr>
          <w:rFonts w:hint="eastAsia" w:ascii="仿宋_GB2312"/>
          <w:color w:val="auto"/>
          <w:highlight w:val="none"/>
          <w:lang w:val="en-US" w:eastAsia="zh-CN"/>
        </w:rPr>
        <w:t>无军籍退休退职职工津贴补贴项目的</w:t>
      </w:r>
      <w:r>
        <w:rPr>
          <w:rFonts w:hint="eastAsia" w:ascii="仿宋_GB2312"/>
          <w:color w:val="auto"/>
          <w:highlight w:val="none"/>
        </w:rPr>
        <w:t>实施情况，并考察项目实施过程和效果。</w:t>
      </w:r>
    </w:p>
    <w:p w14:paraId="2ACC3A87">
      <w:pPr>
        <w:spacing w:line="360" w:lineRule="auto"/>
        <w:ind w:firstLine="560"/>
        <w:rPr>
          <w:rFonts w:ascii="仿宋_GB2312"/>
          <w:b/>
          <w:bCs/>
          <w:color w:val="auto"/>
          <w:highlight w:val="none"/>
        </w:rPr>
      </w:pPr>
      <w:r>
        <w:rPr>
          <w:rFonts w:hint="eastAsia" w:ascii="仿宋_GB2312"/>
          <w:color w:val="auto"/>
          <w:highlight w:val="none"/>
        </w:rPr>
        <w:t>（2）通过评价，客观公正反映项目立项科学性、项目管理规范性、项目实施有效性和项目效果，总结项目实施的经验，发现项目实施过程中存在的问题，提高财政资金使用效益。</w:t>
      </w:r>
    </w:p>
    <w:p w14:paraId="042605F2">
      <w:pPr>
        <w:pStyle w:val="5"/>
        <w:ind w:firstLine="643"/>
        <w:rPr>
          <w:color w:val="auto"/>
          <w:highlight w:val="none"/>
        </w:rPr>
      </w:pPr>
      <w:bookmarkStart w:id="15" w:name="_Toc196487541"/>
      <w:r>
        <w:rPr>
          <w:color w:val="auto"/>
          <w:highlight w:val="none"/>
        </w:rPr>
        <w:t>3</w:t>
      </w:r>
      <w:r>
        <w:rPr>
          <w:rFonts w:hint="eastAsia"/>
          <w:color w:val="auto"/>
          <w:highlight w:val="none"/>
        </w:rPr>
        <w:t>.评价对象</w:t>
      </w:r>
      <w:bookmarkEnd w:id="15"/>
    </w:p>
    <w:p w14:paraId="2C5D0DB9">
      <w:pPr>
        <w:spacing w:line="360" w:lineRule="auto"/>
        <w:ind w:firstLine="560"/>
        <w:rPr>
          <w:rFonts w:ascii="仿宋_GB2312"/>
          <w:color w:val="auto"/>
          <w:highlight w:val="none"/>
        </w:rPr>
      </w:pPr>
      <w:r>
        <w:rPr>
          <w:rFonts w:hint="eastAsia" w:ascii="仿宋_GB2312"/>
          <w:color w:val="auto"/>
          <w:highlight w:val="none"/>
        </w:rPr>
        <w:t>（1）绩效评价的对象：</w:t>
      </w:r>
      <w:r>
        <w:rPr>
          <w:rFonts w:hint="eastAsia" w:ascii="仿宋_GB2312"/>
          <w:color w:val="auto"/>
          <w:highlight w:val="none"/>
          <w:lang w:val="en-US" w:eastAsia="zh-CN"/>
        </w:rPr>
        <w:t>无军籍退休退职职工津贴补贴</w:t>
      </w:r>
      <w:r>
        <w:rPr>
          <w:rFonts w:hint="eastAsia" w:ascii="仿宋_GB2312"/>
          <w:color w:val="auto"/>
          <w:highlight w:val="none"/>
        </w:rPr>
        <w:t>项目</w:t>
      </w:r>
      <w:r>
        <w:rPr>
          <w:rFonts w:ascii="仿宋_GB2312"/>
          <w:color w:val="auto"/>
          <w:highlight w:val="none"/>
        </w:rPr>
        <w:t xml:space="preserve"> </w:t>
      </w:r>
    </w:p>
    <w:p w14:paraId="1FE78523">
      <w:pPr>
        <w:pStyle w:val="5"/>
        <w:ind w:firstLine="643"/>
        <w:rPr>
          <w:color w:val="auto"/>
          <w:highlight w:val="none"/>
        </w:rPr>
      </w:pPr>
      <w:bookmarkStart w:id="16" w:name="_Toc196487542"/>
      <w:r>
        <w:rPr>
          <w:rFonts w:hint="eastAsia"/>
          <w:color w:val="auto"/>
          <w:highlight w:val="none"/>
        </w:rPr>
        <w:t>4</w:t>
      </w:r>
      <w:r>
        <w:rPr>
          <w:color w:val="auto"/>
          <w:highlight w:val="none"/>
        </w:rPr>
        <w:t>.</w:t>
      </w:r>
      <w:r>
        <w:rPr>
          <w:rFonts w:hint="eastAsia"/>
          <w:color w:val="auto"/>
          <w:highlight w:val="none"/>
        </w:rPr>
        <w:t>绩效评价范围</w:t>
      </w:r>
      <w:bookmarkEnd w:id="16"/>
    </w:p>
    <w:p w14:paraId="727DE70E">
      <w:pPr>
        <w:spacing w:line="360" w:lineRule="auto"/>
        <w:ind w:firstLine="560"/>
        <w:rPr>
          <w:rFonts w:ascii="仿宋_GB2312"/>
          <w:color w:val="auto"/>
          <w:highlight w:val="none"/>
        </w:rPr>
      </w:pPr>
      <w:r>
        <w:rPr>
          <w:rFonts w:ascii="仿宋_GB2312"/>
          <w:color w:val="auto"/>
          <w:highlight w:val="none"/>
        </w:rPr>
        <w:t>1.</w:t>
      </w:r>
      <w:r>
        <w:rPr>
          <w:rFonts w:hint="eastAsia" w:ascii="仿宋_GB2312"/>
          <w:color w:val="auto"/>
          <w:highlight w:val="none"/>
        </w:rPr>
        <w:t>时间范围：2024年1月1日至2024年1</w:t>
      </w:r>
      <w:r>
        <w:rPr>
          <w:rFonts w:ascii="仿宋_GB2312"/>
          <w:color w:val="auto"/>
          <w:highlight w:val="none"/>
        </w:rPr>
        <w:t>2</w:t>
      </w:r>
      <w:r>
        <w:rPr>
          <w:rFonts w:hint="eastAsia" w:ascii="仿宋_GB2312"/>
          <w:color w:val="auto"/>
          <w:highlight w:val="none"/>
        </w:rPr>
        <w:t>月3</w:t>
      </w:r>
      <w:r>
        <w:rPr>
          <w:rFonts w:ascii="仿宋_GB2312"/>
          <w:color w:val="auto"/>
          <w:highlight w:val="none"/>
        </w:rPr>
        <w:t>1</w:t>
      </w:r>
      <w:r>
        <w:rPr>
          <w:rFonts w:hint="eastAsia" w:ascii="仿宋_GB2312"/>
          <w:color w:val="auto"/>
          <w:highlight w:val="none"/>
        </w:rPr>
        <w:t>日。</w:t>
      </w:r>
    </w:p>
    <w:p w14:paraId="0C98141C">
      <w:pPr>
        <w:pStyle w:val="6"/>
        <w:keepNext w:val="0"/>
        <w:keepLines w:val="0"/>
        <w:widowControl/>
        <w:suppressLineNumbers w:val="0"/>
        <w:shd w:val="clear" w:color="auto" w:fill="FFFFFF"/>
        <w:spacing w:before="0" w:beforeAutospacing="0" w:after="0" w:afterAutospacing="0" w:line="21" w:lineRule="atLeast"/>
        <w:ind w:left="479" w:leftChars="171" w:right="0" w:firstLine="241" w:firstLineChars="100"/>
        <w:rPr>
          <w:rFonts w:hint="eastAsia" w:ascii="仿宋_GB2312" w:hAnsi="仿宋_GB2312" w:eastAsia="仿宋" w:cs="仿宋_GB2312"/>
          <w:color w:val="auto"/>
          <w:sz w:val="32"/>
          <w:szCs w:val="32"/>
          <w:highlight w:val="none"/>
          <w:lang w:eastAsia="zh-CN"/>
        </w:rPr>
      </w:pPr>
      <w:r>
        <w:rPr>
          <w:rFonts w:ascii="仿宋_GB2312"/>
          <w:color w:val="auto"/>
          <w:highlight w:val="none"/>
        </w:rPr>
        <w:t>2.</w:t>
      </w:r>
      <w:r>
        <w:rPr>
          <w:rFonts w:hint="eastAsia" w:ascii="仿宋_GB2312"/>
          <w:color w:val="auto"/>
          <w:highlight w:val="none"/>
        </w:rPr>
        <w:t>项目范围：</w:t>
      </w:r>
      <w:r>
        <w:rPr>
          <w:rFonts w:hint="eastAsia" w:ascii="仿宋_GB2312" w:hAnsi="Calibri" w:eastAsia="仿宋_GB2312" w:cs="黑体"/>
          <w:b w:val="0"/>
          <w:bCs w:val="0"/>
          <w:color w:val="auto"/>
          <w:kern w:val="2"/>
          <w:sz w:val="28"/>
          <w:szCs w:val="22"/>
          <w:highlight w:val="none"/>
          <w:lang w:val="en-US" w:eastAsia="zh-CN" w:bidi="ar-SA"/>
        </w:rPr>
        <w:t>水磨沟区295名无军籍退休退职职工每月发放工资津贴。每月及时足额发放工资津贴，每年一次体检，为无军籍职工提供生活保障服务，无军籍退休退职职工满意度较高</w:t>
      </w:r>
      <w:r>
        <w:rPr>
          <w:rFonts w:hint="eastAsia" w:ascii="仿宋" w:hAnsi="仿宋" w:eastAsia="仿宋" w:cs="仿宋"/>
          <w:b w:val="0"/>
          <w:bCs w:val="0"/>
          <w:color w:val="auto"/>
          <w:spacing w:val="8"/>
          <w:kern w:val="2"/>
          <w:sz w:val="32"/>
          <w:szCs w:val="32"/>
          <w:highlight w:val="none"/>
          <w:lang w:val="en-US" w:eastAsia="zh-CN" w:bidi="ar-SA"/>
        </w:rPr>
        <w:t>。</w:t>
      </w:r>
    </w:p>
    <w:p w14:paraId="3CE44D1B">
      <w:pPr>
        <w:spacing w:line="360" w:lineRule="auto"/>
        <w:ind w:firstLine="560"/>
        <w:rPr>
          <w:rFonts w:ascii="仿宋_GB2312"/>
          <w:color w:val="auto"/>
          <w:highlight w:val="none"/>
        </w:rPr>
      </w:pPr>
    </w:p>
    <w:p w14:paraId="70A48D7E">
      <w:pPr>
        <w:pStyle w:val="4"/>
        <w:ind w:firstLine="643"/>
        <w:rPr>
          <w:rFonts w:ascii="仿宋" w:hAnsi="仿宋" w:eastAsia="仿宋"/>
          <w:color w:val="auto"/>
          <w:highlight w:val="none"/>
          <w:lang w:bidi="en-US"/>
        </w:rPr>
      </w:pPr>
      <w:bookmarkStart w:id="17" w:name="_Toc67911606"/>
      <w:bookmarkStart w:id="18" w:name="_Toc196487543"/>
      <w:bookmarkStart w:id="19" w:name="_Hlk67586765"/>
      <w:r>
        <w:rPr>
          <w:rFonts w:hint="eastAsia" w:ascii="仿宋" w:hAnsi="仿宋" w:eastAsia="仿宋"/>
          <w:color w:val="auto"/>
          <w:highlight w:val="none"/>
          <w:lang w:bidi="en-US"/>
        </w:rPr>
        <w:t>（二）绩效评价原则、指标体系、方法及标准</w:t>
      </w:r>
      <w:bookmarkEnd w:id="17"/>
      <w:bookmarkEnd w:id="18"/>
      <w:bookmarkEnd w:id="19"/>
    </w:p>
    <w:p w14:paraId="42E0CFA3">
      <w:pPr>
        <w:pStyle w:val="36"/>
        <w:spacing w:line="560" w:lineRule="exact"/>
        <w:ind w:firstLine="640"/>
        <w:rPr>
          <w:rFonts w:hint="eastAsia" w:ascii="仿宋_GB2312" w:hAnsi="仿宋_GB2312" w:eastAsia="仿宋_GB2312" w:cs="仿宋_GB2312"/>
          <w:b/>
          <w:bCs/>
          <w:color w:val="auto"/>
          <w:sz w:val="32"/>
          <w:szCs w:val="32"/>
          <w:highlight w:val="none"/>
        </w:rPr>
      </w:pPr>
      <w:r>
        <w:rPr>
          <w:rFonts w:hint="eastAsia" w:ascii="仿宋_GB2312" w:hAnsi="仿宋_GB2312" w:eastAsia="仿宋_GB2312" w:cs="仿宋_GB2312"/>
          <w:b/>
          <w:bCs/>
          <w:color w:val="auto"/>
          <w:sz w:val="32"/>
          <w:szCs w:val="32"/>
          <w:highlight w:val="none"/>
        </w:rPr>
        <w:t>1</w:t>
      </w:r>
      <w:r>
        <w:rPr>
          <w:rFonts w:hint="eastAsia" w:ascii="仿宋_GB2312" w:hAnsi="仿宋_GB2312" w:eastAsia="仿宋_GB2312" w:cs="仿宋_GB2312"/>
          <w:b/>
          <w:bCs/>
          <w:color w:val="auto"/>
          <w:sz w:val="32"/>
          <w:szCs w:val="32"/>
          <w:highlight w:val="none"/>
          <w:lang w:eastAsia="zh-CN"/>
        </w:rPr>
        <w:t>.</w:t>
      </w:r>
      <w:r>
        <w:rPr>
          <w:rFonts w:hint="eastAsia" w:ascii="仿宋_GB2312" w:hAnsi="仿宋_GB2312" w:eastAsia="仿宋_GB2312" w:cs="仿宋_GB2312"/>
          <w:b/>
          <w:bCs/>
          <w:color w:val="auto"/>
          <w:sz w:val="32"/>
          <w:szCs w:val="32"/>
          <w:highlight w:val="none"/>
        </w:rPr>
        <w:t>绩效评价原则</w:t>
      </w:r>
    </w:p>
    <w:p w14:paraId="0F6193C6">
      <w:pPr>
        <w:spacing w:line="560" w:lineRule="exact"/>
        <w:ind w:firstLine="560" w:firstLineChars="200"/>
        <w:rPr>
          <w:rFonts w:hint="eastAsia" w:ascii="仿宋_GB2312" w:hAnsi="Calibri" w:eastAsia="仿宋_GB2312" w:cs="黑体"/>
          <w:b w:val="0"/>
          <w:bCs w:val="0"/>
          <w:color w:val="auto"/>
          <w:kern w:val="2"/>
          <w:sz w:val="28"/>
          <w:szCs w:val="22"/>
          <w:highlight w:val="none"/>
          <w:lang w:val="en-US" w:eastAsia="zh-CN" w:bidi="ar-SA"/>
        </w:rPr>
      </w:pPr>
      <w:r>
        <w:rPr>
          <w:rFonts w:hint="eastAsia" w:ascii="仿宋_GB2312" w:hAnsi="Calibri" w:eastAsia="仿宋_GB2312" w:cs="黑体"/>
          <w:b w:val="0"/>
          <w:bCs w:val="0"/>
          <w:color w:val="auto"/>
          <w:kern w:val="2"/>
          <w:sz w:val="28"/>
          <w:szCs w:val="22"/>
          <w:highlight w:val="none"/>
          <w:lang w:val="en-US" w:eastAsia="zh-CN" w:bidi="ar-SA"/>
        </w:rPr>
        <w:t>本次项目绩效评价遵循以下基本原则：</w:t>
      </w:r>
    </w:p>
    <w:p w14:paraId="64255F77">
      <w:pPr>
        <w:pStyle w:val="2"/>
        <w:spacing w:before="0" w:after="0" w:line="560" w:lineRule="exact"/>
        <w:ind w:firstLine="560" w:firstLineChars="200"/>
        <w:jc w:val="both"/>
        <w:outlineLvl w:val="9"/>
        <w:rPr>
          <w:rFonts w:hint="eastAsia" w:ascii="仿宋_GB2312" w:hAnsi="Calibri" w:eastAsia="仿宋_GB2312" w:cs="黑体"/>
          <w:b w:val="0"/>
          <w:bCs w:val="0"/>
          <w:color w:val="auto"/>
          <w:kern w:val="2"/>
          <w:sz w:val="28"/>
          <w:szCs w:val="22"/>
          <w:highlight w:val="none"/>
          <w:lang w:val="en-US" w:eastAsia="zh-CN" w:bidi="ar-SA"/>
        </w:rPr>
      </w:pPr>
      <w:r>
        <w:rPr>
          <w:rFonts w:hint="eastAsia" w:ascii="仿宋_GB2312" w:hAnsi="Calibri" w:eastAsia="仿宋_GB2312" w:cs="黑体"/>
          <w:b w:val="0"/>
          <w:bCs w:val="0"/>
          <w:color w:val="auto"/>
          <w:kern w:val="2"/>
          <w:sz w:val="28"/>
          <w:szCs w:val="22"/>
          <w:highlight w:val="none"/>
          <w:lang w:val="en-US" w:eastAsia="zh-CN" w:bidi="ar-SA"/>
        </w:rPr>
        <w:t>（1）科学公正。绩效评价应当运用科学合理的方法，按照规范的程序，对项目绩效进行客观、公正的反映。</w:t>
      </w:r>
    </w:p>
    <w:p w14:paraId="6EA9484D">
      <w:pPr>
        <w:pStyle w:val="2"/>
        <w:spacing w:before="0" w:after="0" w:line="560" w:lineRule="exact"/>
        <w:ind w:firstLine="560" w:firstLineChars="200"/>
        <w:jc w:val="both"/>
        <w:outlineLvl w:val="9"/>
        <w:rPr>
          <w:rFonts w:hint="eastAsia" w:ascii="仿宋_GB2312" w:hAnsi="Calibri" w:eastAsia="仿宋_GB2312" w:cs="黑体"/>
          <w:b w:val="0"/>
          <w:bCs w:val="0"/>
          <w:color w:val="auto"/>
          <w:kern w:val="2"/>
          <w:sz w:val="28"/>
          <w:szCs w:val="22"/>
          <w:highlight w:val="none"/>
          <w:lang w:val="en-US" w:eastAsia="zh-CN" w:bidi="ar-SA"/>
        </w:rPr>
      </w:pPr>
      <w:r>
        <w:rPr>
          <w:rFonts w:hint="eastAsia" w:ascii="仿宋_GB2312" w:hAnsi="Calibri" w:eastAsia="仿宋_GB2312" w:cs="黑体"/>
          <w:b w:val="0"/>
          <w:bCs w:val="0"/>
          <w:color w:val="auto"/>
          <w:kern w:val="2"/>
          <w:sz w:val="28"/>
          <w:szCs w:val="22"/>
          <w:highlight w:val="none"/>
          <w:lang w:val="en-US" w:eastAsia="zh-CN" w:bidi="ar-SA"/>
        </w:rPr>
        <w:t>（2）统筹兼顾。单位自评、部门评价和财政评价应职责明确，各有侧重，相互衔接。单位自评应由项目单位自主实施，即“谁支出、谁自评”。部门评价和财政评价应在单位自评的基础上开展。</w:t>
      </w:r>
    </w:p>
    <w:p w14:paraId="188B378E">
      <w:pPr>
        <w:pStyle w:val="2"/>
        <w:spacing w:before="0" w:after="0" w:line="560" w:lineRule="exact"/>
        <w:ind w:firstLine="560" w:firstLineChars="200"/>
        <w:jc w:val="both"/>
        <w:outlineLvl w:val="9"/>
        <w:rPr>
          <w:rFonts w:hint="eastAsia" w:ascii="仿宋_GB2312" w:hAnsi="Calibri" w:eastAsia="仿宋_GB2312" w:cs="黑体"/>
          <w:b w:val="0"/>
          <w:bCs w:val="0"/>
          <w:color w:val="auto"/>
          <w:kern w:val="2"/>
          <w:sz w:val="28"/>
          <w:szCs w:val="22"/>
          <w:highlight w:val="none"/>
          <w:lang w:val="en-US" w:eastAsia="zh-CN" w:bidi="ar-SA"/>
        </w:rPr>
      </w:pPr>
      <w:r>
        <w:rPr>
          <w:rFonts w:hint="eastAsia" w:ascii="仿宋_GB2312" w:hAnsi="Calibri" w:eastAsia="仿宋_GB2312" w:cs="黑体"/>
          <w:b w:val="0"/>
          <w:bCs w:val="0"/>
          <w:color w:val="auto"/>
          <w:kern w:val="2"/>
          <w:sz w:val="28"/>
          <w:szCs w:val="22"/>
          <w:highlight w:val="none"/>
          <w:lang w:val="en-US" w:eastAsia="zh-CN" w:bidi="ar-SA"/>
        </w:rPr>
        <w:t>（3）激励约束。绩效评价结果应与预算安排、政策调整、改进管理实质性挂钩，体现奖优罚劣和激励相容导向，有效要安排、低效要压减、无效要问责。</w:t>
      </w:r>
    </w:p>
    <w:p w14:paraId="4AEEBA0F">
      <w:pPr>
        <w:pStyle w:val="2"/>
        <w:spacing w:before="0" w:after="0" w:line="560" w:lineRule="exact"/>
        <w:ind w:firstLine="560" w:firstLineChars="200"/>
        <w:jc w:val="both"/>
        <w:outlineLvl w:val="9"/>
        <w:rPr>
          <w:rFonts w:hint="eastAsia" w:ascii="仿宋_GB2312" w:hAnsi="Calibri" w:eastAsia="仿宋_GB2312" w:cs="黑体"/>
          <w:b w:val="0"/>
          <w:bCs w:val="0"/>
          <w:color w:val="auto"/>
          <w:kern w:val="2"/>
          <w:sz w:val="28"/>
          <w:szCs w:val="22"/>
          <w:highlight w:val="none"/>
          <w:lang w:val="en-US" w:eastAsia="zh-CN" w:bidi="ar-SA"/>
        </w:rPr>
      </w:pPr>
      <w:r>
        <w:rPr>
          <w:rFonts w:hint="eastAsia" w:ascii="仿宋_GB2312" w:hAnsi="Calibri" w:eastAsia="仿宋_GB2312" w:cs="黑体"/>
          <w:b w:val="0"/>
          <w:bCs w:val="0"/>
          <w:color w:val="auto"/>
          <w:kern w:val="2"/>
          <w:sz w:val="28"/>
          <w:szCs w:val="22"/>
          <w:highlight w:val="none"/>
          <w:lang w:val="en-US" w:eastAsia="zh-CN" w:bidi="ar-SA"/>
        </w:rPr>
        <w:t>（4）公开透明。绩效评价结果应依法依规公开，并自觉接受社会监督。</w:t>
      </w:r>
    </w:p>
    <w:p w14:paraId="02F3B98E">
      <w:pPr>
        <w:pStyle w:val="5"/>
        <w:ind w:firstLine="643"/>
        <w:rPr>
          <w:color w:val="auto"/>
          <w:highlight w:val="none"/>
        </w:rPr>
      </w:pPr>
      <w:bookmarkStart w:id="20" w:name="_Toc196487545"/>
      <w:r>
        <w:rPr>
          <w:color w:val="auto"/>
          <w:highlight w:val="none"/>
        </w:rPr>
        <w:t>2.</w:t>
      </w:r>
      <w:r>
        <w:rPr>
          <w:rFonts w:hint="eastAsia"/>
          <w:color w:val="auto"/>
          <w:highlight w:val="none"/>
        </w:rPr>
        <w:t>评价指标体系</w:t>
      </w:r>
      <w:bookmarkEnd w:id="20"/>
    </w:p>
    <w:p w14:paraId="0CF906EA">
      <w:pPr>
        <w:spacing w:line="360" w:lineRule="auto"/>
        <w:ind w:firstLine="560"/>
        <w:rPr>
          <w:rFonts w:ascii="仿宋_GB2312"/>
          <w:color w:val="auto"/>
          <w:highlight w:val="none"/>
        </w:rPr>
      </w:pPr>
      <w:r>
        <w:rPr>
          <w:rFonts w:hint="eastAsia" w:ascii="仿宋_GB2312"/>
          <w:color w:val="auto"/>
          <w:highlight w:val="none"/>
        </w:rPr>
        <w:t>绩效评价指标体系作为衡量绩效目标实现程度的考核工具，一般遵循以下原则：</w:t>
      </w:r>
    </w:p>
    <w:p w14:paraId="74829349">
      <w:pPr>
        <w:spacing w:line="360" w:lineRule="auto"/>
        <w:ind w:firstLine="560"/>
        <w:rPr>
          <w:rFonts w:ascii="仿宋_GB2312"/>
          <w:color w:val="auto"/>
          <w:highlight w:val="none"/>
        </w:rPr>
      </w:pPr>
      <w:r>
        <w:rPr>
          <w:rFonts w:hint="eastAsia" w:ascii="仿宋_GB2312"/>
          <w:color w:val="auto"/>
          <w:highlight w:val="none"/>
        </w:rPr>
        <w:t>（1）相关性原则：绩效评价指标应当与绩效目标有直接的联系，能够恰当反映目标的实现程度。</w:t>
      </w:r>
    </w:p>
    <w:p w14:paraId="2B6D92A5">
      <w:pPr>
        <w:spacing w:line="360" w:lineRule="auto"/>
        <w:ind w:firstLine="560"/>
        <w:rPr>
          <w:rFonts w:ascii="仿宋_GB2312"/>
          <w:color w:val="auto"/>
          <w:highlight w:val="none"/>
        </w:rPr>
      </w:pPr>
      <w:r>
        <w:rPr>
          <w:rFonts w:hint="eastAsia" w:ascii="仿宋_GB2312"/>
          <w:color w:val="auto"/>
          <w:highlight w:val="none"/>
        </w:rPr>
        <w:t>（2）重要性原则：应当优先使用最具评价对象代表性、最能反映评价要求的核心指标。</w:t>
      </w:r>
    </w:p>
    <w:p w14:paraId="5F41943A">
      <w:pPr>
        <w:spacing w:line="360" w:lineRule="auto"/>
        <w:ind w:firstLine="560"/>
        <w:rPr>
          <w:rFonts w:ascii="仿宋_GB2312"/>
          <w:color w:val="auto"/>
          <w:highlight w:val="none"/>
        </w:rPr>
      </w:pPr>
      <w:r>
        <w:rPr>
          <w:rFonts w:hint="eastAsia" w:ascii="仿宋_GB2312"/>
          <w:color w:val="auto"/>
          <w:highlight w:val="none"/>
        </w:rPr>
        <w:t>（3）可比性原则：对同类评价对象要设定共性的绩效评价指标，以便于评价结果可以相互比较。</w:t>
      </w:r>
    </w:p>
    <w:p w14:paraId="0C91EE36">
      <w:pPr>
        <w:spacing w:line="360" w:lineRule="auto"/>
        <w:ind w:firstLine="560"/>
        <w:rPr>
          <w:rFonts w:ascii="仿宋_GB2312"/>
          <w:color w:val="auto"/>
          <w:highlight w:val="none"/>
        </w:rPr>
      </w:pPr>
      <w:r>
        <w:rPr>
          <w:rFonts w:hint="eastAsia" w:ascii="仿宋_GB2312"/>
          <w:color w:val="auto"/>
          <w:highlight w:val="none"/>
        </w:rPr>
        <w:t>（4）系统性原则：绩效评价指标的设置应当将定量指标与定性指标相结合，能系统反映财政支出所产生的社会效益、经济效益和可持续影响等。</w:t>
      </w:r>
    </w:p>
    <w:p w14:paraId="3B753984">
      <w:pPr>
        <w:spacing w:line="360" w:lineRule="auto"/>
        <w:ind w:firstLine="560"/>
        <w:rPr>
          <w:rFonts w:ascii="仿宋_GB2312"/>
          <w:color w:val="auto"/>
          <w:highlight w:val="none"/>
        </w:rPr>
      </w:pPr>
      <w:r>
        <w:rPr>
          <w:rFonts w:hint="eastAsia" w:ascii="仿宋_GB2312"/>
          <w:color w:val="auto"/>
          <w:highlight w:val="none"/>
        </w:rPr>
        <w:t>（5）经济性原则：绩效评价指标设计应当通俗易懂、简便易行，数据的获得应当考虑现实条件和可操作性，符合成本效益原则。</w:t>
      </w:r>
    </w:p>
    <w:p w14:paraId="569AEBB7">
      <w:pPr>
        <w:spacing w:line="360" w:lineRule="auto"/>
        <w:ind w:firstLine="560"/>
        <w:rPr>
          <w:rFonts w:ascii="仿宋_GB2312"/>
          <w:color w:val="auto"/>
          <w:highlight w:val="none"/>
        </w:rPr>
      </w:pPr>
      <w:r>
        <w:rPr>
          <w:rFonts w:hint="eastAsia" w:ascii="仿宋_GB2312"/>
          <w:color w:val="auto"/>
          <w:highlight w:val="none"/>
        </w:rPr>
        <w:t>本项目的评价指标体系建立如下表所示。</w:t>
      </w:r>
    </w:p>
    <w:p w14:paraId="2E31AAB8">
      <w:pPr>
        <w:spacing w:line="360" w:lineRule="auto"/>
        <w:ind w:firstLine="560"/>
        <w:rPr>
          <w:rFonts w:ascii="仿宋_GB2312"/>
          <w:color w:val="auto"/>
          <w:highlight w:val="none"/>
        </w:rPr>
      </w:pPr>
    </w:p>
    <w:p w14:paraId="2A00D496">
      <w:pPr>
        <w:spacing w:line="360" w:lineRule="auto"/>
        <w:ind w:firstLine="560"/>
        <w:rPr>
          <w:rFonts w:ascii="仿宋_GB2312"/>
          <w:color w:val="auto"/>
          <w:highlight w:val="none"/>
        </w:rPr>
      </w:pPr>
    </w:p>
    <w:p w14:paraId="215B1A2C">
      <w:pPr>
        <w:spacing w:line="360" w:lineRule="auto"/>
        <w:ind w:firstLine="560"/>
        <w:rPr>
          <w:rFonts w:ascii="仿宋_GB2312"/>
          <w:color w:val="auto"/>
          <w:highlight w:val="none"/>
        </w:rPr>
        <w:sectPr>
          <w:headerReference r:id="rId11" w:type="default"/>
          <w:footerReference r:id="rId12" w:type="default"/>
          <w:pgSz w:w="11906" w:h="16838"/>
          <w:pgMar w:top="1440" w:right="1800" w:bottom="1440" w:left="1800" w:header="992" w:footer="992" w:gutter="0"/>
          <w:pgNumType w:start="1"/>
          <w:cols w:space="425" w:num="1"/>
          <w:docGrid w:type="lines" w:linePitch="381" w:charSpace="0"/>
        </w:sectPr>
      </w:pPr>
    </w:p>
    <w:p w14:paraId="180142CE">
      <w:pPr>
        <w:spacing w:line="360" w:lineRule="auto"/>
        <w:ind w:firstLine="0" w:firstLineChars="0"/>
        <w:jc w:val="center"/>
        <w:rPr>
          <w:rFonts w:ascii="仿宋_GB2312"/>
          <w:b/>
          <w:bCs/>
          <w:color w:val="auto"/>
          <w:highlight w:val="none"/>
        </w:rPr>
      </w:pPr>
      <w:r>
        <w:rPr>
          <w:rFonts w:ascii="仿宋_GB2312"/>
          <w:b/>
          <w:bCs/>
          <w:color w:val="auto"/>
          <w:highlight w:val="none"/>
        </w:rPr>
        <w:t xml:space="preserve">  </w:t>
      </w:r>
      <w:r>
        <w:rPr>
          <w:rFonts w:hint="eastAsia" w:ascii="仿宋_GB2312"/>
          <w:b/>
          <w:bCs/>
          <w:color w:val="auto"/>
          <w:highlight w:val="none"/>
        </w:rPr>
        <w:t>项目支出绩效评价指标体系</w:t>
      </w:r>
    </w:p>
    <w:tbl>
      <w:tblPr>
        <w:tblStyle w:val="15"/>
        <w:tblW w:w="13895"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1155"/>
        <w:gridCol w:w="1199"/>
        <w:gridCol w:w="1411"/>
        <w:gridCol w:w="2789"/>
        <w:gridCol w:w="7341"/>
      </w:tblGrid>
      <w:tr w14:paraId="6C223BBA">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92" w:hRule="atLeast"/>
          <w:tblHeader/>
          <w:jc w:val="center"/>
        </w:trPr>
        <w:tc>
          <w:tcPr>
            <w:tcW w:w="1155" w:type="dxa"/>
            <w:tcBorders>
              <w:tl2br w:val="nil"/>
              <w:tr2bl w:val="nil"/>
            </w:tcBorders>
            <w:shd w:val="clear" w:color="auto" w:fill="D0CECE"/>
            <w:vAlign w:val="center"/>
          </w:tcPr>
          <w:p w14:paraId="708D372A">
            <w:pPr>
              <w:widowControl/>
              <w:ind w:firstLine="0" w:firstLineChars="0"/>
              <w:jc w:val="center"/>
              <w:rPr>
                <w:rFonts w:ascii="宋体" w:hAnsi="宋体" w:eastAsia="宋体" w:cs="宋体"/>
                <w:b/>
                <w:bCs/>
                <w:color w:val="auto"/>
                <w:kern w:val="0"/>
                <w:sz w:val="22"/>
                <w:highlight w:val="none"/>
              </w:rPr>
            </w:pPr>
            <w:r>
              <w:rPr>
                <w:rFonts w:hint="eastAsia" w:ascii="宋体" w:hAnsi="宋体" w:eastAsia="宋体" w:cs="宋体"/>
                <w:b/>
                <w:bCs/>
                <w:color w:val="auto"/>
                <w:kern w:val="0"/>
                <w:sz w:val="22"/>
                <w:highlight w:val="none"/>
              </w:rPr>
              <w:t>一级指标</w:t>
            </w:r>
          </w:p>
        </w:tc>
        <w:tc>
          <w:tcPr>
            <w:tcW w:w="1199" w:type="dxa"/>
            <w:tcBorders>
              <w:tl2br w:val="nil"/>
              <w:tr2bl w:val="nil"/>
            </w:tcBorders>
            <w:shd w:val="clear" w:color="auto" w:fill="D0CECE"/>
            <w:vAlign w:val="center"/>
          </w:tcPr>
          <w:p w14:paraId="4FE7E3E2">
            <w:pPr>
              <w:widowControl/>
              <w:ind w:firstLine="0" w:firstLineChars="0"/>
              <w:jc w:val="center"/>
              <w:rPr>
                <w:rFonts w:ascii="宋体" w:hAnsi="宋体" w:eastAsia="宋体" w:cs="宋体"/>
                <w:b/>
                <w:bCs/>
                <w:color w:val="auto"/>
                <w:kern w:val="0"/>
                <w:sz w:val="22"/>
                <w:highlight w:val="none"/>
              </w:rPr>
            </w:pPr>
            <w:r>
              <w:rPr>
                <w:rFonts w:hint="eastAsia" w:ascii="宋体" w:hAnsi="宋体" w:eastAsia="宋体" w:cs="宋体"/>
                <w:b/>
                <w:bCs/>
                <w:color w:val="auto"/>
                <w:kern w:val="0"/>
                <w:sz w:val="22"/>
                <w:highlight w:val="none"/>
              </w:rPr>
              <w:t>二级指标</w:t>
            </w:r>
          </w:p>
        </w:tc>
        <w:tc>
          <w:tcPr>
            <w:tcW w:w="1411" w:type="dxa"/>
            <w:tcBorders>
              <w:tl2br w:val="nil"/>
              <w:tr2bl w:val="nil"/>
            </w:tcBorders>
            <w:shd w:val="clear" w:color="auto" w:fill="D0CECE"/>
            <w:vAlign w:val="center"/>
          </w:tcPr>
          <w:p w14:paraId="3A03B6E3">
            <w:pPr>
              <w:widowControl/>
              <w:ind w:firstLine="0" w:firstLineChars="0"/>
              <w:jc w:val="center"/>
              <w:rPr>
                <w:rFonts w:ascii="宋体" w:hAnsi="宋体" w:eastAsia="宋体" w:cs="宋体"/>
                <w:b/>
                <w:bCs/>
                <w:color w:val="auto"/>
                <w:kern w:val="0"/>
                <w:sz w:val="22"/>
                <w:highlight w:val="none"/>
              </w:rPr>
            </w:pPr>
            <w:r>
              <w:rPr>
                <w:rFonts w:hint="eastAsia" w:ascii="宋体" w:hAnsi="宋体" w:eastAsia="宋体" w:cs="宋体"/>
                <w:b/>
                <w:bCs/>
                <w:color w:val="auto"/>
                <w:kern w:val="0"/>
                <w:sz w:val="22"/>
                <w:highlight w:val="none"/>
              </w:rPr>
              <w:t>三级指标</w:t>
            </w:r>
          </w:p>
        </w:tc>
        <w:tc>
          <w:tcPr>
            <w:tcW w:w="2789" w:type="dxa"/>
            <w:tcBorders>
              <w:tl2br w:val="nil"/>
              <w:tr2bl w:val="nil"/>
            </w:tcBorders>
            <w:shd w:val="clear" w:color="auto" w:fill="D0CECE"/>
            <w:vAlign w:val="center"/>
          </w:tcPr>
          <w:p w14:paraId="2F119AC9">
            <w:pPr>
              <w:widowControl/>
              <w:ind w:firstLine="0" w:firstLineChars="0"/>
              <w:jc w:val="center"/>
              <w:rPr>
                <w:rFonts w:ascii="宋体" w:hAnsi="宋体" w:eastAsia="宋体" w:cs="宋体"/>
                <w:b/>
                <w:bCs/>
                <w:color w:val="auto"/>
                <w:kern w:val="0"/>
                <w:sz w:val="22"/>
                <w:highlight w:val="none"/>
              </w:rPr>
            </w:pPr>
            <w:r>
              <w:rPr>
                <w:rFonts w:hint="eastAsia" w:ascii="宋体" w:hAnsi="宋体" w:eastAsia="宋体" w:cs="宋体"/>
                <w:b/>
                <w:bCs/>
                <w:color w:val="auto"/>
                <w:kern w:val="0"/>
                <w:sz w:val="22"/>
                <w:highlight w:val="none"/>
              </w:rPr>
              <w:t>指标解释</w:t>
            </w:r>
          </w:p>
        </w:tc>
        <w:tc>
          <w:tcPr>
            <w:tcW w:w="7341" w:type="dxa"/>
            <w:tcBorders>
              <w:tl2br w:val="nil"/>
              <w:tr2bl w:val="nil"/>
            </w:tcBorders>
            <w:shd w:val="clear" w:color="auto" w:fill="D0CECE"/>
            <w:vAlign w:val="center"/>
          </w:tcPr>
          <w:p w14:paraId="53E1EB00">
            <w:pPr>
              <w:widowControl/>
              <w:ind w:firstLine="0" w:firstLineChars="0"/>
              <w:jc w:val="center"/>
              <w:rPr>
                <w:rFonts w:ascii="宋体" w:hAnsi="宋体" w:eastAsia="宋体" w:cs="宋体"/>
                <w:b/>
                <w:bCs/>
                <w:color w:val="auto"/>
                <w:kern w:val="0"/>
                <w:sz w:val="22"/>
                <w:highlight w:val="none"/>
              </w:rPr>
            </w:pPr>
            <w:r>
              <w:rPr>
                <w:rFonts w:hint="eastAsia" w:ascii="宋体" w:hAnsi="宋体" w:eastAsia="宋体" w:cs="宋体"/>
                <w:b/>
                <w:bCs/>
                <w:color w:val="auto"/>
                <w:kern w:val="0"/>
                <w:sz w:val="22"/>
                <w:highlight w:val="none"/>
              </w:rPr>
              <w:t>指标说明</w:t>
            </w:r>
          </w:p>
        </w:tc>
      </w:tr>
      <w:tr w14:paraId="602B65AA">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318" w:hRule="atLeast"/>
          <w:jc w:val="center"/>
        </w:trPr>
        <w:tc>
          <w:tcPr>
            <w:tcW w:w="1155" w:type="dxa"/>
            <w:vMerge w:val="restart"/>
            <w:tcBorders>
              <w:tl2br w:val="nil"/>
              <w:tr2bl w:val="nil"/>
            </w:tcBorders>
            <w:shd w:val="clear" w:color="auto" w:fill="FFFFFF"/>
            <w:vAlign w:val="center"/>
          </w:tcPr>
          <w:p w14:paraId="076B3BEA">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决策</w:t>
            </w:r>
          </w:p>
        </w:tc>
        <w:tc>
          <w:tcPr>
            <w:tcW w:w="1199" w:type="dxa"/>
            <w:vMerge w:val="restart"/>
            <w:tcBorders>
              <w:tl2br w:val="nil"/>
              <w:tr2bl w:val="nil"/>
            </w:tcBorders>
            <w:shd w:val="clear" w:color="auto" w:fill="FFFFFF"/>
            <w:vAlign w:val="center"/>
          </w:tcPr>
          <w:p w14:paraId="61A84D41">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项目立项</w:t>
            </w:r>
          </w:p>
        </w:tc>
        <w:tc>
          <w:tcPr>
            <w:tcW w:w="1411" w:type="dxa"/>
            <w:tcBorders>
              <w:tl2br w:val="nil"/>
              <w:tr2bl w:val="nil"/>
            </w:tcBorders>
            <w:shd w:val="clear" w:color="auto" w:fill="FFFFFF"/>
            <w:vAlign w:val="center"/>
          </w:tcPr>
          <w:p w14:paraId="354126A1">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立项依据</w:t>
            </w:r>
          </w:p>
          <w:p w14:paraId="2680F99D">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充分性</w:t>
            </w:r>
          </w:p>
        </w:tc>
        <w:tc>
          <w:tcPr>
            <w:tcW w:w="2789" w:type="dxa"/>
            <w:tcBorders>
              <w:tl2br w:val="nil"/>
              <w:tr2bl w:val="nil"/>
            </w:tcBorders>
            <w:shd w:val="clear" w:color="auto" w:fill="FFFFFF"/>
            <w:vAlign w:val="center"/>
          </w:tcPr>
          <w:p w14:paraId="37BAF776">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项目立项是否符合法律法规、相关政策、发展规划以及部门职责，用以反映和考核项目立项依据情况。</w:t>
            </w:r>
          </w:p>
        </w:tc>
        <w:tc>
          <w:tcPr>
            <w:tcW w:w="7341" w:type="dxa"/>
            <w:tcBorders>
              <w:tl2br w:val="nil"/>
              <w:tr2bl w:val="nil"/>
            </w:tcBorders>
            <w:shd w:val="clear" w:color="auto" w:fill="FFFFFF"/>
            <w:vAlign w:val="center"/>
          </w:tcPr>
          <w:p w14:paraId="1ED84E80">
            <w:pPr>
              <w:widowControl/>
              <w:ind w:firstLine="0" w:firstLineChars="0"/>
              <w:jc w:val="left"/>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评价要点：</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①项目立项是否符合国家法律法规、国民经济发展规划和相关政策；</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②项目立项是否符合行业发展规划和政策要求；</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③项目立项是否与部门职责范围相符，</w:t>
            </w:r>
            <w:r>
              <w:rPr>
                <w:rFonts w:hint="eastAsia" w:ascii="宋体" w:hAnsi="宋体" w:eastAsia="宋体" w:cs="宋体"/>
                <w:color w:val="auto"/>
                <w:kern w:val="0"/>
                <w:sz w:val="22"/>
                <w:highlight w:val="none"/>
                <w:lang w:val="en-US" w:eastAsia="zh-CN"/>
              </w:rPr>
              <w:t>属于部门</w:t>
            </w:r>
            <w:r>
              <w:rPr>
                <w:rFonts w:hint="eastAsia" w:ascii="宋体" w:hAnsi="宋体" w:eastAsia="宋体" w:cs="宋体"/>
                <w:color w:val="auto"/>
                <w:kern w:val="0"/>
                <w:sz w:val="22"/>
                <w:highlight w:val="none"/>
              </w:rPr>
              <w:t>履职所需；</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④项目是否属于公共财政支持范围，是否符合中央、地方事权支出责任划分原则；</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⑤项目是否与相关部门同类项目或部门内部相关项目重复。</w:t>
            </w:r>
          </w:p>
        </w:tc>
      </w:tr>
      <w:tr w14:paraId="166D1CD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640" w:hRule="atLeast"/>
          <w:jc w:val="center"/>
        </w:trPr>
        <w:tc>
          <w:tcPr>
            <w:tcW w:w="1155" w:type="dxa"/>
            <w:vMerge w:val="continue"/>
            <w:tcBorders>
              <w:tl2br w:val="nil"/>
              <w:tr2bl w:val="nil"/>
            </w:tcBorders>
            <w:shd w:val="clear" w:color="auto" w:fill="FFFFFF"/>
            <w:vAlign w:val="center"/>
          </w:tcPr>
          <w:p w14:paraId="2F18F223">
            <w:pPr>
              <w:ind w:firstLine="0" w:firstLineChars="0"/>
              <w:jc w:val="center"/>
              <w:rPr>
                <w:rFonts w:ascii="宋体" w:hAnsi="宋体" w:eastAsia="宋体" w:cs="宋体"/>
                <w:color w:val="auto"/>
                <w:kern w:val="0"/>
                <w:sz w:val="22"/>
                <w:highlight w:val="none"/>
              </w:rPr>
            </w:pPr>
          </w:p>
        </w:tc>
        <w:tc>
          <w:tcPr>
            <w:tcW w:w="1199" w:type="dxa"/>
            <w:vMerge w:val="continue"/>
            <w:tcBorders>
              <w:tl2br w:val="nil"/>
              <w:tr2bl w:val="nil"/>
            </w:tcBorders>
            <w:shd w:val="clear" w:color="auto" w:fill="FFFFFF"/>
            <w:vAlign w:val="center"/>
          </w:tcPr>
          <w:p w14:paraId="1D0D78E9">
            <w:pPr>
              <w:widowControl/>
              <w:ind w:firstLine="0" w:firstLineChars="0"/>
              <w:jc w:val="center"/>
              <w:rPr>
                <w:rFonts w:ascii="宋体" w:hAnsi="宋体" w:eastAsia="宋体" w:cs="宋体"/>
                <w:color w:val="auto"/>
                <w:kern w:val="0"/>
                <w:sz w:val="22"/>
                <w:highlight w:val="none"/>
              </w:rPr>
            </w:pPr>
          </w:p>
        </w:tc>
        <w:tc>
          <w:tcPr>
            <w:tcW w:w="1411" w:type="dxa"/>
            <w:tcBorders>
              <w:tl2br w:val="nil"/>
              <w:tr2bl w:val="nil"/>
            </w:tcBorders>
            <w:shd w:val="clear" w:color="auto" w:fill="FFFFFF"/>
            <w:vAlign w:val="center"/>
          </w:tcPr>
          <w:p w14:paraId="472100D7">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立项程序</w:t>
            </w:r>
          </w:p>
          <w:p w14:paraId="438E4840">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规范性</w:t>
            </w:r>
          </w:p>
        </w:tc>
        <w:tc>
          <w:tcPr>
            <w:tcW w:w="2789" w:type="dxa"/>
            <w:tcBorders>
              <w:tl2br w:val="nil"/>
              <w:tr2bl w:val="nil"/>
            </w:tcBorders>
            <w:shd w:val="clear" w:color="auto" w:fill="FFFFFF"/>
            <w:vAlign w:val="center"/>
          </w:tcPr>
          <w:p w14:paraId="02FE30AD">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项目申请、设立过程是否符合相关要求，用以反映和考核项目立项的规范情况。</w:t>
            </w:r>
          </w:p>
        </w:tc>
        <w:tc>
          <w:tcPr>
            <w:tcW w:w="7341" w:type="dxa"/>
            <w:tcBorders>
              <w:tl2br w:val="nil"/>
              <w:tr2bl w:val="nil"/>
            </w:tcBorders>
            <w:shd w:val="clear" w:color="auto" w:fill="FFFFFF"/>
            <w:vAlign w:val="center"/>
          </w:tcPr>
          <w:p w14:paraId="01B34B6C">
            <w:pPr>
              <w:widowControl/>
              <w:ind w:firstLine="0" w:firstLineChars="0"/>
              <w:jc w:val="left"/>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评价要点：</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①项目是否按照规定的程序申请设立；</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②审批文件、材料是否符合相关要求；</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③事前是否已经过必要的可行性研究、专家论证、风险评估、绩效评估、集体决策。</w:t>
            </w:r>
          </w:p>
        </w:tc>
      </w:tr>
      <w:tr w14:paraId="6635C857">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919" w:hRule="atLeast"/>
          <w:jc w:val="center"/>
        </w:trPr>
        <w:tc>
          <w:tcPr>
            <w:tcW w:w="1155" w:type="dxa"/>
            <w:vMerge w:val="continue"/>
            <w:tcBorders>
              <w:tl2br w:val="nil"/>
              <w:tr2bl w:val="nil"/>
            </w:tcBorders>
            <w:shd w:val="clear" w:color="auto" w:fill="FFFFFF"/>
            <w:vAlign w:val="center"/>
          </w:tcPr>
          <w:p w14:paraId="1121C690">
            <w:pPr>
              <w:ind w:firstLine="0" w:firstLineChars="0"/>
              <w:jc w:val="center"/>
              <w:rPr>
                <w:rFonts w:ascii="宋体" w:hAnsi="宋体" w:eastAsia="宋体" w:cs="宋体"/>
                <w:color w:val="auto"/>
                <w:kern w:val="0"/>
                <w:sz w:val="22"/>
                <w:highlight w:val="none"/>
              </w:rPr>
            </w:pPr>
          </w:p>
        </w:tc>
        <w:tc>
          <w:tcPr>
            <w:tcW w:w="1199" w:type="dxa"/>
            <w:tcBorders>
              <w:tl2br w:val="nil"/>
              <w:tr2bl w:val="nil"/>
            </w:tcBorders>
            <w:shd w:val="clear" w:color="auto" w:fill="FFFFFF"/>
            <w:vAlign w:val="center"/>
          </w:tcPr>
          <w:p w14:paraId="6CC9E513">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绩效目标</w:t>
            </w:r>
          </w:p>
        </w:tc>
        <w:tc>
          <w:tcPr>
            <w:tcW w:w="1411" w:type="dxa"/>
            <w:tcBorders>
              <w:tl2br w:val="nil"/>
              <w:tr2bl w:val="nil"/>
            </w:tcBorders>
            <w:shd w:val="clear" w:color="auto" w:fill="FFFFFF"/>
            <w:vAlign w:val="center"/>
          </w:tcPr>
          <w:p w14:paraId="69BFF19F">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绩效目标</w:t>
            </w:r>
          </w:p>
          <w:p w14:paraId="4BD83376">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合理性</w:t>
            </w:r>
          </w:p>
        </w:tc>
        <w:tc>
          <w:tcPr>
            <w:tcW w:w="2789" w:type="dxa"/>
            <w:tcBorders>
              <w:tl2br w:val="nil"/>
              <w:tr2bl w:val="nil"/>
            </w:tcBorders>
            <w:shd w:val="clear" w:color="000000" w:fill="FFFFFF"/>
            <w:vAlign w:val="center"/>
          </w:tcPr>
          <w:p w14:paraId="27831402">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项目所设定的绩效目标是否依据充分，是否符合客观实际，用以反映和考核项目绩效目标与项目实施的相符情况。</w:t>
            </w:r>
          </w:p>
        </w:tc>
        <w:tc>
          <w:tcPr>
            <w:tcW w:w="7341" w:type="dxa"/>
            <w:tcBorders>
              <w:tl2br w:val="nil"/>
              <w:tr2bl w:val="nil"/>
            </w:tcBorders>
            <w:shd w:val="clear" w:color="000000" w:fill="FFFFFF"/>
            <w:vAlign w:val="center"/>
          </w:tcPr>
          <w:p w14:paraId="28A95E87">
            <w:pPr>
              <w:widowControl/>
              <w:ind w:firstLine="0" w:firstLineChars="0"/>
              <w:jc w:val="left"/>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评价要点：</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（如未设定预算绩效目标，也可考核其他工作任务目标）</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①项目是否有绩效目标；</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②项目绩效目标与实际工作内容是否具有相关性；</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③项目预期产出效益和效果是否符合正常的业绩水平；</w:t>
            </w:r>
          </w:p>
          <w:p w14:paraId="4E4B7F59">
            <w:pPr>
              <w:widowControl/>
              <w:ind w:firstLine="0" w:firstLineChars="0"/>
              <w:jc w:val="left"/>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④是否与预算确定的项目投资额或资金量相匹配。</w:t>
            </w:r>
          </w:p>
        </w:tc>
      </w:tr>
      <w:tr w14:paraId="0280BC2A">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464" w:hRule="atLeast"/>
          <w:jc w:val="center"/>
        </w:trPr>
        <w:tc>
          <w:tcPr>
            <w:tcW w:w="1155" w:type="dxa"/>
            <w:vMerge w:val="restart"/>
            <w:tcBorders>
              <w:tl2br w:val="nil"/>
              <w:tr2bl w:val="nil"/>
            </w:tcBorders>
            <w:shd w:val="clear" w:color="auto" w:fill="FFFFFF"/>
            <w:vAlign w:val="center"/>
          </w:tcPr>
          <w:p w14:paraId="32DC40E2">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决策</w:t>
            </w:r>
          </w:p>
        </w:tc>
        <w:tc>
          <w:tcPr>
            <w:tcW w:w="1199" w:type="dxa"/>
            <w:tcBorders>
              <w:tl2br w:val="nil"/>
              <w:tr2bl w:val="nil"/>
            </w:tcBorders>
            <w:shd w:val="clear" w:color="auto" w:fill="FFFFFF"/>
            <w:vAlign w:val="center"/>
          </w:tcPr>
          <w:p w14:paraId="5A7D5701">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绩效目标</w:t>
            </w:r>
          </w:p>
        </w:tc>
        <w:tc>
          <w:tcPr>
            <w:tcW w:w="1411" w:type="dxa"/>
            <w:tcBorders>
              <w:tl2br w:val="nil"/>
              <w:tr2bl w:val="nil"/>
            </w:tcBorders>
            <w:shd w:val="clear" w:color="auto" w:fill="FFFFFF"/>
            <w:vAlign w:val="center"/>
          </w:tcPr>
          <w:p w14:paraId="68D9E9C6">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绩效指标</w:t>
            </w:r>
          </w:p>
          <w:p w14:paraId="14FE967F">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明确性</w:t>
            </w:r>
          </w:p>
        </w:tc>
        <w:tc>
          <w:tcPr>
            <w:tcW w:w="2789" w:type="dxa"/>
            <w:tcBorders>
              <w:tl2br w:val="nil"/>
              <w:tr2bl w:val="nil"/>
            </w:tcBorders>
            <w:shd w:val="clear" w:color="000000" w:fill="FFFFFF"/>
            <w:vAlign w:val="center"/>
          </w:tcPr>
          <w:p w14:paraId="4F87D520">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依据绩效目标设定的绩效指标是否清晰、细化、可衡量等，用以反映和考核项目绩效目标的明细化情况。</w:t>
            </w:r>
          </w:p>
        </w:tc>
        <w:tc>
          <w:tcPr>
            <w:tcW w:w="7341" w:type="dxa"/>
            <w:tcBorders>
              <w:tl2br w:val="nil"/>
              <w:tr2bl w:val="nil"/>
            </w:tcBorders>
            <w:shd w:val="clear" w:color="000000" w:fill="FFFFFF"/>
            <w:vAlign w:val="center"/>
          </w:tcPr>
          <w:p w14:paraId="0DC9AEFB">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评价要点：</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①是否将项目绩效目标细化分解为具体的绩效指标；</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②是否通过清晰、可衡量的指标值予以体现；</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③是否与项目目标任务数或计划数相对应。</w:t>
            </w:r>
            <w:r>
              <w:rPr>
                <w:rFonts w:hint="eastAsia" w:ascii="宋体" w:hAnsi="宋体" w:eastAsia="宋体" w:cs="宋体"/>
                <w:color w:val="auto"/>
                <w:kern w:val="0"/>
                <w:sz w:val="22"/>
                <w:highlight w:val="none"/>
              </w:rPr>
              <w:br w:type="textWrapping"/>
            </w:r>
          </w:p>
        </w:tc>
      </w:tr>
      <w:tr w14:paraId="51CABF5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942" w:hRule="atLeast"/>
          <w:jc w:val="center"/>
        </w:trPr>
        <w:tc>
          <w:tcPr>
            <w:tcW w:w="1155" w:type="dxa"/>
            <w:vMerge w:val="continue"/>
            <w:tcBorders>
              <w:tl2br w:val="nil"/>
              <w:tr2bl w:val="nil"/>
            </w:tcBorders>
            <w:shd w:val="clear" w:color="auto" w:fill="FFFFFF"/>
            <w:vAlign w:val="center"/>
          </w:tcPr>
          <w:p w14:paraId="0594EE35">
            <w:pPr>
              <w:ind w:firstLine="0" w:firstLineChars="0"/>
              <w:jc w:val="center"/>
              <w:rPr>
                <w:rFonts w:ascii="宋体" w:hAnsi="宋体" w:eastAsia="宋体" w:cs="宋体"/>
                <w:color w:val="auto"/>
                <w:kern w:val="0"/>
                <w:sz w:val="22"/>
                <w:highlight w:val="none"/>
              </w:rPr>
            </w:pPr>
          </w:p>
        </w:tc>
        <w:tc>
          <w:tcPr>
            <w:tcW w:w="1199" w:type="dxa"/>
            <w:vMerge w:val="restart"/>
            <w:tcBorders>
              <w:tl2br w:val="nil"/>
              <w:tr2bl w:val="nil"/>
            </w:tcBorders>
            <w:shd w:val="clear" w:color="auto" w:fill="FFFFFF"/>
            <w:vAlign w:val="center"/>
          </w:tcPr>
          <w:p w14:paraId="14B493F1">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资金投入</w:t>
            </w:r>
          </w:p>
        </w:tc>
        <w:tc>
          <w:tcPr>
            <w:tcW w:w="1411" w:type="dxa"/>
            <w:tcBorders>
              <w:tl2br w:val="nil"/>
              <w:tr2bl w:val="nil"/>
            </w:tcBorders>
            <w:shd w:val="clear" w:color="auto" w:fill="FFFFFF"/>
            <w:vAlign w:val="center"/>
          </w:tcPr>
          <w:p w14:paraId="61918BC4">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预算编制</w:t>
            </w:r>
          </w:p>
          <w:p w14:paraId="33205E9D">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科学性</w:t>
            </w:r>
          </w:p>
        </w:tc>
        <w:tc>
          <w:tcPr>
            <w:tcW w:w="2789" w:type="dxa"/>
            <w:tcBorders>
              <w:tl2br w:val="nil"/>
              <w:tr2bl w:val="nil"/>
            </w:tcBorders>
            <w:shd w:val="clear" w:color="auto" w:fill="FFFFFF"/>
            <w:vAlign w:val="center"/>
          </w:tcPr>
          <w:p w14:paraId="0E5DE41C">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项目预算编制是否经过科学论证、有明确标准，资金额度与年度目标是否相适应，用以反映和考核项目预算编制的科学性、合理性情况。</w:t>
            </w:r>
          </w:p>
        </w:tc>
        <w:tc>
          <w:tcPr>
            <w:tcW w:w="7341" w:type="dxa"/>
            <w:tcBorders>
              <w:tl2br w:val="nil"/>
              <w:tr2bl w:val="nil"/>
            </w:tcBorders>
            <w:shd w:val="clear" w:color="auto" w:fill="FFFFFF"/>
            <w:vAlign w:val="center"/>
          </w:tcPr>
          <w:p w14:paraId="664CF45B">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评价要点：</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①预算编制是否经过科学论证；</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②预算内容与项目内容是否匹配；</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③预算额度测算依据是否充分，是否按照标准编制；</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④预算确定的项目投资额或资金量是否与工作任务相匹配。</w:t>
            </w:r>
          </w:p>
        </w:tc>
      </w:tr>
      <w:tr w14:paraId="5A07C5C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706" w:hRule="atLeast"/>
          <w:jc w:val="center"/>
        </w:trPr>
        <w:tc>
          <w:tcPr>
            <w:tcW w:w="1155" w:type="dxa"/>
            <w:vMerge w:val="continue"/>
            <w:tcBorders>
              <w:tl2br w:val="nil"/>
              <w:tr2bl w:val="nil"/>
            </w:tcBorders>
            <w:shd w:val="clear" w:color="auto" w:fill="FFFFFF"/>
            <w:vAlign w:val="center"/>
          </w:tcPr>
          <w:p w14:paraId="6D5DB28E">
            <w:pPr>
              <w:widowControl/>
              <w:ind w:firstLine="0" w:firstLineChars="0"/>
              <w:jc w:val="center"/>
              <w:rPr>
                <w:rFonts w:ascii="宋体" w:hAnsi="宋体" w:eastAsia="宋体" w:cs="宋体"/>
                <w:color w:val="auto"/>
                <w:kern w:val="0"/>
                <w:sz w:val="22"/>
                <w:highlight w:val="none"/>
              </w:rPr>
            </w:pPr>
          </w:p>
        </w:tc>
        <w:tc>
          <w:tcPr>
            <w:tcW w:w="1199" w:type="dxa"/>
            <w:vMerge w:val="continue"/>
            <w:tcBorders>
              <w:tl2br w:val="nil"/>
              <w:tr2bl w:val="nil"/>
            </w:tcBorders>
            <w:shd w:val="clear" w:color="auto" w:fill="FFFFFF"/>
            <w:vAlign w:val="center"/>
          </w:tcPr>
          <w:p w14:paraId="1D383A2D">
            <w:pPr>
              <w:widowControl/>
              <w:ind w:firstLine="0" w:firstLineChars="0"/>
              <w:jc w:val="center"/>
              <w:rPr>
                <w:rFonts w:ascii="宋体" w:hAnsi="宋体" w:eastAsia="宋体" w:cs="宋体"/>
                <w:color w:val="auto"/>
                <w:kern w:val="0"/>
                <w:sz w:val="22"/>
                <w:highlight w:val="none"/>
              </w:rPr>
            </w:pPr>
          </w:p>
        </w:tc>
        <w:tc>
          <w:tcPr>
            <w:tcW w:w="1411" w:type="dxa"/>
            <w:tcBorders>
              <w:tl2br w:val="nil"/>
              <w:tr2bl w:val="nil"/>
            </w:tcBorders>
            <w:shd w:val="clear" w:color="auto" w:fill="FFFFFF"/>
            <w:vAlign w:val="center"/>
          </w:tcPr>
          <w:p w14:paraId="6A8B5399">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资金分配</w:t>
            </w:r>
          </w:p>
          <w:p w14:paraId="6469BD97">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合理性</w:t>
            </w:r>
          </w:p>
        </w:tc>
        <w:tc>
          <w:tcPr>
            <w:tcW w:w="2789" w:type="dxa"/>
            <w:tcBorders>
              <w:tl2br w:val="nil"/>
              <w:tr2bl w:val="nil"/>
            </w:tcBorders>
            <w:shd w:val="clear" w:color="auto" w:fill="FFFFFF"/>
            <w:vAlign w:val="center"/>
          </w:tcPr>
          <w:p w14:paraId="2C6C5547">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项目预算资金分配是否有测算依据，与补助单位或地方实际是否相适应，用以反映和考核项目预算资金分配的科学性、合理性情况。</w:t>
            </w:r>
          </w:p>
        </w:tc>
        <w:tc>
          <w:tcPr>
            <w:tcW w:w="7341" w:type="dxa"/>
            <w:tcBorders>
              <w:tl2br w:val="nil"/>
              <w:tr2bl w:val="nil"/>
            </w:tcBorders>
            <w:shd w:val="clear" w:color="auto" w:fill="FFFFFF"/>
            <w:vAlign w:val="center"/>
          </w:tcPr>
          <w:p w14:paraId="02852858">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评价要点：</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①预算资金分配依据是否充分；</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②资金分配额度是否合理，与项目单位或地方实际是否相适应。</w:t>
            </w:r>
          </w:p>
        </w:tc>
      </w:tr>
      <w:tr w14:paraId="2D3768EA">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415" w:hRule="atLeast"/>
          <w:jc w:val="center"/>
        </w:trPr>
        <w:tc>
          <w:tcPr>
            <w:tcW w:w="1155" w:type="dxa"/>
            <w:vMerge w:val="restart"/>
            <w:tcBorders>
              <w:tl2br w:val="nil"/>
              <w:tr2bl w:val="nil"/>
            </w:tcBorders>
            <w:shd w:val="clear" w:color="auto" w:fill="FFFFFF"/>
            <w:vAlign w:val="center"/>
          </w:tcPr>
          <w:p w14:paraId="7A99505A">
            <w:pPr>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过程</w:t>
            </w:r>
          </w:p>
        </w:tc>
        <w:tc>
          <w:tcPr>
            <w:tcW w:w="1199" w:type="dxa"/>
            <w:vMerge w:val="restart"/>
            <w:tcBorders>
              <w:tl2br w:val="nil"/>
              <w:tr2bl w:val="nil"/>
            </w:tcBorders>
            <w:shd w:val="clear" w:color="auto" w:fill="FFFFFF"/>
            <w:vAlign w:val="center"/>
          </w:tcPr>
          <w:p w14:paraId="37BC0505">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资金管理</w:t>
            </w:r>
          </w:p>
        </w:tc>
        <w:tc>
          <w:tcPr>
            <w:tcW w:w="1411" w:type="dxa"/>
            <w:tcBorders>
              <w:tl2br w:val="nil"/>
              <w:tr2bl w:val="nil"/>
            </w:tcBorders>
            <w:shd w:val="clear" w:color="auto" w:fill="FFFFFF"/>
            <w:vAlign w:val="center"/>
          </w:tcPr>
          <w:p w14:paraId="3749614E">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资金到位率</w:t>
            </w:r>
          </w:p>
        </w:tc>
        <w:tc>
          <w:tcPr>
            <w:tcW w:w="2789" w:type="dxa"/>
            <w:tcBorders>
              <w:tl2br w:val="nil"/>
              <w:tr2bl w:val="nil"/>
            </w:tcBorders>
            <w:shd w:val="clear" w:color="000000" w:fill="FFFFFF"/>
            <w:vAlign w:val="center"/>
          </w:tcPr>
          <w:p w14:paraId="32B65435">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实际到位资金与预算资金的比率，用以反映和考核资金落实情况对项目实施的总体保障程度。</w:t>
            </w:r>
          </w:p>
        </w:tc>
        <w:tc>
          <w:tcPr>
            <w:tcW w:w="7341" w:type="dxa"/>
            <w:tcBorders>
              <w:tl2br w:val="nil"/>
              <w:tr2bl w:val="nil"/>
            </w:tcBorders>
            <w:shd w:val="clear" w:color="000000" w:fill="FFFFFF"/>
            <w:vAlign w:val="center"/>
          </w:tcPr>
          <w:p w14:paraId="1177197C">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资金到位率=（实际到位资金/预算资金）×100%。</w:t>
            </w:r>
          </w:p>
          <w:p w14:paraId="34604D7E">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实际到位资金：一定时期（本年度或项目期）内落实到具体项目的资金。</w:t>
            </w:r>
          </w:p>
          <w:p w14:paraId="03304012">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预算资金：一定时期（本年度或项目期）内预算安排到具体项目的资金。</w:t>
            </w:r>
          </w:p>
        </w:tc>
      </w:tr>
      <w:tr w14:paraId="683EF6E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320" w:hRule="atLeast"/>
          <w:jc w:val="center"/>
        </w:trPr>
        <w:tc>
          <w:tcPr>
            <w:tcW w:w="1155" w:type="dxa"/>
            <w:vMerge w:val="continue"/>
            <w:tcBorders>
              <w:tl2br w:val="nil"/>
              <w:tr2bl w:val="nil"/>
            </w:tcBorders>
            <w:shd w:val="clear" w:color="auto" w:fill="FFFFFF"/>
            <w:vAlign w:val="center"/>
          </w:tcPr>
          <w:p w14:paraId="41F60538">
            <w:pPr>
              <w:ind w:firstLine="0" w:firstLineChars="0"/>
              <w:jc w:val="center"/>
              <w:rPr>
                <w:rFonts w:ascii="宋体" w:hAnsi="宋体" w:eastAsia="宋体" w:cs="宋体"/>
                <w:color w:val="auto"/>
                <w:kern w:val="0"/>
                <w:sz w:val="22"/>
                <w:highlight w:val="none"/>
              </w:rPr>
            </w:pPr>
          </w:p>
        </w:tc>
        <w:tc>
          <w:tcPr>
            <w:tcW w:w="1199" w:type="dxa"/>
            <w:vMerge w:val="continue"/>
            <w:tcBorders>
              <w:tl2br w:val="nil"/>
              <w:tr2bl w:val="nil"/>
            </w:tcBorders>
            <w:shd w:val="clear" w:color="auto" w:fill="FFFFFF"/>
            <w:vAlign w:val="center"/>
          </w:tcPr>
          <w:p w14:paraId="21E79E6F">
            <w:pPr>
              <w:ind w:firstLine="0" w:firstLineChars="0"/>
              <w:jc w:val="center"/>
              <w:rPr>
                <w:rFonts w:ascii="宋体" w:hAnsi="宋体" w:eastAsia="宋体" w:cs="宋体"/>
                <w:color w:val="auto"/>
                <w:kern w:val="0"/>
                <w:sz w:val="22"/>
                <w:highlight w:val="none"/>
              </w:rPr>
            </w:pPr>
          </w:p>
        </w:tc>
        <w:tc>
          <w:tcPr>
            <w:tcW w:w="1411" w:type="dxa"/>
            <w:tcBorders>
              <w:tl2br w:val="nil"/>
              <w:tr2bl w:val="nil"/>
            </w:tcBorders>
            <w:shd w:val="clear" w:color="auto" w:fill="FFFFFF"/>
            <w:vAlign w:val="center"/>
          </w:tcPr>
          <w:p w14:paraId="5551925C">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预算执行率</w:t>
            </w:r>
          </w:p>
        </w:tc>
        <w:tc>
          <w:tcPr>
            <w:tcW w:w="2789" w:type="dxa"/>
            <w:tcBorders>
              <w:tl2br w:val="nil"/>
              <w:tr2bl w:val="nil"/>
            </w:tcBorders>
            <w:shd w:val="clear" w:color="auto" w:fill="FFFFFF"/>
            <w:vAlign w:val="center"/>
          </w:tcPr>
          <w:p w14:paraId="65A2ACB9">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项目预算资金是否按照计划执行，用以反映或考核项目预算执行情况。</w:t>
            </w:r>
          </w:p>
        </w:tc>
        <w:tc>
          <w:tcPr>
            <w:tcW w:w="7341" w:type="dxa"/>
            <w:tcBorders>
              <w:tl2br w:val="nil"/>
              <w:tr2bl w:val="nil"/>
            </w:tcBorders>
            <w:shd w:val="clear" w:color="auto" w:fill="FFFFFF"/>
            <w:vAlign w:val="center"/>
          </w:tcPr>
          <w:p w14:paraId="127CC96C">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预算执行率=（实际支出资金/实际到位资金）×100%。</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实际支出资金：一定时期（本年度或项目期）内项目实际拨付的资金。</w:t>
            </w:r>
          </w:p>
        </w:tc>
      </w:tr>
      <w:tr w14:paraId="6372500C">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076" w:hRule="atLeast"/>
          <w:jc w:val="center"/>
        </w:trPr>
        <w:tc>
          <w:tcPr>
            <w:tcW w:w="1155" w:type="dxa"/>
            <w:vMerge w:val="restart"/>
            <w:tcBorders>
              <w:tl2br w:val="nil"/>
              <w:tr2bl w:val="nil"/>
            </w:tcBorders>
            <w:shd w:val="clear" w:color="auto" w:fill="FFFFFF"/>
            <w:vAlign w:val="center"/>
          </w:tcPr>
          <w:p w14:paraId="606F8D35">
            <w:pPr>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过程</w:t>
            </w:r>
          </w:p>
        </w:tc>
        <w:tc>
          <w:tcPr>
            <w:tcW w:w="1199" w:type="dxa"/>
            <w:tcBorders>
              <w:tl2br w:val="nil"/>
              <w:tr2bl w:val="nil"/>
            </w:tcBorders>
            <w:shd w:val="clear" w:color="auto" w:fill="FFFFFF"/>
            <w:vAlign w:val="center"/>
          </w:tcPr>
          <w:p w14:paraId="4D90F0B1">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资金管理</w:t>
            </w:r>
          </w:p>
        </w:tc>
        <w:tc>
          <w:tcPr>
            <w:tcW w:w="1411" w:type="dxa"/>
            <w:tcBorders>
              <w:tl2br w:val="nil"/>
              <w:tr2bl w:val="nil"/>
            </w:tcBorders>
            <w:shd w:val="clear" w:color="auto" w:fill="FFFFFF"/>
            <w:vAlign w:val="center"/>
          </w:tcPr>
          <w:p w14:paraId="192EBCAA">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资金使用</w:t>
            </w:r>
          </w:p>
          <w:p w14:paraId="31953703">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合规性</w:t>
            </w:r>
          </w:p>
        </w:tc>
        <w:tc>
          <w:tcPr>
            <w:tcW w:w="2789" w:type="dxa"/>
            <w:tcBorders>
              <w:tl2br w:val="nil"/>
              <w:tr2bl w:val="nil"/>
            </w:tcBorders>
            <w:shd w:val="clear" w:color="000000" w:fill="FFFFFF"/>
            <w:vAlign w:val="center"/>
          </w:tcPr>
          <w:p w14:paraId="3F7548D8">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项目资金使用是否符合相关的财务管理制度规定，用以反映和考核项目资金的规范运行情况。</w:t>
            </w:r>
          </w:p>
        </w:tc>
        <w:tc>
          <w:tcPr>
            <w:tcW w:w="7341" w:type="dxa"/>
            <w:tcBorders>
              <w:tl2br w:val="nil"/>
              <w:tr2bl w:val="nil"/>
            </w:tcBorders>
            <w:shd w:val="clear" w:color="000000" w:fill="FFFFFF"/>
            <w:vAlign w:val="center"/>
          </w:tcPr>
          <w:p w14:paraId="0EB991A6">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评价要点：</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①是否符合国家财经法规和财务管理制度以及有关专项资金管理办法的规定；</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②资金的拨付是否有完整的审批程序和手续；</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③是否符合项目预算批复或合同规定的用途；</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④是否存在截留、挤占、挪用、虚列支出等情况。</w:t>
            </w:r>
          </w:p>
        </w:tc>
      </w:tr>
      <w:tr w14:paraId="6372A63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797" w:hRule="atLeast"/>
          <w:jc w:val="center"/>
        </w:trPr>
        <w:tc>
          <w:tcPr>
            <w:tcW w:w="1155" w:type="dxa"/>
            <w:vMerge w:val="continue"/>
            <w:tcBorders>
              <w:tl2br w:val="nil"/>
              <w:tr2bl w:val="nil"/>
            </w:tcBorders>
            <w:shd w:val="clear" w:color="auto" w:fill="FFFFFF"/>
            <w:vAlign w:val="center"/>
          </w:tcPr>
          <w:p w14:paraId="0E8D1906">
            <w:pPr>
              <w:ind w:firstLine="0" w:firstLineChars="0"/>
              <w:jc w:val="center"/>
              <w:rPr>
                <w:rFonts w:ascii="宋体" w:hAnsi="宋体" w:eastAsia="宋体" w:cs="宋体"/>
                <w:color w:val="auto"/>
                <w:kern w:val="0"/>
                <w:sz w:val="22"/>
                <w:highlight w:val="none"/>
              </w:rPr>
            </w:pPr>
          </w:p>
        </w:tc>
        <w:tc>
          <w:tcPr>
            <w:tcW w:w="1199" w:type="dxa"/>
            <w:vMerge w:val="restart"/>
            <w:tcBorders>
              <w:tl2br w:val="nil"/>
              <w:tr2bl w:val="nil"/>
            </w:tcBorders>
            <w:shd w:val="clear" w:color="auto" w:fill="FFFFFF"/>
            <w:vAlign w:val="center"/>
          </w:tcPr>
          <w:p w14:paraId="39A0207C">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组织实施</w:t>
            </w:r>
          </w:p>
        </w:tc>
        <w:tc>
          <w:tcPr>
            <w:tcW w:w="1411" w:type="dxa"/>
            <w:tcBorders>
              <w:tl2br w:val="nil"/>
              <w:tr2bl w:val="nil"/>
            </w:tcBorders>
            <w:shd w:val="clear" w:color="auto" w:fill="FFFFFF"/>
            <w:vAlign w:val="center"/>
          </w:tcPr>
          <w:p w14:paraId="68646EDD">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管理制度</w:t>
            </w:r>
          </w:p>
          <w:p w14:paraId="33B70F76">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健全性</w:t>
            </w:r>
          </w:p>
        </w:tc>
        <w:tc>
          <w:tcPr>
            <w:tcW w:w="2789" w:type="dxa"/>
            <w:tcBorders>
              <w:tl2br w:val="nil"/>
              <w:tr2bl w:val="nil"/>
            </w:tcBorders>
            <w:shd w:val="clear" w:color="000000" w:fill="FFFFFF"/>
            <w:vAlign w:val="center"/>
          </w:tcPr>
          <w:p w14:paraId="1E51850A">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项目实施单位的财务和业务管理制度是否健全，用以反映和考核财务和业务管理制度对项目顺利实施的保障情况。</w:t>
            </w:r>
          </w:p>
        </w:tc>
        <w:tc>
          <w:tcPr>
            <w:tcW w:w="7341" w:type="dxa"/>
            <w:tcBorders>
              <w:tl2br w:val="nil"/>
              <w:tr2bl w:val="nil"/>
            </w:tcBorders>
            <w:shd w:val="clear" w:color="000000" w:fill="FFFFFF"/>
            <w:vAlign w:val="center"/>
          </w:tcPr>
          <w:p w14:paraId="4F1DF3C6">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评价要点：</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①是否已制定或具有相应的财务和业务管理制度；</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②财务和业务管理制度是否合法、合规、完整。</w:t>
            </w:r>
          </w:p>
        </w:tc>
      </w:tr>
      <w:tr w14:paraId="7AF6753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769" w:hRule="atLeast"/>
          <w:jc w:val="center"/>
        </w:trPr>
        <w:tc>
          <w:tcPr>
            <w:tcW w:w="1155" w:type="dxa"/>
            <w:vMerge w:val="continue"/>
            <w:tcBorders>
              <w:tl2br w:val="nil"/>
              <w:tr2bl w:val="nil"/>
            </w:tcBorders>
            <w:shd w:val="clear" w:color="auto" w:fill="FFFFFF"/>
            <w:vAlign w:val="center"/>
          </w:tcPr>
          <w:p w14:paraId="071224EA">
            <w:pPr>
              <w:widowControl/>
              <w:ind w:firstLine="0" w:firstLineChars="0"/>
              <w:jc w:val="center"/>
              <w:rPr>
                <w:rFonts w:ascii="宋体" w:hAnsi="宋体" w:eastAsia="宋体" w:cs="宋体"/>
                <w:color w:val="auto"/>
                <w:kern w:val="0"/>
                <w:sz w:val="22"/>
                <w:highlight w:val="none"/>
              </w:rPr>
            </w:pPr>
          </w:p>
        </w:tc>
        <w:tc>
          <w:tcPr>
            <w:tcW w:w="1199" w:type="dxa"/>
            <w:vMerge w:val="continue"/>
            <w:tcBorders>
              <w:tl2br w:val="nil"/>
              <w:tr2bl w:val="nil"/>
            </w:tcBorders>
            <w:shd w:val="clear" w:color="auto" w:fill="FFFFFF"/>
            <w:vAlign w:val="center"/>
          </w:tcPr>
          <w:p w14:paraId="7A1B9B07">
            <w:pPr>
              <w:widowControl/>
              <w:ind w:firstLine="0" w:firstLineChars="0"/>
              <w:jc w:val="center"/>
              <w:rPr>
                <w:rFonts w:ascii="宋体" w:hAnsi="宋体" w:eastAsia="宋体" w:cs="宋体"/>
                <w:color w:val="auto"/>
                <w:kern w:val="0"/>
                <w:sz w:val="22"/>
                <w:highlight w:val="none"/>
              </w:rPr>
            </w:pPr>
          </w:p>
        </w:tc>
        <w:tc>
          <w:tcPr>
            <w:tcW w:w="1411" w:type="dxa"/>
            <w:tcBorders>
              <w:tl2br w:val="nil"/>
              <w:tr2bl w:val="nil"/>
            </w:tcBorders>
            <w:shd w:val="clear" w:color="auto" w:fill="FFFFFF"/>
            <w:vAlign w:val="center"/>
          </w:tcPr>
          <w:p w14:paraId="4AB1B6FD">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制度执行</w:t>
            </w:r>
          </w:p>
          <w:p w14:paraId="46F2936D">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有效性</w:t>
            </w:r>
          </w:p>
        </w:tc>
        <w:tc>
          <w:tcPr>
            <w:tcW w:w="2789" w:type="dxa"/>
            <w:tcBorders>
              <w:tl2br w:val="nil"/>
              <w:tr2bl w:val="nil"/>
            </w:tcBorders>
            <w:shd w:val="clear" w:color="000000" w:fill="FFFFFF"/>
            <w:vAlign w:val="center"/>
          </w:tcPr>
          <w:p w14:paraId="1EDBA9C4">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项目实施是否符合相关管理规定，用以反映和考核相关管理制度的有效执行情况。</w:t>
            </w:r>
          </w:p>
        </w:tc>
        <w:tc>
          <w:tcPr>
            <w:tcW w:w="7341" w:type="dxa"/>
            <w:tcBorders>
              <w:tl2br w:val="nil"/>
              <w:tr2bl w:val="nil"/>
            </w:tcBorders>
            <w:shd w:val="clear" w:color="000000" w:fill="FFFFFF"/>
            <w:vAlign w:val="center"/>
          </w:tcPr>
          <w:p w14:paraId="438D3EB7">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评价要点：</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①是否遵守相关法律法规和相关管理规定；</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②项目调整及支出调整手续是否完备；</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③项目合同书、验收报告、技术鉴定等资料是否齐全并及时归档；</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④项目实施的人员条件、场地设备、信息支撑等是否落实到位。</w:t>
            </w:r>
          </w:p>
        </w:tc>
      </w:tr>
      <w:tr w14:paraId="3AC6F04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40" w:hRule="atLeast"/>
          <w:jc w:val="center"/>
        </w:trPr>
        <w:tc>
          <w:tcPr>
            <w:tcW w:w="1155" w:type="dxa"/>
            <w:vMerge w:val="restart"/>
            <w:tcBorders>
              <w:tl2br w:val="nil"/>
              <w:tr2bl w:val="nil"/>
            </w:tcBorders>
            <w:shd w:val="clear" w:color="auto" w:fill="FFFFFF"/>
            <w:vAlign w:val="center"/>
          </w:tcPr>
          <w:p w14:paraId="13E5936A">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产出</w:t>
            </w:r>
          </w:p>
        </w:tc>
        <w:tc>
          <w:tcPr>
            <w:tcW w:w="1199" w:type="dxa"/>
            <w:vMerge w:val="restart"/>
            <w:tcBorders>
              <w:tl2br w:val="nil"/>
              <w:tr2bl w:val="nil"/>
            </w:tcBorders>
            <w:shd w:val="clear" w:color="auto" w:fill="FFFFFF"/>
            <w:vAlign w:val="center"/>
          </w:tcPr>
          <w:p w14:paraId="4A6A835D">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产出数量</w:t>
            </w:r>
          </w:p>
        </w:tc>
        <w:tc>
          <w:tcPr>
            <w:tcW w:w="1411" w:type="dxa"/>
            <w:tcBorders>
              <w:tl2br w:val="nil"/>
              <w:tr2bl w:val="nil"/>
            </w:tcBorders>
            <w:shd w:val="clear" w:color="auto" w:fill="FFFFFF"/>
          </w:tcPr>
          <w:p w14:paraId="229998B3">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采购工作完成情况</w:t>
            </w:r>
          </w:p>
        </w:tc>
        <w:tc>
          <w:tcPr>
            <w:tcW w:w="2789" w:type="dxa"/>
            <w:vMerge w:val="restart"/>
            <w:tcBorders>
              <w:tl2br w:val="nil"/>
              <w:tr2bl w:val="nil"/>
            </w:tcBorders>
            <w:shd w:val="clear" w:color="000000" w:fill="FFFFFF"/>
            <w:vAlign w:val="center"/>
          </w:tcPr>
          <w:p w14:paraId="1D3CF263">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项目实施的实际产出数与计划产出数的比率，用以反映和考核项目产出数量目标的实现程度。</w:t>
            </w:r>
          </w:p>
        </w:tc>
        <w:tc>
          <w:tcPr>
            <w:tcW w:w="7341" w:type="dxa"/>
            <w:vMerge w:val="restart"/>
            <w:tcBorders>
              <w:tl2br w:val="nil"/>
              <w:tr2bl w:val="nil"/>
            </w:tcBorders>
            <w:shd w:val="clear" w:color="000000" w:fill="FFFFFF"/>
            <w:vAlign w:val="center"/>
          </w:tcPr>
          <w:p w14:paraId="110C3005">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实际完成率=（实际产出数/计划产出数）×100%。</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实际产出数：一定时期（本年度或项目期）内项目实际产出的产品或提供的服务数量。</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计划产出数：项目绩效目标确定的在一定时期（本年度或项目期）内计划产出的产品或提供的服务数量。</w:t>
            </w:r>
          </w:p>
        </w:tc>
      </w:tr>
      <w:tr w14:paraId="041B9ED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40" w:hRule="atLeast"/>
          <w:jc w:val="center"/>
        </w:trPr>
        <w:tc>
          <w:tcPr>
            <w:tcW w:w="1155" w:type="dxa"/>
            <w:vMerge w:val="continue"/>
            <w:tcBorders>
              <w:tl2br w:val="nil"/>
              <w:tr2bl w:val="nil"/>
            </w:tcBorders>
            <w:shd w:val="clear" w:color="auto" w:fill="FFFFFF"/>
            <w:vAlign w:val="center"/>
          </w:tcPr>
          <w:p w14:paraId="317DB885">
            <w:pPr>
              <w:widowControl/>
              <w:ind w:firstLine="0" w:firstLineChars="0"/>
              <w:jc w:val="center"/>
              <w:rPr>
                <w:rFonts w:ascii="宋体" w:hAnsi="宋体" w:eastAsia="宋体" w:cs="宋体"/>
                <w:color w:val="auto"/>
                <w:kern w:val="0"/>
                <w:sz w:val="22"/>
                <w:highlight w:val="none"/>
              </w:rPr>
            </w:pPr>
          </w:p>
        </w:tc>
        <w:tc>
          <w:tcPr>
            <w:tcW w:w="1199" w:type="dxa"/>
            <w:vMerge w:val="continue"/>
            <w:tcBorders>
              <w:tl2br w:val="nil"/>
              <w:tr2bl w:val="nil"/>
            </w:tcBorders>
            <w:shd w:val="clear" w:color="auto" w:fill="FFFFFF"/>
            <w:vAlign w:val="center"/>
          </w:tcPr>
          <w:p w14:paraId="08E69DA8">
            <w:pPr>
              <w:widowControl/>
              <w:ind w:firstLine="0" w:firstLineChars="0"/>
              <w:jc w:val="center"/>
              <w:rPr>
                <w:rFonts w:ascii="宋体" w:hAnsi="宋体" w:eastAsia="宋体" w:cs="宋体"/>
                <w:color w:val="auto"/>
                <w:kern w:val="0"/>
                <w:sz w:val="22"/>
                <w:highlight w:val="none"/>
              </w:rPr>
            </w:pPr>
          </w:p>
        </w:tc>
        <w:tc>
          <w:tcPr>
            <w:tcW w:w="1411" w:type="dxa"/>
            <w:tcBorders>
              <w:tl2br w:val="nil"/>
              <w:tr2bl w:val="nil"/>
            </w:tcBorders>
            <w:shd w:val="clear" w:color="auto" w:fill="FFFFFF"/>
          </w:tcPr>
          <w:p w14:paraId="27A960C4">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建设工作完成情况</w:t>
            </w:r>
          </w:p>
        </w:tc>
        <w:tc>
          <w:tcPr>
            <w:tcW w:w="2789" w:type="dxa"/>
            <w:vMerge w:val="continue"/>
            <w:tcBorders>
              <w:tl2br w:val="nil"/>
              <w:tr2bl w:val="nil"/>
            </w:tcBorders>
            <w:shd w:val="clear" w:color="000000" w:fill="FFFFFF"/>
            <w:vAlign w:val="center"/>
          </w:tcPr>
          <w:p w14:paraId="54353C0D">
            <w:pPr>
              <w:widowControl/>
              <w:ind w:firstLine="0" w:firstLineChars="0"/>
              <w:rPr>
                <w:rFonts w:ascii="宋体" w:hAnsi="宋体" w:eastAsia="宋体" w:cs="宋体"/>
                <w:color w:val="auto"/>
                <w:kern w:val="0"/>
                <w:sz w:val="22"/>
                <w:highlight w:val="none"/>
              </w:rPr>
            </w:pPr>
          </w:p>
        </w:tc>
        <w:tc>
          <w:tcPr>
            <w:tcW w:w="7341" w:type="dxa"/>
            <w:vMerge w:val="continue"/>
            <w:tcBorders>
              <w:tl2br w:val="nil"/>
              <w:tr2bl w:val="nil"/>
            </w:tcBorders>
            <w:shd w:val="clear" w:color="000000" w:fill="FFFFFF"/>
            <w:vAlign w:val="center"/>
          </w:tcPr>
          <w:p w14:paraId="097B89B8">
            <w:pPr>
              <w:widowControl/>
              <w:ind w:firstLine="0" w:firstLineChars="0"/>
              <w:rPr>
                <w:rFonts w:ascii="宋体" w:hAnsi="宋体" w:eastAsia="宋体" w:cs="宋体"/>
                <w:color w:val="auto"/>
                <w:kern w:val="0"/>
                <w:sz w:val="22"/>
                <w:highlight w:val="none"/>
              </w:rPr>
            </w:pPr>
          </w:p>
        </w:tc>
      </w:tr>
      <w:tr w14:paraId="6C6678A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40" w:hRule="atLeast"/>
          <w:jc w:val="center"/>
        </w:trPr>
        <w:tc>
          <w:tcPr>
            <w:tcW w:w="1155" w:type="dxa"/>
            <w:vMerge w:val="continue"/>
            <w:tcBorders>
              <w:tl2br w:val="nil"/>
              <w:tr2bl w:val="nil"/>
            </w:tcBorders>
            <w:shd w:val="clear" w:color="auto" w:fill="FFFFFF"/>
            <w:vAlign w:val="center"/>
          </w:tcPr>
          <w:p w14:paraId="1F888403">
            <w:pPr>
              <w:widowControl/>
              <w:ind w:firstLine="0" w:firstLineChars="0"/>
              <w:jc w:val="center"/>
              <w:rPr>
                <w:rFonts w:ascii="宋体" w:hAnsi="宋体" w:eastAsia="宋体" w:cs="宋体"/>
                <w:color w:val="auto"/>
                <w:kern w:val="0"/>
                <w:sz w:val="22"/>
                <w:highlight w:val="none"/>
              </w:rPr>
            </w:pPr>
          </w:p>
        </w:tc>
        <w:tc>
          <w:tcPr>
            <w:tcW w:w="1199" w:type="dxa"/>
            <w:vMerge w:val="continue"/>
            <w:tcBorders>
              <w:tl2br w:val="nil"/>
              <w:tr2bl w:val="nil"/>
            </w:tcBorders>
            <w:shd w:val="clear" w:color="auto" w:fill="FFFFFF"/>
            <w:vAlign w:val="center"/>
          </w:tcPr>
          <w:p w14:paraId="4DB8D455">
            <w:pPr>
              <w:widowControl/>
              <w:ind w:firstLine="0" w:firstLineChars="0"/>
              <w:jc w:val="center"/>
              <w:rPr>
                <w:rFonts w:ascii="宋体" w:hAnsi="宋体" w:eastAsia="宋体" w:cs="宋体"/>
                <w:color w:val="auto"/>
                <w:kern w:val="0"/>
                <w:sz w:val="22"/>
                <w:highlight w:val="none"/>
              </w:rPr>
            </w:pPr>
          </w:p>
        </w:tc>
        <w:tc>
          <w:tcPr>
            <w:tcW w:w="1411" w:type="dxa"/>
            <w:tcBorders>
              <w:tl2br w:val="nil"/>
              <w:tr2bl w:val="nil"/>
            </w:tcBorders>
            <w:shd w:val="clear" w:color="auto" w:fill="FFFFFF"/>
          </w:tcPr>
          <w:p w14:paraId="51993C45">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检测工作完成情况</w:t>
            </w:r>
          </w:p>
        </w:tc>
        <w:tc>
          <w:tcPr>
            <w:tcW w:w="2789" w:type="dxa"/>
            <w:vMerge w:val="continue"/>
            <w:tcBorders>
              <w:tl2br w:val="nil"/>
              <w:tr2bl w:val="nil"/>
            </w:tcBorders>
            <w:shd w:val="clear" w:color="000000" w:fill="FFFFFF"/>
            <w:vAlign w:val="center"/>
          </w:tcPr>
          <w:p w14:paraId="630EFC10">
            <w:pPr>
              <w:widowControl/>
              <w:ind w:firstLine="0" w:firstLineChars="0"/>
              <w:rPr>
                <w:rFonts w:ascii="宋体" w:hAnsi="宋体" w:eastAsia="宋体" w:cs="宋体"/>
                <w:color w:val="auto"/>
                <w:kern w:val="0"/>
                <w:sz w:val="22"/>
                <w:highlight w:val="none"/>
              </w:rPr>
            </w:pPr>
          </w:p>
        </w:tc>
        <w:tc>
          <w:tcPr>
            <w:tcW w:w="7341" w:type="dxa"/>
            <w:vMerge w:val="continue"/>
            <w:tcBorders>
              <w:tl2br w:val="nil"/>
              <w:tr2bl w:val="nil"/>
            </w:tcBorders>
            <w:shd w:val="clear" w:color="000000" w:fill="FFFFFF"/>
            <w:vAlign w:val="center"/>
          </w:tcPr>
          <w:p w14:paraId="062AFCAA">
            <w:pPr>
              <w:widowControl/>
              <w:ind w:firstLine="0" w:firstLineChars="0"/>
              <w:rPr>
                <w:rFonts w:ascii="宋体" w:hAnsi="宋体" w:eastAsia="宋体" w:cs="宋体"/>
                <w:color w:val="auto"/>
                <w:kern w:val="0"/>
                <w:sz w:val="22"/>
                <w:highlight w:val="none"/>
              </w:rPr>
            </w:pPr>
          </w:p>
        </w:tc>
      </w:tr>
      <w:tr w14:paraId="773B25C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718" w:hRule="atLeast"/>
          <w:jc w:val="center"/>
        </w:trPr>
        <w:tc>
          <w:tcPr>
            <w:tcW w:w="1155" w:type="dxa"/>
            <w:vMerge w:val="restart"/>
            <w:tcBorders>
              <w:tl2br w:val="nil"/>
              <w:tr2bl w:val="nil"/>
            </w:tcBorders>
            <w:shd w:val="clear" w:color="auto" w:fill="FFFFFF"/>
            <w:vAlign w:val="center"/>
          </w:tcPr>
          <w:p w14:paraId="53F3D367">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产出</w:t>
            </w:r>
          </w:p>
        </w:tc>
        <w:tc>
          <w:tcPr>
            <w:tcW w:w="1199" w:type="dxa"/>
            <w:tcBorders>
              <w:tl2br w:val="nil"/>
              <w:tr2bl w:val="nil"/>
            </w:tcBorders>
            <w:shd w:val="clear" w:color="auto" w:fill="FFFFFF"/>
            <w:vAlign w:val="center"/>
          </w:tcPr>
          <w:p w14:paraId="6340676A">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产出质量</w:t>
            </w:r>
          </w:p>
        </w:tc>
        <w:tc>
          <w:tcPr>
            <w:tcW w:w="1411" w:type="dxa"/>
            <w:tcBorders>
              <w:tl2br w:val="nil"/>
              <w:tr2bl w:val="nil"/>
            </w:tcBorders>
            <w:shd w:val="clear" w:color="auto" w:fill="FFFFFF"/>
            <w:vAlign w:val="center"/>
          </w:tcPr>
          <w:p w14:paraId="579D88CE">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质量指标完成情况</w:t>
            </w:r>
          </w:p>
        </w:tc>
        <w:tc>
          <w:tcPr>
            <w:tcW w:w="2789" w:type="dxa"/>
            <w:tcBorders>
              <w:tl2br w:val="nil"/>
              <w:tr2bl w:val="nil"/>
            </w:tcBorders>
            <w:shd w:val="clear" w:color="000000" w:fill="FFFFFF"/>
            <w:vAlign w:val="center"/>
          </w:tcPr>
          <w:p w14:paraId="163E669B">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项目完成的质量达标产出数与实际产出数的比率，用以反映和考核项目产出质量目标的实现程度。</w:t>
            </w:r>
          </w:p>
        </w:tc>
        <w:tc>
          <w:tcPr>
            <w:tcW w:w="7341" w:type="dxa"/>
            <w:tcBorders>
              <w:tl2br w:val="nil"/>
              <w:tr2bl w:val="nil"/>
            </w:tcBorders>
            <w:shd w:val="clear" w:color="000000" w:fill="FFFFFF"/>
            <w:vAlign w:val="center"/>
          </w:tcPr>
          <w:p w14:paraId="57180D9B">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质量达标率=（质量达标产出数/实际产出数）×100%。</w:t>
            </w:r>
          </w:p>
          <w:p w14:paraId="3103F084">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质量达标产出数：一定时期（本年度或项目期）内实际达到既定质量标准的产品或服务数量。既定质量标准是指项目实施单位设立绩效目标时依据计划标准、行业标准、历史标准或其他标准而设定的绩效指标值。</w:t>
            </w:r>
          </w:p>
        </w:tc>
      </w:tr>
      <w:tr w14:paraId="6BF48D7F">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60" w:hRule="atLeast"/>
          <w:jc w:val="center"/>
        </w:trPr>
        <w:tc>
          <w:tcPr>
            <w:tcW w:w="1155" w:type="dxa"/>
            <w:vMerge w:val="continue"/>
            <w:tcBorders>
              <w:tl2br w:val="nil"/>
              <w:tr2bl w:val="nil"/>
            </w:tcBorders>
            <w:shd w:val="clear" w:color="auto" w:fill="FFFFFF"/>
            <w:vAlign w:val="center"/>
          </w:tcPr>
          <w:p w14:paraId="2F94A022">
            <w:pPr>
              <w:ind w:firstLine="0" w:firstLineChars="0"/>
              <w:jc w:val="center"/>
              <w:rPr>
                <w:rFonts w:ascii="宋体" w:hAnsi="宋体" w:eastAsia="宋体" w:cs="宋体"/>
                <w:color w:val="auto"/>
                <w:kern w:val="0"/>
                <w:sz w:val="22"/>
                <w:highlight w:val="none"/>
              </w:rPr>
            </w:pPr>
          </w:p>
        </w:tc>
        <w:tc>
          <w:tcPr>
            <w:tcW w:w="1199" w:type="dxa"/>
            <w:vMerge w:val="restart"/>
            <w:tcBorders>
              <w:tl2br w:val="nil"/>
              <w:tr2bl w:val="nil"/>
            </w:tcBorders>
            <w:shd w:val="clear" w:color="auto" w:fill="FFFFFF"/>
            <w:vAlign w:val="center"/>
          </w:tcPr>
          <w:p w14:paraId="22C9032D">
            <w:pPr>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产出时效</w:t>
            </w:r>
          </w:p>
        </w:tc>
        <w:tc>
          <w:tcPr>
            <w:tcW w:w="1411" w:type="dxa"/>
            <w:tcBorders>
              <w:tl2br w:val="nil"/>
              <w:tr2bl w:val="nil"/>
            </w:tcBorders>
            <w:shd w:val="clear" w:color="auto" w:fill="FFFFFF"/>
            <w:vAlign w:val="center"/>
          </w:tcPr>
          <w:p w14:paraId="123C3DB2">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建设工程开工及时率</w:t>
            </w:r>
          </w:p>
        </w:tc>
        <w:tc>
          <w:tcPr>
            <w:tcW w:w="2789" w:type="dxa"/>
            <w:vMerge w:val="restart"/>
            <w:tcBorders>
              <w:tl2br w:val="nil"/>
              <w:tr2bl w:val="nil"/>
            </w:tcBorders>
            <w:shd w:val="clear" w:color="000000" w:fill="FFFFFF"/>
            <w:vAlign w:val="center"/>
          </w:tcPr>
          <w:p w14:paraId="2902B406">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项目实际完成时间与计划完成时间的比较，用以反映和考核项目产出时效目标的实现程度。</w:t>
            </w:r>
          </w:p>
        </w:tc>
        <w:tc>
          <w:tcPr>
            <w:tcW w:w="7341" w:type="dxa"/>
            <w:vMerge w:val="restart"/>
            <w:tcBorders>
              <w:tl2br w:val="nil"/>
              <w:tr2bl w:val="nil"/>
            </w:tcBorders>
            <w:shd w:val="clear" w:color="000000" w:fill="FFFFFF"/>
            <w:vAlign w:val="center"/>
          </w:tcPr>
          <w:p w14:paraId="5941E5F5">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实际完成时间：项目实施单位完成该项目实际所耗用的时间。</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计划完成时间：按照项目实施计划或相关规定完成该项目所需的时间。</w:t>
            </w:r>
          </w:p>
        </w:tc>
      </w:tr>
      <w:tr w14:paraId="2AAA40F9">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60" w:hRule="atLeast"/>
          <w:jc w:val="center"/>
        </w:trPr>
        <w:tc>
          <w:tcPr>
            <w:tcW w:w="1155" w:type="dxa"/>
            <w:vMerge w:val="continue"/>
            <w:tcBorders>
              <w:tl2br w:val="nil"/>
              <w:tr2bl w:val="nil"/>
            </w:tcBorders>
            <w:shd w:val="clear" w:color="auto" w:fill="FFFFFF"/>
            <w:vAlign w:val="center"/>
          </w:tcPr>
          <w:p w14:paraId="0C73358A">
            <w:pPr>
              <w:ind w:firstLine="0" w:firstLineChars="0"/>
              <w:jc w:val="center"/>
              <w:rPr>
                <w:rFonts w:ascii="宋体" w:hAnsi="宋体" w:eastAsia="宋体" w:cs="宋体"/>
                <w:color w:val="auto"/>
                <w:kern w:val="0"/>
                <w:sz w:val="22"/>
                <w:highlight w:val="none"/>
              </w:rPr>
            </w:pPr>
          </w:p>
        </w:tc>
        <w:tc>
          <w:tcPr>
            <w:tcW w:w="1199" w:type="dxa"/>
            <w:vMerge w:val="continue"/>
            <w:tcBorders>
              <w:tl2br w:val="nil"/>
              <w:tr2bl w:val="nil"/>
            </w:tcBorders>
            <w:shd w:val="clear" w:color="auto" w:fill="FFFFFF"/>
            <w:vAlign w:val="center"/>
          </w:tcPr>
          <w:p w14:paraId="032B95D7">
            <w:pPr>
              <w:ind w:firstLine="0" w:firstLineChars="0"/>
              <w:jc w:val="center"/>
              <w:rPr>
                <w:rFonts w:ascii="宋体" w:hAnsi="宋体" w:eastAsia="宋体" w:cs="宋体"/>
                <w:color w:val="auto"/>
                <w:kern w:val="0"/>
                <w:sz w:val="22"/>
                <w:highlight w:val="none"/>
              </w:rPr>
            </w:pPr>
          </w:p>
        </w:tc>
        <w:tc>
          <w:tcPr>
            <w:tcW w:w="1411" w:type="dxa"/>
            <w:tcBorders>
              <w:tl2br w:val="nil"/>
              <w:tr2bl w:val="nil"/>
            </w:tcBorders>
            <w:shd w:val="clear" w:color="auto" w:fill="FFFFFF"/>
            <w:vAlign w:val="center"/>
          </w:tcPr>
          <w:p w14:paraId="35F75DA6">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建设工程完工及时率</w:t>
            </w:r>
          </w:p>
        </w:tc>
        <w:tc>
          <w:tcPr>
            <w:tcW w:w="2789" w:type="dxa"/>
            <w:vMerge w:val="continue"/>
            <w:tcBorders>
              <w:tl2br w:val="nil"/>
              <w:tr2bl w:val="nil"/>
            </w:tcBorders>
            <w:shd w:val="clear" w:color="000000" w:fill="FFFFFF"/>
            <w:vAlign w:val="center"/>
          </w:tcPr>
          <w:p w14:paraId="2F8016DB">
            <w:pPr>
              <w:widowControl/>
              <w:ind w:firstLine="0" w:firstLineChars="0"/>
              <w:rPr>
                <w:rFonts w:ascii="宋体" w:hAnsi="宋体" w:eastAsia="宋体" w:cs="宋体"/>
                <w:color w:val="auto"/>
                <w:kern w:val="0"/>
                <w:sz w:val="22"/>
                <w:highlight w:val="none"/>
              </w:rPr>
            </w:pPr>
          </w:p>
        </w:tc>
        <w:tc>
          <w:tcPr>
            <w:tcW w:w="7341" w:type="dxa"/>
            <w:vMerge w:val="continue"/>
            <w:tcBorders>
              <w:tl2br w:val="nil"/>
              <w:tr2bl w:val="nil"/>
            </w:tcBorders>
            <w:shd w:val="clear" w:color="000000" w:fill="FFFFFF"/>
            <w:vAlign w:val="center"/>
          </w:tcPr>
          <w:p w14:paraId="6FC68035">
            <w:pPr>
              <w:widowControl/>
              <w:ind w:firstLine="0" w:firstLineChars="0"/>
              <w:rPr>
                <w:rFonts w:ascii="宋体" w:hAnsi="宋体" w:eastAsia="宋体" w:cs="宋体"/>
                <w:color w:val="auto"/>
                <w:kern w:val="0"/>
                <w:sz w:val="22"/>
                <w:highlight w:val="none"/>
              </w:rPr>
            </w:pPr>
          </w:p>
        </w:tc>
      </w:tr>
      <w:tr w14:paraId="2905E53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076" w:hRule="atLeast"/>
          <w:jc w:val="center"/>
        </w:trPr>
        <w:tc>
          <w:tcPr>
            <w:tcW w:w="1155" w:type="dxa"/>
            <w:vMerge w:val="continue"/>
            <w:tcBorders>
              <w:tl2br w:val="nil"/>
              <w:tr2bl w:val="nil"/>
            </w:tcBorders>
            <w:shd w:val="clear" w:color="auto" w:fill="FFFFFF"/>
            <w:vAlign w:val="center"/>
          </w:tcPr>
          <w:p w14:paraId="23BB70CF">
            <w:pPr>
              <w:widowControl/>
              <w:ind w:firstLine="0" w:firstLineChars="0"/>
              <w:jc w:val="center"/>
              <w:rPr>
                <w:rFonts w:ascii="宋体" w:hAnsi="宋体" w:eastAsia="宋体" w:cs="宋体"/>
                <w:color w:val="auto"/>
                <w:kern w:val="0"/>
                <w:sz w:val="22"/>
                <w:highlight w:val="none"/>
              </w:rPr>
            </w:pPr>
          </w:p>
        </w:tc>
        <w:tc>
          <w:tcPr>
            <w:tcW w:w="1199" w:type="dxa"/>
            <w:tcBorders>
              <w:tl2br w:val="nil"/>
              <w:tr2bl w:val="nil"/>
            </w:tcBorders>
            <w:shd w:val="clear" w:color="auto" w:fill="FFFFFF"/>
            <w:vAlign w:val="center"/>
          </w:tcPr>
          <w:p w14:paraId="397F0C1D">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产出成本</w:t>
            </w:r>
          </w:p>
        </w:tc>
        <w:tc>
          <w:tcPr>
            <w:tcW w:w="1411" w:type="dxa"/>
            <w:tcBorders>
              <w:tl2br w:val="nil"/>
              <w:tr2bl w:val="nil"/>
            </w:tcBorders>
            <w:shd w:val="clear" w:color="auto" w:fill="FFFFFF"/>
            <w:vAlign w:val="center"/>
          </w:tcPr>
          <w:p w14:paraId="0DC3C3A3">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经济成本完成情况</w:t>
            </w:r>
          </w:p>
        </w:tc>
        <w:tc>
          <w:tcPr>
            <w:tcW w:w="2789" w:type="dxa"/>
            <w:tcBorders>
              <w:tl2br w:val="nil"/>
              <w:tr2bl w:val="nil"/>
            </w:tcBorders>
            <w:shd w:val="clear" w:color="000000" w:fill="FFFFFF"/>
            <w:vAlign w:val="center"/>
          </w:tcPr>
          <w:p w14:paraId="66133FC0">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完成项目计划工作目标的实际节约成本与计划成本的比率，用以反映和考核项目的成本节约程度。</w:t>
            </w:r>
          </w:p>
        </w:tc>
        <w:tc>
          <w:tcPr>
            <w:tcW w:w="7341" w:type="dxa"/>
            <w:tcBorders>
              <w:tl2br w:val="nil"/>
              <w:tr2bl w:val="nil"/>
            </w:tcBorders>
            <w:shd w:val="clear" w:color="000000" w:fill="FFFFFF"/>
            <w:vAlign w:val="center"/>
          </w:tcPr>
          <w:p w14:paraId="59410248">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成本节约率=[（计划成本-实际成本）/计划成本]×100%。</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实际成本：项目实施单位如期、保质、保量完成既定工作目标实际所耗费的支出。</w:t>
            </w:r>
            <w:r>
              <w:rPr>
                <w:rFonts w:hint="eastAsia" w:ascii="宋体" w:hAnsi="宋体" w:eastAsia="宋体" w:cs="宋体"/>
                <w:color w:val="auto"/>
                <w:kern w:val="0"/>
                <w:sz w:val="22"/>
                <w:highlight w:val="none"/>
              </w:rPr>
              <w:br w:type="textWrapping"/>
            </w:r>
            <w:r>
              <w:rPr>
                <w:rFonts w:hint="eastAsia" w:ascii="宋体" w:hAnsi="宋体" w:eastAsia="宋体" w:cs="宋体"/>
                <w:color w:val="auto"/>
                <w:kern w:val="0"/>
                <w:sz w:val="22"/>
                <w:highlight w:val="none"/>
              </w:rPr>
              <w:t>计划成本：项目实施单位为完成工作目标计划安排的支出，一般以项目预算为参考。</w:t>
            </w:r>
          </w:p>
        </w:tc>
      </w:tr>
      <w:tr w14:paraId="0F927F18">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89" w:hRule="atLeast"/>
          <w:jc w:val="center"/>
        </w:trPr>
        <w:tc>
          <w:tcPr>
            <w:tcW w:w="1155" w:type="dxa"/>
            <w:vMerge w:val="restart"/>
            <w:tcBorders>
              <w:tl2br w:val="nil"/>
              <w:tr2bl w:val="nil"/>
            </w:tcBorders>
            <w:shd w:val="clear" w:color="auto" w:fill="FFFFFF"/>
            <w:vAlign w:val="center"/>
          </w:tcPr>
          <w:p w14:paraId="5038A0C1">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效益</w:t>
            </w:r>
          </w:p>
        </w:tc>
        <w:tc>
          <w:tcPr>
            <w:tcW w:w="1199" w:type="dxa"/>
            <w:tcBorders>
              <w:tl2br w:val="nil"/>
              <w:tr2bl w:val="nil"/>
            </w:tcBorders>
            <w:shd w:val="clear" w:color="auto" w:fill="FFFFFF"/>
            <w:vAlign w:val="center"/>
          </w:tcPr>
          <w:p w14:paraId="598A316A">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社会效益指标</w:t>
            </w:r>
          </w:p>
        </w:tc>
        <w:tc>
          <w:tcPr>
            <w:tcW w:w="1411" w:type="dxa"/>
            <w:tcBorders>
              <w:tl2br w:val="nil"/>
              <w:tr2bl w:val="nil"/>
            </w:tcBorders>
            <w:shd w:val="clear" w:color="auto" w:fill="FFFFFF"/>
            <w:vAlign w:val="center"/>
          </w:tcPr>
          <w:p w14:paraId="3252CF4D">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对项目区旅游产业经济增长拉动作用。</w:t>
            </w:r>
          </w:p>
        </w:tc>
        <w:tc>
          <w:tcPr>
            <w:tcW w:w="2789" w:type="dxa"/>
            <w:vMerge w:val="restart"/>
            <w:tcBorders>
              <w:tl2br w:val="nil"/>
              <w:tr2bl w:val="nil"/>
            </w:tcBorders>
            <w:shd w:val="clear" w:color="auto" w:fill="FFFFFF"/>
            <w:vAlign w:val="center"/>
          </w:tcPr>
          <w:p w14:paraId="0F822144">
            <w:pPr>
              <w:widowControl/>
              <w:ind w:firstLine="0" w:firstLineChars="0"/>
              <w:jc w:val="left"/>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项目实施所产生的效益。</w:t>
            </w:r>
          </w:p>
        </w:tc>
        <w:tc>
          <w:tcPr>
            <w:tcW w:w="7341" w:type="dxa"/>
            <w:tcBorders>
              <w:tl2br w:val="nil"/>
              <w:tr2bl w:val="nil"/>
            </w:tcBorders>
            <w:shd w:val="clear" w:color="auto" w:fill="FFFFFF"/>
            <w:vAlign w:val="center"/>
          </w:tcPr>
          <w:p w14:paraId="521D158B">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项目实施所产生的社会效益、经济效益、生态效益、可持续影响等。可根据项目实际情况有选择地设置和细化。</w:t>
            </w:r>
          </w:p>
        </w:tc>
      </w:tr>
      <w:tr w14:paraId="16FDD0C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7" w:hRule="atLeast"/>
          <w:jc w:val="center"/>
        </w:trPr>
        <w:tc>
          <w:tcPr>
            <w:tcW w:w="1155" w:type="dxa"/>
            <w:vMerge w:val="continue"/>
            <w:tcBorders>
              <w:tl2br w:val="nil"/>
              <w:tr2bl w:val="nil"/>
            </w:tcBorders>
            <w:shd w:val="clear" w:color="auto" w:fill="FFFFFF"/>
            <w:vAlign w:val="center"/>
          </w:tcPr>
          <w:p w14:paraId="2DA7C693">
            <w:pPr>
              <w:widowControl/>
              <w:ind w:firstLine="0" w:firstLineChars="0"/>
              <w:jc w:val="center"/>
              <w:rPr>
                <w:rFonts w:ascii="宋体" w:hAnsi="宋体" w:eastAsia="宋体" w:cs="宋体"/>
                <w:color w:val="auto"/>
                <w:kern w:val="0"/>
                <w:sz w:val="22"/>
                <w:highlight w:val="none"/>
              </w:rPr>
            </w:pPr>
          </w:p>
        </w:tc>
        <w:tc>
          <w:tcPr>
            <w:tcW w:w="1199" w:type="dxa"/>
            <w:tcBorders>
              <w:tl2br w:val="nil"/>
              <w:tr2bl w:val="nil"/>
            </w:tcBorders>
            <w:shd w:val="clear" w:color="auto" w:fill="FFFFFF"/>
            <w:vAlign w:val="center"/>
          </w:tcPr>
          <w:p w14:paraId="6F1ABDF2">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生态效益</w:t>
            </w:r>
          </w:p>
        </w:tc>
        <w:tc>
          <w:tcPr>
            <w:tcW w:w="1411" w:type="dxa"/>
            <w:tcBorders>
              <w:tl2br w:val="nil"/>
              <w:tr2bl w:val="nil"/>
            </w:tcBorders>
            <w:shd w:val="clear" w:color="auto" w:fill="FFFFFF"/>
            <w:vAlign w:val="center"/>
          </w:tcPr>
          <w:p w14:paraId="3D03292A">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对项目区经济活力和发展后劲。</w:t>
            </w:r>
          </w:p>
        </w:tc>
        <w:tc>
          <w:tcPr>
            <w:tcW w:w="2789" w:type="dxa"/>
            <w:vMerge w:val="continue"/>
            <w:tcBorders>
              <w:tl2br w:val="nil"/>
              <w:tr2bl w:val="nil"/>
            </w:tcBorders>
            <w:shd w:val="clear" w:color="000000" w:fill="FFFFFF"/>
            <w:vAlign w:val="center"/>
          </w:tcPr>
          <w:p w14:paraId="0C2C9ED3">
            <w:pPr>
              <w:widowControl/>
              <w:ind w:firstLine="0" w:firstLineChars="0"/>
              <w:rPr>
                <w:rFonts w:ascii="宋体" w:hAnsi="宋体" w:eastAsia="宋体" w:cs="宋体"/>
                <w:color w:val="auto"/>
                <w:kern w:val="0"/>
                <w:sz w:val="22"/>
                <w:highlight w:val="none"/>
              </w:rPr>
            </w:pPr>
          </w:p>
        </w:tc>
        <w:tc>
          <w:tcPr>
            <w:tcW w:w="7341" w:type="dxa"/>
            <w:tcBorders>
              <w:tl2br w:val="nil"/>
              <w:tr2bl w:val="nil"/>
            </w:tcBorders>
            <w:shd w:val="clear" w:color="000000" w:fill="FFFFFF"/>
            <w:vAlign w:val="center"/>
          </w:tcPr>
          <w:p w14:paraId="0BA68AB6">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社会公众或服务对象是指因该项目实施而受到影响的部门（单位）、群体或个人。一般采取社会调查的方式。</w:t>
            </w:r>
          </w:p>
        </w:tc>
      </w:tr>
      <w:tr w14:paraId="654B9388">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7" w:hRule="atLeast"/>
          <w:jc w:val="center"/>
        </w:trPr>
        <w:tc>
          <w:tcPr>
            <w:tcW w:w="1155" w:type="dxa"/>
            <w:tcBorders>
              <w:tl2br w:val="nil"/>
              <w:tr2bl w:val="nil"/>
            </w:tcBorders>
            <w:shd w:val="clear" w:color="auto" w:fill="FFFFFF"/>
            <w:vAlign w:val="center"/>
          </w:tcPr>
          <w:p w14:paraId="245593A9">
            <w:pPr>
              <w:widowControl/>
              <w:ind w:firstLine="0" w:firstLineChars="0"/>
              <w:jc w:val="center"/>
              <w:rPr>
                <w:rFonts w:ascii="宋体" w:hAnsi="宋体" w:eastAsia="宋体" w:cs="宋体"/>
                <w:color w:val="auto"/>
                <w:kern w:val="0"/>
                <w:sz w:val="22"/>
                <w:highlight w:val="none"/>
              </w:rPr>
            </w:pPr>
            <w:r>
              <w:rPr>
                <w:rFonts w:ascii="宋体" w:hAnsi="宋体" w:eastAsia="宋体" w:cs="宋体"/>
                <w:color w:val="auto"/>
                <w:kern w:val="0"/>
                <w:sz w:val="22"/>
                <w:highlight w:val="none"/>
              </w:rPr>
              <w:t>满意度指标完成情况分析</w:t>
            </w:r>
          </w:p>
        </w:tc>
        <w:tc>
          <w:tcPr>
            <w:tcW w:w="1199" w:type="dxa"/>
            <w:tcBorders>
              <w:tl2br w:val="nil"/>
              <w:tr2bl w:val="nil"/>
            </w:tcBorders>
            <w:shd w:val="clear" w:color="auto" w:fill="FFFFFF"/>
            <w:vAlign w:val="center"/>
          </w:tcPr>
          <w:p w14:paraId="4C0E44D1">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满意度指标</w:t>
            </w:r>
          </w:p>
        </w:tc>
        <w:tc>
          <w:tcPr>
            <w:tcW w:w="1411" w:type="dxa"/>
            <w:tcBorders>
              <w:tl2br w:val="nil"/>
              <w:tr2bl w:val="nil"/>
            </w:tcBorders>
            <w:shd w:val="clear" w:color="auto" w:fill="FFFFFF"/>
            <w:vAlign w:val="center"/>
          </w:tcPr>
          <w:p w14:paraId="35D3A6EA">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群众满意度</w:t>
            </w:r>
          </w:p>
        </w:tc>
        <w:tc>
          <w:tcPr>
            <w:tcW w:w="2789" w:type="dxa"/>
            <w:tcBorders>
              <w:tl2br w:val="nil"/>
              <w:tr2bl w:val="nil"/>
            </w:tcBorders>
            <w:shd w:val="clear" w:color="000000" w:fill="FFFFFF"/>
            <w:vAlign w:val="center"/>
          </w:tcPr>
          <w:p w14:paraId="24EF49C2">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社会公众或服务对象对项目实施效果的满意程度。</w:t>
            </w:r>
          </w:p>
        </w:tc>
        <w:tc>
          <w:tcPr>
            <w:tcW w:w="7341" w:type="dxa"/>
            <w:tcBorders>
              <w:tl2br w:val="nil"/>
              <w:tr2bl w:val="nil"/>
            </w:tcBorders>
            <w:shd w:val="clear" w:color="000000" w:fill="FFFFFF"/>
            <w:vAlign w:val="center"/>
          </w:tcPr>
          <w:p w14:paraId="31809710">
            <w:pPr>
              <w:widowControl/>
              <w:ind w:firstLine="0" w:firstLineChars="0"/>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社会公众或服务对象是指因该项目实施而受到影响的部门（单位）、群体或个人。一般采取社会调查的方式。</w:t>
            </w:r>
          </w:p>
        </w:tc>
      </w:tr>
    </w:tbl>
    <w:p w14:paraId="67273E62">
      <w:pPr>
        <w:ind w:firstLine="0" w:firstLineChars="0"/>
        <w:jc w:val="center"/>
        <w:rPr>
          <w:rFonts w:ascii="仿宋_GB2312"/>
          <w:color w:val="auto"/>
          <w:highlight w:val="none"/>
        </w:rPr>
      </w:pPr>
    </w:p>
    <w:p w14:paraId="21DEEEAE">
      <w:pPr>
        <w:ind w:firstLine="0" w:firstLineChars="0"/>
        <w:jc w:val="center"/>
        <w:rPr>
          <w:rFonts w:ascii="仿宋_GB2312"/>
          <w:color w:val="auto"/>
          <w:highlight w:val="none"/>
        </w:rPr>
      </w:pPr>
    </w:p>
    <w:p w14:paraId="1AA05CEF">
      <w:pPr>
        <w:ind w:firstLine="0" w:firstLineChars="0"/>
        <w:jc w:val="center"/>
        <w:rPr>
          <w:rFonts w:ascii="仿宋_GB2312"/>
          <w:color w:val="auto"/>
          <w:highlight w:val="none"/>
        </w:rPr>
      </w:pPr>
    </w:p>
    <w:p w14:paraId="13B289A3">
      <w:pPr>
        <w:ind w:firstLine="0" w:firstLineChars="0"/>
        <w:jc w:val="center"/>
        <w:rPr>
          <w:rFonts w:ascii="仿宋_GB2312"/>
          <w:color w:val="auto"/>
          <w:highlight w:val="none"/>
        </w:rPr>
      </w:pPr>
    </w:p>
    <w:p w14:paraId="2A64A293">
      <w:pPr>
        <w:ind w:firstLine="0" w:firstLineChars="0"/>
        <w:jc w:val="center"/>
        <w:rPr>
          <w:rFonts w:ascii="仿宋_GB2312"/>
          <w:color w:val="auto"/>
          <w:highlight w:val="none"/>
        </w:rPr>
      </w:pPr>
    </w:p>
    <w:p w14:paraId="75B6D558">
      <w:pPr>
        <w:ind w:firstLine="0" w:firstLineChars="0"/>
        <w:jc w:val="center"/>
        <w:rPr>
          <w:rFonts w:ascii="仿宋_GB2312"/>
          <w:color w:val="auto"/>
          <w:highlight w:val="none"/>
        </w:rPr>
        <w:sectPr>
          <w:pgSz w:w="16838" w:h="11906" w:orient="landscape"/>
          <w:pgMar w:top="1800" w:right="1440" w:bottom="1800" w:left="1440" w:header="1276" w:footer="992" w:gutter="0"/>
          <w:cols w:space="425" w:num="1"/>
          <w:docGrid w:type="lines" w:linePitch="381" w:charSpace="0"/>
        </w:sectPr>
      </w:pPr>
    </w:p>
    <w:p w14:paraId="4A0A0F4C">
      <w:pPr>
        <w:pStyle w:val="5"/>
        <w:ind w:firstLine="643"/>
        <w:rPr>
          <w:color w:val="auto"/>
          <w:highlight w:val="none"/>
        </w:rPr>
      </w:pPr>
      <w:bookmarkStart w:id="21" w:name="_Toc196487546"/>
      <w:bookmarkStart w:id="22" w:name="_Hlk67586038"/>
      <w:r>
        <w:rPr>
          <w:color w:val="auto"/>
          <w:highlight w:val="none"/>
        </w:rPr>
        <w:t>3.</w:t>
      </w:r>
      <w:r>
        <w:rPr>
          <w:rFonts w:hint="eastAsia"/>
          <w:color w:val="auto"/>
          <w:highlight w:val="none"/>
        </w:rPr>
        <w:t>评价方法</w:t>
      </w:r>
      <w:bookmarkEnd w:id="21"/>
      <w:bookmarkEnd w:id="22"/>
    </w:p>
    <w:p w14:paraId="0704D980">
      <w:pPr>
        <w:spacing w:line="360" w:lineRule="auto"/>
        <w:ind w:firstLine="560"/>
        <w:rPr>
          <w:rFonts w:ascii="仿宋_GB2312"/>
          <w:color w:val="auto"/>
          <w:highlight w:val="none"/>
        </w:rPr>
      </w:pPr>
      <w:r>
        <w:rPr>
          <w:rFonts w:hint="eastAsia" w:ascii="仿宋_GB2312"/>
          <w:color w:val="auto"/>
          <w:highlight w:val="none"/>
        </w:rPr>
        <w:t>《关于印发&lt;项目支出绩效评价管理办法&gt;的通知》（财预〔2020〕10号）文件指出部门评价的方法主要包括成本效益分析法、比较法、因素分析法、最低成本法、公众评判法、标杆管理法等。</w:t>
      </w:r>
    </w:p>
    <w:p w14:paraId="4B2EE166">
      <w:pPr>
        <w:spacing w:line="360" w:lineRule="auto"/>
        <w:ind w:firstLine="560"/>
        <w:rPr>
          <w:rFonts w:ascii="仿宋_GB2312"/>
          <w:color w:val="auto"/>
          <w:highlight w:val="none"/>
        </w:rPr>
      </w:pPr>
      <w:r>
        <w:rPr>
          <w:rFonts w:hint="eastAsia" w:ascii="仿宋_GB2312"/>
          <w:color w:val="auto"/>
          <w:highlight w:val="none"/>
        </w:rPr>
        <w:t>（1）成本效益分析法。是指将投入与产出、效益进行关联性分析的方法。</w:t>
      </w:r>
    </w:p>
    <w:p w14:paraId="3067E32E">
      <w:pPr>
        <w:spacing w:line="360" w:lineRule="auto"/>
        <w:ind w:firstLine="560"/>
        <w:rPr>
          <w:rFonts w:ascii="仿宋_GB2312"/>
          <w:color w:val="auto"/>
          <w:highlight w:val="none"/>
        </w:rPr>
      </w:pPr>
      <w:r>
        <w:rPr>
          <w:rFonts w:hint="eastAsia" w:ascii="仿宋_GB2312"/>
          <w:color w:val="auto"/>
          <w:highlight w:val="none"/>
        </w:rPr>
        <w:t>（2）比较法。是指将实施情况与绩效目标、历史情况、不同部门和地区同类支出情况进行比较的方法。</w:t>
      </w:r>
    </w:p>
    <w:p w14:paraId="2DEABA99">
      <w:pPr>
        <w:spacing w:line="360" w:lineRule="auto"/>
        <w:ind w:firstLine="560"/>
        <w:rPr>
          <w:rFonts w:ascii="仿宋_GB2312"/>
          <w:color w:val="auto"/>
          <w:highlight w:val="none"/>
        </w:rPr>
      </w:pPr>
      <w:r>
        <w:rPr>
          <w:rFonts w:hint="eastAsia" w:ascii="仿宋_GB2312"/>
          <w:color w:val="auto"/>
          <w:highlight w:val="none"/>
        </w:rPr>
        <w:t>（3）因素分析法。是指综合分析影响绩效目标实现、实施效果的内外部因素的方法。</w:t>
      </w:r>
    </w:p>
    <w:p w14:paraId="790CF098">
      <w:pPr>
        <w:spacing w:line="360" w:lineRule="auto"/>
        <w:ind w:firstLine="560"/>
        <w:rPr>
          <w:rFonts w:ascii="仿宋_GB2312"/>
          <w:color w:val="auto"/>
          <w:highlight w:val="none"/>
        </w:rPr>
      </w:pPr>
      <w:r>
        <w:rPr>
          <w:rFonts w:hint="eastAsia" w:ascii="仿宋_GB2312"/>
          <w:color w:val="auto"/>
          <w:highlight w:val="none"/>
        </w:rPr>
        <w:t>（4）最低成本法。是指在绩效目标确定的前提下，成本最小者为优的方法。</w:t>
      </w:r>
    </w:p>
    <w:p w14:paraId="09E917F8">
      <w:pPr>
        <w:spacing w:line="360" w:lineRule="auto"/>
        <w:ind w:firstLine="560"/>
        <w:rPr>
          <w:rFonts w:ascii="仿宋_GB2312"/>
          <w:color w:val="auto"/>
          <w:highlight w:val="none"/>
        </w:rPr>
      </w:pPr>
      <w:r>
        <w:rPr>
          <w:rFonts w:hint="eastAsia" w:ascii="仿宋_GB2312"/>
          <w:color w:val="auto"/>
          <w:highlight w:val="none"/>
        </w:rPr>
        <w:t>（5）公众评判法。是指通过专家评估、公众问卷及抽样调查等方式进行评判的方法。</w:t>
      </w:r>
    </w:p>
    <w:p w14:paraId="620A95E0">
      <w:pPr>
        <w:spacing w:line="360" w:lineRule="auto"/>
        <w:ind w:firstLine="560"/>
        <w:rPr>
          <w:rFonts w:ascii="仿宋_GB2312"/>
          <w:color w:val="auto"/>
          <w:highlight w:val="none"/>
        </w:rPr>
      </w:pPr>
      <w:r>
        <w:rPr>
          <w:rFonts w:hint="eastAsia" w:ascii="仿宋_GB2312"/>
          <w:color w:val="auto"/>
          <w:highlight w:val="none"/>
        </w:rPr>
        <w:t>（6）标杆管理法。是指以国内外同行业中较高的绩效水平为标杆进行评判的方法。</w:t>
      </w:r>
    </w:p>
    <w:p w14:paraId="23957419">
      <w:pPr>
        <w:spacing w:line="360" w:lineRule="auto"/>
        <w:ind w:firstLine="560"/>
        <w:rPr>
          <w:rFonts w:ascii="仿宋_GB2312"/>
          <w:color w:val="auto"/>
          <w:highlight w:val="none"/>
        </w:rPr>
      </w:pPr>
      <w:r>
        <w:rPr>
          <w:rFonts w:hint="eastAsia" w:ascii="仿宋_GB2312"/>
          <w:color w:val="auto"/>
          <w:highlight w:val="none"/>
        </w:rPr>
        <w:t>（7）其他评价方法。</w:t>
      </w:r>
    </w:p>
    <w:p w14:paraId="60E65191">
      <w:pPr>
        <w:pStyle w:val="6"/>
        <w:keepNext w:val="0"/>
        <w:keepLines w:val="0"/>
        <w:widowControl/>
        <w:suppressLineNumbers w:val="0"/>
        <w:shd w:val="clear" w:color="auto" w:fill="FFFFFF"/>
        <w:spacing w:before="0" w:beforeAutospacing="0" w:after="0" w:afterAutospacing="0" w:line="21" w:lineRule="atLeast"/>
        <w:ind w:left="0" w:right="0" w:firstLine="0"/>
        <w:rPr>
          <w:rFonts w:ascii="sans-serif" w:hAnsi="sans-serif" w:eastAsia="sans-serif" w:cs="sans-serif"/>
          <w:i w:val="0"/>
          <w:iCs w:val="0"/>
          <w:caps w:val="0"/>
          <w:color w:val="auto"/>
          <w:spacing w:val="0"/>
          <w:sz w:val="27"/>
          <w:szCs w:val="27"/>
          <w:highlight w:val="none"/>
        </w:rPr>
      </w:pPr>
      <w:r>
        <w:rPr>
          <w:rFonts w:hint="eastAsia" w:ascii="仿宋_GB2312"/>
          <w:color w:val="auto"/>
          <w:highlight w:val="none"/>
        </w:rPr>
        <w:t>根据本项目</w:t>
      </w:r>
      <w:r>
        <w:rPr>
          <w:rFonts w:hint="default" w:ascii="仿宋_GB2312" w:hAnsi="Calibri" w:eastAsia="仿宋_GB2312" w:cs="黑体"/>
          <w:b w:val="0"/>
          <w:bCs w:val="0"/>
          <w:color w:val="auto"/>
          <w:kern w:val="2"/>
          <w:sz w:val="28"/>
          <w:szCs w:val="22"/>
          <w:highlight w:val="none"/>
          <w:lang w:val="en-US" w:eastAsia="zh-CN" w:bidi="ar-SA"/>
        </w:rPr>
        <w:t>【乌财社[2023]221号关于提前下达2024年中央财政退役安置补助经费预算的通知】</w:t>
      </w:r>
    </w:p>
    <w:p w14:paraId="10B355C3">
      <w:pPr>
        <w:spacing w:line="360" w:lineRule="auto"/>
        <w:ind w:left="0" w:leftChars="0" w:firstLine="0" w:firstLineChars="0"/>
        <w:rPr>
          <w:rFonts w:ascii="仿宋_GB2312"/>
          <w:color w:val="auto"/>
          <w:highlight w:val="none"/>
        </w:rPr>
      </w:pPr>
      <w:r>
        <w:rPr>
          <w:rFonts w:hint="eastAsia" w:ascii="仿宋_GB2312"/>
          <w:color w:val="auto"/>
          <w:highlight w:val="none"/>
        </w:rPr>
        <w:t>的特点，本次评价主要</w:t>
      </w:r>
      <w:r>
        <w:rPr>
          <w:rFonts w:hint="eastAsia" w:ascii="仿宋_GB2312" w:hAnsi="Calibri" w:eastAsia="仿宋_GB2312" w:cs="黑体"/>
          <w:b w:val="0"/>
          <w:bCs w:val="0"/>
          <w:color w:val="auto"/>
          <w:kern w:val="2"/>
          <w:sz w:val="28"/>
          <w:szCs w:val="22"/>
          <w:highlight w:val="none"/>
          <w:lang w:val="en-US" w:eastAsia="zh-CN" w:bidi="ar-SA"/>
        </w:rPr>
        <w:t>采用</w:t>
      </w:r>
      <w:r>
        <w:rPr>
          <w:rFonts w:hint="default" w:ascii="仿宋_GB2312" w:hAnsi="Calibri" w:eastAsia="仿宋_GB2312" w:cs="黑体"/>
          <w:b w:val="0"/>
          <w:bCs w:val="0"/>
          <w:color w:val="auto"/>
          <w:kern w:val="2"/>
          <w:sz w:val="28"/>
          <w:szCs w:val="22"/>
          <w:highlight w:val="none"/>
          <w:lang w:val="en-US" w:eastAsia="zh-CN" w:bidi="ar-SA"/>
        </w:rPr>
        <w:t>从项目决策、项目过程、项目产出、项目效益四个维度进行评价。</w:t>
      </w:r>
      <w:r>
        <w:rPr>
          <w:rFonts w:hint="eastAsia" w:ascii="仿宋_GB2312" w:hAnsi="Calibri" w:eastAsia="仿宋_GB2312" w:cs="黑体"/>
          <w:b w:val="0"/>
          <w:bCs w:val="0"/>
          <w:color w:val="auto"/>
          <w:kern w:val="2"/>
          <w:sz w:val="28"/>
          <w:szCs w:val="22"/>
          <w:highlight w:val="none"/>
          <w:lang w:val="en-US" w:eastAsia="zh-CN" w:bidi="ar-SA"/>
        </w:rPr>
        <w:t>对项</w:t>
      </w:r>
      <w:r>
        <w:rPr>
          <w:rFonts w:hint="eastAsia" w:ascii="仿宋_GB2312"/>
          <w:color w:val="auto"/>
          <w:highlight w:val="none"/>
        </w:rPr>
        <w:t>目总预算和明细预算的内容、标准、计划是否经济合理进行深入分析，以考察实际产出和效益是否达到预期。</w:t>
      </w:r>
    </w:p>
    <w:p w14:paraId="02F78311">
      <w:pPr>
        <w:pStyle w:val="5"/>
        <w:ind w:firstLine="643"/>
        <w:rPr>
          <w:color w:val="auto"/>
          <w:highlight w:val="none"/>
        </w:rPr>
      </w:pPr>
      <w:bookmarkStart w:id="23" w:name="_Toc196487547"/>
      <w:r>
        <w:rPr>
          <w:color w:val="auto"/>
          <w:highlight w:val="none"/>
        </w:rPr>
        <w:t>4.</w:t>
      </w:r>
      <w:r>
        <w:rPr>
          <w:rFonts w:hint="eastAsia"/>
          <w:color w:val="auto"/>
          <w:highlight w:val="none"/>
        </w:rPr>
        <w:t>评价标准</w:t>
      </w:r>
      <w:bookmarkEnd w:id="23"/>
    </w:p>
    <w:p w14:paraId="23B1396C">
      <w:pPr>
        <w:spacing w:line="360" w:lineRule="auto"/>
        <w:ind w:firstLine="560"/>
        <w:rPr>
          <w:rFonts w:ascii="仿宋_GB2312"/>
          <w:color w:val="auto"/>
          <w:highlight w:val="none"/>
        </w:rPr>
      </w:pPr>
      <w:r>
        <w:rPr>
          <w:rFonts w:hint="eastAsia" w:ascii="仿宋_GB2312"/>
          <w:color w:val="auto"/>
          <w:highlight w:val="none"/>
        </w:rPr>
        <w:t>绩效评价标准主要包括计划标准、行业标准、历史标准等，用于对绩效指标完成情况进行比较。</w:t>
      </w:r>
    </w:p>
    <w:p w14:paraId="1060F755">
      <w:pPr>
        <w:spacing w:line="360" w:lineRule="auto"/>
        <w:ind w:firstLine="560"/>
        <w:rPr>
          <w:rFonts w:ascii="仿宋_GB2312"/>
          <w:color w:val="auto"/>
          <w:highlight w:val="none"/>
        </w:rPr>
      </w:pPr>
      <w:r>
        <w:rPr>
          <w:rFonts w:hint="eastAsia" w:ascii="仿宋_GB2312"/>
          <w:color w:val="auto"/>
          <w:highlight w:val="none"/>
        </w:rPr>
        <w:t>（1）计划标准。指以预先制定的目标、计划、预算、定额等作为评价标准。</w:t>
      </w:r>
    </w:p>
    <w:p w14:paraId="51989049">
      <w:pPr>
        <w:spacing w:line="360" w:lineRule="auto"/>
        <w:ind w:firstLine="560"/>
        <w:rPr>
          <w:rFonts w:ascii="仿宋_GB2312"/>
          <w:color w:val="auto"/>
          <w:highlight w:val="none"/>
        </w:rPr>
      </w:pPr>
      <w:r>
        <w:rPr>
          <w:rFonts w:hint="eastAsia" w:ascii="仿宋_GB2312"/>
          <w:color w:val="auto"/>
          <w:highlight w:val="none"/>
        </w:rPr>
        <w:t>（2）行业标准。指参照国家公布的行业指标数据制定的评价标准。</w:t>
      </w:r>
    </w:p>
    <w:p w14:paraId="55D5CB99">
      <w:pPr>
        <w:spacing w:line="360" w:lineRule="auto"/>
        <w:ind w:firstLine="560"/>
        <w:rPr>
          <w:rFonts w:ascii="仿宋_GB2312"/>
          <w:color w:val="auto"/>
          <w:highlight w:val="none"/>
        </w:rPr>
      </w:pPr>
      <w:r>
        <w:rPr>
          <w:rFonts w:hint="eastAsia" w:ascii="仿宋_GB2312"/>
          <w:color w:val="auto"/>
          <w:highlight w:val="none"/>
        </w:rPr>
        <w:t>（3）历史标准。指参照历史数据制定的评价标准，为体现绩效改进的原则，在可实现的条件下应当确定相对较高的评价标准。</w:t>
      </w:r>
    </w:p>
    <w:p w14:paraId="45476DE5">
      <w:pPr>
        <w:spacing w:line="360" w:lineRule="auto"/>
        <w:ind w:firstLine="560"/>
        <w:rPr>
          <w:rFonts w:ascii="仿宋_GB2312"/>
          <w:color w:val="auto"/>
          <w:highlight w:val="none"/>
        </w:rPr>
      </w:pPr>
      <w:r>
        <w:rPr>
          <w:rFonts w:hint="eastAsia" w:ascii="仿宋_GB2312"/>
          <w:color w:val="auto"/>
          <w:highlight w:val="none"/>
        </w:rPr>
        <w:t>在上述评价标准的基础上，本次评价依据以下文件为重要指导和准绳：</w:t>
      </w:r>
    </w:p>
    <w:p w14:paraId="09E18A01">
      <w:pPr>
        <w:spacing w:line="360" w:lineRule="auto"/>
        <w:ind w:firstLine="560"/>
        <w:rPr>
          <w:rFonts w:ascii="仿宋_GB2312"/>
          <w:color w:val="auto"/>
          <w:highlight w:val="none"/>
        </w:rPr>
      </w:pPr>
      <w:r>
        <w:rPr>
          <w:rFonts w:hint="eastAsia" w:ascii="黑体" w:hAnsi="黑体" w:eastAsia="黑体" w:cs="Times New Roman"/>
          <w:color w:val="auto"/>
          <w:szCs w:val="28"/>
          <w:highlight w:val="none"/>
        </w:rPr>
        <w:t>·</w:t>
      </w:r>
      <w:r>
        <w:rPr>
          <w:rFonts w:hint="eastAsia" w:ascii="仿宋_GB2312"/>
          <w:color w:val="auto"/>
          <w:highlight w:val="none"/>
        </w:rPr>
        <w:t>《中共中央国务院关于全面实施预算绩效管理的意见》（中发〔2018〕34号）</w:t>
      </w:r>
    </w:p>
    <w:p w14:paraId="27B750C7">
      <w:pPr>
        <w:spacing w:line="360" w:lineRule="auto"/>
        <w:ind w:firstLine="560"/>
        <w:rPr>
          <w:rFonts w:ascii="仿宋_GB2312"/>
          <w:color w:val="auto"/>
          <w:highlight w:val="none"/>
        </w:rPr>
      </w:pPr>
      <w:r>
        <w:rPr>
          <w:rFonts w:hint="eastAsia" w:ascii="黑体" w:hAnsi="黑体" w:eastAsia="黑体" w:cs="Times New Roman"/>
          <w:color w:val="auto"/>
          <w:szCs w:val="28"/>
          <w:highlight w:val="none"/>
        </w:rPr>
        <w:t>·</w:t>
      </w:r>
      <w:r>
        <w:rPr>
          <w:rFonts w:hint="eastAsia" w:ascii="仿宋_GB2312"/>
          <w:color w:val="auto"/>
          <w:highlight w:val="none"/>
        </w:rPr>
        <w:t>《关于印发&lt;乌鲁木齐市本级部门预算绩效目标管理暂行办法&gt;的通知》（乌财预〔2018〕56号）</w:t>
      </w:r>
    </w:p>
    <w:p w14:paraId="0542702D">
      <w:pPr>
        <w:spacing w:line="360" w:lineRule="auto"/>
        <w:ind w:firstLine="560" w:firstLineChars="0"/>
        <w:rPr>
          <w:rFonts w:ascii="仿宋_GB2312"/>
          <w:color w:val="auto"/>
          <w:highlight w:val="none"/>
        </w:rPr>
      </w:pPr>
      <w:r>
        <w:rPr>
          <w:rFonts w:hint="eastAsia" w:ascii="黑体" w:hAnsi="黑体" w:eastAsia="黑体" w:cs="Times New Roman"/>
          <w:color w:val="auto"/>
          <w:szCs w:val="28"/>
          <w:highlight w:val="none"/>
        </w:rPr>
        <w:t>·</w:t>
      </w:r>
      <w:r>
        <w:rPr>
          <w:rFonts w:hint="eastAsia" w:ascii="仿宋_GB2312"/>
          <w:color w:val="auto"/>
          <w:highlight w:val="none"/>
        </w:rPr>
        <w:t>《关于做好2019年部门预算项目支出绩效目标管理有关事宜的通知》（乌财预〔2018〕76号）</w:t>
      </w:r>
    </w:p>
    <w:p w14:paraId="4BD9E9D7">
      <w:pPr>
        <w:spacing w:line="360" w:lineRule="auto"/>
        <w:ind w:firstLine="560"/>
        <w:rPr>
          <w:rFonts w:ascii="仿宋_GB2312"/>
          <w:color w:val="auto"/>
          <w:highlight w:val="none"/>
        </w:rPr>
      </w:pPr>
      <w:r>
        <w:rPr>
          <w:rFonts w:hint="eastAsia" w:ascii="黑体" w:hAnsi="黑体" w:eastAsia="黑体" w:cs="Times New Roman"/>
          <w:color w:val="auto"/>
          <w:szCs w:val="28"/>
          <w:highlight w:val="none"/>
        </w:rPr>
        <w:t>·</w:t>
      </w:r>
      <w:r>
        <w:rPr>
          <w:rFonts w:hint="eastAsia" w:ascii="仿宋_GB2312"/>
          <w:color w:val="auto"/>
          <w:highlight w:val="none"/>
        </w:rPr>
        <w:t>《项目支出绩效评价管理办法》（财预〔2020〕10号）</w:t>
      </w:r>
    </w:p>
    <w:p w14:paraId="7CC8B074">
      <w:pPr>
        <w:pStyle w:val="6"/>
        <w:keepNext w:val="0"/>
        <w:keepLines w:val="0"/>
        <w:widowControl/>
        <w:suppressLineNumbers w:val="0"/>
        <w:shd w:val="clear" w:color="auto" w:fill="FFFFFF"/>
        <w:spacing w:before="0" w:beforeAutospacing="0" w:after="0" w:afterAutospacing="0" w:line="21" w:lineRule="atLeast"/>
        <w:ind w:left="0" w:right="0" w:firstLine="0"/>
        <w:rPr>
          <w:rFonts w:ascii="sans-serif" w:hAnsi="sans-serif" w:eastAsia="sans-serif" w:cs="sans-serif"/>
          <w:i w:val="0"/>
          <w:iCs w:val="0"/>
          <w:caps w:val="0"/>
          <w:color w:val="auto"/>
          <w:spacing w:val="0"/>
          <w:sz w:val="27"/>
          <w:szCs w:val="27"/>
          <w:highlight w:val="none"/>
        </w:rPr>
      </w:pPr>
      <w:r>
        <w:rPr>
          <w:rFonts w:hint="default" w:ascii="仿宋_GB2312" w:hAnsi="Calibri" w:eastAsia="仿宋_GB2312" w:cs="黑体"/>
          <w:b w:val="0"/>
          <w:bCs w:val="0"/>
          <w:color w:val="auto"/>
          <w:kern w:val="2"/>
          <w:sz w:val="28"/>
          <w:szCs w:val="22"/>
          <w:highlight w:val="none"/>
          <w:lang w:val="en-US" w:eastAsia="zh-CN" w:bidi="ar-SA"/>
        </w:rPr>
        <w:t>乌财社[2023]221号关于提前下达2024年中央财政退役安置补助经费预算的通知】</w:t>
      </w:r>
    </w:p>
    <w:p w14:paraId="7E21B800">
      <w:pPr>
        <w:pStyle w:val="4"/>
        <w:ind w:left="0" w:leftChars="0" w:firstLine="0" w:firstLineChars="0"/>
        <w:rPr>
          <w:rFonts w:ascii="仿宋" w:hAnsi="仿宋" w:eastAsia="仿宋"/>
          <w:color w:val="auto"/>
          <w:highlight w:val="none"/>
          <w:lang w:bidi="en-US"/>
        </w:rPr>
      </w:pPr>
      <w:bookmarkStart w:id="24" w:name="_Toc67911607"/>
      <w:bookmarkStart w:id="25" w:name="_Toc196487548"/>
      <w:r>
        <w:rPr>
          <w:rFonts w:hint="eastAsia" w:ascii="仿宋" w:hAnsi="仿宋" w:eastAsia="仿宋"/>
          <w:color w:val="auto"/>
          <w:highlight w:val="none"/>
          <w:lang w:bidi="en-US"/>
        </w:rPr>
        <w:t>（三）绩效评价工作过程</w:t>
      </w:r>
      <w:bookmarkEnd w:id="24"/>
      <w:bookmarkEnd w:id="25"/>
    </w:p>
    <w:p w14:paraId="26598502">
      <w:pPr>
        <w:spacing w:line="360" w:lineRule="auto"/>
        <w:ind w:firstLine="560"/>
        <w:rPr>
          <w:rFonts w:ascii="仿宋_GB2312"/>
          <w:color w:val="auto"/>
          <w:highlight w:val="none"/>
        </w:rPr>
      </w:pPr>
      <w:r>
        <w:rPr>
          <w:rFonts w:hint="eastAsia" w:ascii="仿宋_GB2312"/>
          <w:color w:val="auto"/>
          <w:highlight w:val="none"/>
        </w:rPr>
        <w:t>评价小组根据项目绩效目标，查阅有关佐证资料，结合现场抽样调查及延伸评价等方式开展此次评价，重点关注和评价项目预算和绩效目标的匹配情况、项目资金的管理和使用情况、项目实施和监督情况（包括但不限于项目立项、制度执行、质量达标、完成时效等）以及项目产生的实际效益等。具体而言，通过前期准备</w:t>
      </w:r>
      <w:r>
        <w:rPr>
          <w:rStyle w:val="19"/>
          <w:rFonts w:ascii="仿宋_GB2312"/>
          <w:color w:val="auto"/>
          <w:highlight w:val="none"/>
        </w:rPr>
        <w:footnoteReference w:id="0"/>
      </w:r>
      <w:r>
        <w:rPr>
          <w:rFonts w:hint="eastAsia" w:ascii="仿宋_GB2312"/>
          <w:color w:val="auto"/>
          <w:highlight w:val="none"/>
        </w:rPr>
        <w:t>、材料审核分析、现场核查评价、综合分析评价及报告撰写，评价项目实施情况，展现资金使用效益。</w:t>
      </w:r>
    </w:p>
    <w:p w14:paraId="7E103898">
      <w:pPr>
        <w:pStyle w:val="3"/>
        <w:ind w:firstLine="0" w:firstLineChars="0"/>
        <w:jc w:val="left"/>
        <w:rPr>
          <w:rFonts w:ascii="仿宋" w:hAnsi="仿宋" w:eastAsia="仿宋"/>
          <w:color w:val="auto"/>
          <w:sz w:val="36"/>
          <w:szCs w:val="36"/>
          <w:highlight w:val="none"/>
          <w:lang w:bidi="en-US"/>
        </w:rPr>
      </w:pPr>
      <w:bookmarkStart w:id="26" w:name="_Toc67911608"/>
      <w:bookmarkStart w:id="27" w:name="_Toc196487549"/>
      <w:r>
        <w:rPr>
          <w:rFonts w:hint="eastAsia" w:ascii="仿宋" w:hAnsi="仿宋" w:eastAsia="仿宋"/>
          <w:color w:val="auto"/>
          <w:sz w:val="36"/>
          <w:szCs w:val="36"/>
          <w:highlight w:val="none"/>
          <w:lang w:bidi="en-US"/>
        </w:rPr>
        <w:t>三、综合评价情况及评价结论</w:t>
      </w:r>
      <w:bookmarkEnd w:id="26"/>
      <w:bookmarkEnd w:id="27"/>
    </w:p>
    <w:p w14:paraId="74D02A0A">
      <w:pPr>
        <w:pStyle w:val="4"/>
        <w:ind w:firstLine="643"/>
        <w:rPr>
          <w:rFonts w:ascii="仿宋" w:hAnsi="仿宋" w:eastAsia="仿宋"/>
          <w:color w:val="auto"/>
          <w:highlight w:val="none"/>
          <w:lang w:bidi="en-US"/>
        </w:rPr>
      </w:pPr>
      <w:bookmarkStart w:id="28" w:name="_Toc196487550"/>
      <w:bookmarkStart w:id="29" w:name="_Toc67911609"/>
      <w:r>
        <w:rPr>
          <w:rFonts w:hint="eastAsia" w:ascii="仿宋" w:hAnsi="仿宋" w:eastAsia="仿宋"/>
          <w:color w:val="auto"/>
          <w:highlight w:val="none"/>
          <w:lang w:bidi="en-US"/>
        </w:rPr>
        <w:t>（一）评价结论</w:t>
      </w:r>
      <w:bookmarkEnd w:id="28"/>
      <w:bookmarkEnd w:id="29"/>
    </w:p>
    <w:p w14:paraId="5CFB2793">
      <w:pPr>
        <w:spacing w:line="360" w:lineRule="auto"/>
        <w:ind w:firstLine="560"/>
        <w:rPr>
          <w:rFonts w:ascii="仿宋_GB2312"/>
          <w:color w:val="auto"/>
          <w:szCs w:val="28"/>
          <w:highlight w:val="none"/>
        </w:rPr>
      </w:pPr>
      <w:r>
        <w:rPr>
          <w:rFonts w:hint="eastAsia" w:ascii="仿宋_GB2312"/>
          <w:color w:val="auto"/>
          <w:szCs w:val="28"/>
          <w:highlight w:val="none"/>
        </w:rPr>
        <w:t>结合项目特点，制定符合项目实际的绩效评价指标体系及评分标准，通过数据采集、问卷调查及访谈等形式，对2024年</w:t>
      </w:r>
      <w:r>
        <w:rPr>
          <w:rFonts w:hint="eastAsia" w:ascii="仿宋_GB2312"/>
          <w:color w:val="auto"/>
          <w:szCs w:val="28"/>
          <w:highlight w:val="none"/>
          <w:lang w:eastAsia="zh-CN"/>
        </w:rPr>
        <w:t>无军籍退休退职职工津贴补贴项目</w:t>
      </w:r>
      <w:r>
        <w:rPr>
          <w:rFonts w:hint="eastAsia" w:ascii="仿宋_GB2312"/>
          <w:color w:val="auto"/>
          <w:szCs w:val="28"/>
          <w:highlight w:val="none"/>
        </w:rPr>
        <w:t>进行客观评价，最终评分结果为：总分为</w:t>
      </w:r>
      <w:r>
        <w:rPr>
          <w:rFonts w:hint="eastAsia" w:ascii="仿宋_GB2312"/>
          <w:color w:val="auto"/>
          <w:szCs w:val="28"/>
          <w:highlight w:val="none"/>
          <w:lang w:val="en-US" w:eastAsia="zh-CN"/>
        </w:rPr>
        <w:t>100</w:t>
      </w:r>
      <w:r>
        <w:rPr>
          <w:rFonts w:hint="eastAsia" w:ascii="仿宋_GB2312"/>
          <w:color w:val="auto"/>
          <w:szCs w:val="28"/>
          <w:highlight w:val="none"/>
        </w:rPr>
        <w:t>分，绩效评级为</w:t>
      </w:r>
      <w:r>
        <w:rPr>
          <w:rFonts w:hint="eastAsia" w:ascii="仿宋_GB2312"/>
          <w:color w:val="auto"/>
          <w:szCs w:val="28"/>
          <w:highlight w:val="none"/>
          <w:lang w:val="en-US" w:eastAsia="zh-CN"/>
        </w:rPr>
        <w:t>100</w:t>
      </w:r>
      <w:r>
        <w:rPr>
          <w:rFonts w:hint="eastAsia" w:ascii="仿宋_GB2312"/>
          <w:color w:val="auto"/>
          <w:szCs w:val="28"/>
          <w:highlight w:val="none"/>
        </w:rPr>
        <w:t>。</w:t>
      </w:r>
    </w:p>
    <w:p w14:paraId="6E3E84C5">
      <w:pPr>
        <w:spacing w:line="360" w:lineRule="auto"/>
        <w:ind w:firstLine="560"/>
        <w:rPr>
          <w:rFonts w:ascii="仿宋_GB2312"/>
          <w:color w:val="auto"/>
          <w:szCs w:val="28"/>
          <w:highlight w:val="none"/>
        </w:rPr>
      </w:pPr>
      <w:r>
        <w:rPr>
          <w:rFonts w:hint="eastAsia" w:ascii="仿宋_GB2312"/>
          <w:color w:val="auto"/>
          <w:szCs w:val="28"/>
          <w:highlight w:val="none"/>
        </w:rPr>
        <w:t>项目各部分权重和绩效分值如附表所示：</w:t>
      </w:r>
    </w:p>
    <w:p w14:paraId="7A11ACE6">
      <w:pPr>
        <w:spacing w:line="360" w:lineRule="auto"/>
        <w:ind w:firstLine="0" w:firstLineChars="0"/>
        <w:jc w:val="center"/>
        <w:rPr>
          <w:rFonts w:ascii="仿宋_GB2312"/>
          <w:b/>
          <w:bCs/>
          <w:color w:val="auto"/>
          <w:szCs w:val="28"/>
          <w:highlight w:val="none"/>
        </w:rPr>
      </w:pPr>
      <w:r>
        <w:rPr>
          <w:rFonts w:ascii="仿宋_GB2312"/>
          <w:b/>
          <w:bCs/>
          <w:color w:val="auto"/>
          <w:szCs w:val="28"/>
          <w:highlight w:val="none"/>
        </w:rPr>
        <w:t xml:space="preserve">  </w:t>
      </w:r>
      <w:r>
        <w:rPr>
          <w:rFonts w:hint="eastAsia" w:ascii="仿宋_GB2312"/>
          <w:b/>
          <w:bCs/>
          <w:color w:val="auto"/>
          <w:szCs w:val="28"/>
          <w:highlight w:val="none"/>
        </w:rPr>
        <w:t>项目各部分权重和绩效分值</w:t>
      </w:r>
    </w:p>
    <w:tbl>
      <w:tblPr>
        <w:tblStyle w:val="15"/>
        <w:tblW w:w="9062"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1550"/>
        <w:gridCol w:w="1984"/>
        <w:gridCol w:w="2693"/>
        <w:gridCol w:w="898"/>
        <w:gridCol w:w="898"/>
        <w:gridCol w:w="1039"/>
      </w:tblGrid>
      <w:tr w14:paraId="61D8505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42" w:hRule="atLeast"/>
          <w:tblHeader/>
          <w:jc w:val="center"/>
        </w:trPr>
        <w:tc>
          <w:tcPr>
            <w:tcW w:w="1550" w:type="dxa"/>
            <w:tcBorders>
              <w:tl2br w:val="nil"/>
              <w:tr2bl w:val="nil"/>
            </w:tcBorders>
            <w:shd w:val="clear" w:color="auto" w:fill="D0CECE"/>
            <w:vAlign w:val="center"/>
          </w:tcPr>
          <w:p w14:paraId="436F8D18">
            <w:pPr>
              <w:widowControl/>
              <w:ind w:firstLine="0" w:firstLineChars="0"/>
              <w:jc w:val="center"/>
              <w:rPr>
                <w:rFonts w:ascii="仿宋_GB2312" w:hAnsi="宋体" w:cs="宋体"/>
                <w:b/>
                <w:bCs/>
                <w:color w:val="auto"/>
                <w:kern w:val="0"/>
                <w:sz w:val="24"/>
                <w:szCs w:val="24"/>
                <w:highlight w:val="none"/>
              </w:rPr>
            </w:pPr>
            <w:r>
              <w:rPr>
                <w:rFonts w:hint="eastAsia" w:ascii="仿宋_GB2312" w:hAnsi="宋体" w:cs="宋体"/>
                <w:b/>
                <w:bCs/>
                <w:color w:val="auto"/>
                <w:kern w:val="0"/>
                <w:sz w:val="24"/>
                <w:szCs w:val="24"/>
                <w:highlight w:val="none"/>
              </w:rPr>
              <w:t>一级指标</w:t>
            </w:r>
          </w:p>
        </w:tc>
        <w:tc>
          <w:tcPr>
            <w:tcW w:w="1984" w:type="dxa"/>
            <w:tcBorders>
              <w:tl2br w:val="nil"/>
              <w:tr2bl w:val="nil"/>
            </w:tcBorders>
            <w:shd w:val="clear" w:color="auto" w:fill="D0CECE"/>
            <w:vAlign w:val="center"/>
          </w:tcPr>
          <w:p w14:paraId="170F4550">
            <w:pPr>
              <w:widowControl/>
              <w:ind w:firstLine="0" w:firstLineChars="0"/>
              <w:jc w:val="center"/>
              <w:rPr>
                <w:rFonts w:ascii="仿宋_GB2312" w:hAnsi="宋体" w:cs="宋体"/>
                <w:b/>
                <w:bCs/>
                <w:color w:val="auto"/>
                <w:kern w:val="0"/>
                <w:sz w:val="24"/>
                <w:szCs w:val="24"/>
                <w:highlight w:val="none"/>
              </w:rPr>
            </w:pPr>
            <w:r>
              <w:rPr>
                <w:rFonts w:hint="eastAsia" w:ascii="仿宋_GB2312" w:hAnsi="宋体" w:cs="宋体"/>
                <w:b/>
                <w:bCs/>
                <w:color w:val="auto"/>
                <w:kern w:val="0"/>
                <w:sz w:val="24"/>
                <w:szCs w:val="24"/>
                <w:highlight w:val="none"/>
              </w:rPr>
              <w:t>二级指标</w:t>
            </w:r>
          </w:p>
        </w:tc>
        <w:tc>
          <w:tcPr>
            <w:tcW w:w="2693" w:type="dxa"/>
            <w:tcBorders>
              <w:tl2br w:val="nil"/>
              <w:tr2bl w:val="nil"/>
            </w:tcBorders>
            <w:shd w:val="clear" w:color="auto" w:fill="D0CECE"/>
            <w:vAlign w:val="center"/>
          </w:tcPr>
          <w:p w14:paraId="7EC7A5F0">
            <w:pPr>
              <w:widowControl/>
              <w:ind w:firstLine="0" w:firstLineChars="0"/>
              <w:jc w:val="center"/>
              <w:rPr>
                <w:rFonts w:ascii="仿宋_GB2312" w:hAnsi="宋体" w:cs="宋体"/>
                <w:b/>
                <w:bCs/>
                <w:color w:val="auto"/>
                <w:kern w:val="0"/>
                <w:sz w:val="24"/>
                <w:szCs w:val="24"/>
                <w:highlight w:val="none"/>
              </w:rPr>
            </w:pPr>
            <w:r>
              <w:rPr>
                <w:rFonts w:hint="eastAsia" w:ascii="仿宋_GB2312" w:hAnsi="宋体" w:cs="宋体"/>
                <w:b/>
                <w:bCs/>
                <w:color w:val="auto"/>
                <w:kern w:val="0"/>
                <w:sz w:val="24"/>
                <w:szCs w:val="24"/>
                <w:highlight w:val="none"/>
              </w:rPr>
              <w:t>三级指标</w:t>
            </w:r>
          </w:p>
        </w:tc>
        <w:tc>
          <w:tcPr>
            <w:tcW w:w="898" w:type="dxa"/>
            <w:tcBorders>
              <w:tl2br w:val="nil"/>
              <w:tr2bl w:val="nil"/>
            </w:tcBorders>
            <w:shd w:val="clear" w:color="auto" w:fill="D0CECE"/>
            <w:vAlign w:val="center"/>
          </w:tcPr>
          <w:p w14:paraId="68F69FDB">
            <w:pPr>
              <w:widowControl/>
              <w:ind w:firstLine="0" w:firstLineChars="0"/>
              <w:jc w:val="center"/>
              <w:rPr>
                <w:rFonts w:ascii="仿宋_GB2312" w:hAnsi="宋体" w:cs="宋体"/>
                <w:b/>
                <w:bCs/>
                <w:color w:val="auto"/>
                <w:kern w:val="0"/>
                <w:sz w:val="24"/>
                <w:szCs w:val="24"/>
                <w:highlight w:val="none"/>
              </w:rPr>
            </w:pPr>
            <w:r>
              <w:rPr>
                <w:rFonts w:hint="eastAsia" w:ascii="仿宋_GB2312" w:hAnsi="宋体" w:cs="宋体"/>
                <w:b/>
                <w:bCs/>
                <w:color w:val="auto"/>
                <w:kern w:val="0"/>
                <w:sz w:val="24"/>
                <w:szCs w:val="24"/>
                <w:highlight w:val="none"/>
              </w:rPr>
              <w:t>分值</w:t>
            </w:r>
          </w:p>
        </w:tc>
        <w:tc>
          <w:tcPr>
            <w:tcW w:w="898" w:type="dxa"/>
            <w:tcBorders>
              <w:tl2br w:val="nil"/>
              <w:tr2bl w:val="nil"/>
            </w:tcBorders>
            <w:shd w:val="clear" w:color="auto" w:fill="D0CECE"/>
            <w:vAlign w:val="center"/>
          </w:tcPr>
          <w:p w14:paraId="62813B5C">
            <w:pPr>
              <w:widowControl/>
              <w:ind w:firstLine="0" w:firstLineChars="0"/>
              <w:jc w:val="center"/>
              <w:rPr>
                <w:rFonts w:ascii="仿宋_GB2312" w:hAnsi="宋体" w:cs="宋体"/>
                <w:b/>
                <w:bCs/>
                <w:color w:val="auto"/>
                <w:kern w:val="0"/>
                <w:sz w:val="24"/>
                <w:szCs w:val="24"/>
                <w:highlight w:val="none"/>
              </w:rPr>
            </w:pPr>
            <w:r>
              <w:rPr>
                <w:rFonts w:hint="eastAsia" w:ascii="仿宋_GB2312" w:hAnsi="宋体" w:cs="宋体"/>
                <w:b/>
                <w:bCs/>
                <w:color w:val="auto"/>
                <w:kern w:val="0"/>
                <w:sz w:val="24"/>
                <w:szCs w:val="24"/>
                <w:highlight w:val="none"/>
              </w:rPr>
              <w:t>得分</w:t>
            </w:r>
          </w:p>
        </w:tc>
        <w:tc>
          <w:tcPr>
            <w:tcW w:w="1039" w:type="dxa"/>
            <w:tcBorders>
              <w:tl2br w:val="nil"/>
              <w:tr2bl w:val="nil"/>
            </w:tcBorders>
            <w:shd w:val="clear" w:color="auto" w:fill="D0CECE"/>
            <w:vAlign w:val="center"/>
          </w:tcPr>
          <w:p w14:paraId="5BDC2EF7">
            <w:pPr>
              <w:widowControl/>
              <w:ind w:firstLine="0" w:firstLineChars="0"/>
              <w:jc w:val="center"/>
              <w:rPr>
                <w:rFonts w:ascii="仿宋_GB2312" w:hAnsi="Gungsuh" w:cs="宋体"/>
                <w:b/>
                <w:bCs/>
                <w:color w:val="auto"/>
                <w:kern w:val="0"/>
                <w:sz w:val="24"/>
                <w:szCs w:val="24"/>
                <w:highlight w:val="none"/>
              </w:rPr>
            </w:pPr>
            <w:r>
              <w:rPr>
                <w:rFonts w:hint="eastAsia" w:ascii="仿宋_GB2312" w:hAnsi="Gungsuh" w:cs="宋体"/>
                <w:b/>
                <w:bCs/>
                <w:color w:val="auto"/>
                <w:kern w:val="0"/>
                <w:sz w:val="24"/>
                <w:szCs w:val="24"/>
                <w:highlight w:val="none"/>
              </w:rPr>
              <w:t>得分率</w:t>
            </w:r>
          </w:p>
        </w:tc>
      </w:tr>
      <w:tr w14:paraId="5426186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42" w:hRule="atLeast"/>
          <w:jc w:val="center"/>
        </w:trPr>
        <w:tc>
          <w:tcPr>
            <w:tcW w:w="1550" w:type="dxa"/>
            <w:vMerge w:val="restart"/>
            <w:tcBorders>
              <w:tl2br w:val="nil"/>
              <w:tr2bl w:val="nil"/>
            </w:tcBorders>
            <w:shd w:val="clear" w:color="auto" w:fill="FFFFFF"/>
            <w:vAlign w:val="center"/>
          </w:tcPr>
          <w:p w14:paraId="32045C16">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决策</w:t>
            </w:r>
          </w:p>
        </w:tc>
        <w:tc>
          <w:tcPr>
            <w:tcW w:w="1984" w:type="dxa"/>
            <w:vMerge w:val="restart"/>
            <w:tcBorders>
              <w:tl2br w:val="nil"/>
              <w:tr2bl w:val="nil"/>
            </w:tcBorders>
            <w:shd w:val="clear" w:color="auto" w:fill="FFFFFF"/>
            <w:vAlign w:val="center"/>
          </w:tcPr>
          <w:p w14:paraId="583C542E">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项目立项</w:t>
            </w:r>
          </w:p>
        </w:tc>
        <w:tc>
          <w:tcPr>
            <w:tcW w:w="2693" w:type="dxa"/>
            <w:tcBorders>
              <w:tl2br w:val="nil"/>
              <w:tr2bl w:val="nil"/>
            </w:tcBorders>
            <w:shd w:val="clear" w:color="auto" w:fill="FFFFFF"/>
            <w:vAlign w:val="center"/>
          </w:tcPr>
          <w:p w14:paraId="6CC722DE">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立项依据充分性</w:t>
            </w:r>
          </w:p>
        </w:tc>
        <w:tc>
          <w:tcPr>
            <w:tcW w:w="898" w:type="dxa"/>
            <w:tcBorders>
              <w:tl2br w:val="nil"/>
              <w:tr2bl w:val="nil"/>
            </w:tcBorders>
            <w:shd w:val="clear" w:color="auto" w:fill="FFFFFF"/>
            <w:vAlign w:val="center"/>
          </w:tcPr>
          <w:p w14:paraId="6E52912C">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4</w:t>
            </w:r>
          </w:p>
        </w:tc>
        <w:tc>
          <w:tcPr>
            <w:tcW w:w="898" w:type="dxa"/>
            <w:tcBorders>
              <w:tl2br w:val="nil"/>
              <w:tr2bl w:val="nil"/>
            </w:tcBorders>
            <w:shd w:val="clear" w:color="auto" w:fill="FFFFFF"/>
            <w:vAlign w:val="center"/>
          </w:tcPr>
          <w:p w14:paraId="00B977EE">
            <w:pPr>
              <w:widowControl/>
              <w:ind w:firstLine="0" w:firstLineChars="0"/>
              <w:jc w:val="center"/>
              <w:rPr>
                <w:rFonts w:hint="eastAsia"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4</w:t>
            </w:r>
          </w:p>
        </w:tc>
        <w:tc>
          <w:tcPr>
            <w:tcW w:w="1039" w:type="dxa"/>
            <w:tcBorders>
              <w:tl2br w:val="nil"/>
              <w:tr2bl w:val="nil"/>
            </w:tcBorders>
            <w:shd w:val="clear" w:color="auto" w:fill="FFFFFF"/>
            <w:vAlign w:val="center"/>
          </w:tcPr>
          <w:p w14:paraId="4441A327">
            <w:pPr>
              <w:widowControl/>
              <w:ind w:firstLine="0" w:firstLineChars="0"/>
              <w:jc w:val="center"/>
              <w:rPr>
                <w:rFonts w:hint="default"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100%</w:t>
            </w:r>
          </w:p>
        </w:tc>
      </w:tr>
      <w:tr w14:paraId="1E9C005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42" w:hRule="atLeast"/>
          <w:jc w:val="center"/>
        </w:trPr>
        <w:tc>
          <w:tcPr>
            <w:tcW w:w="1550" w:type="dxa"/>
            <w:vMerge w:val="continue"/>
            <w:tcBorders>
              <w:tl2br w:val="nil"/>
              <w:tr2bl w:val="nil"/>
            </w:tcBorders>
            <w:shd w:val="clear" w:color="auto" w:fill="FFFFFF"/>
            <w:vAlign w:val="center"/>
          </w:tcPr>
          <w:p w14:paraId="34679C6E">
            <w:pPr>
              <w:ind w:firstLine="480"/>
              <w:jc w:val="center"/>
              <w:rPr>
                <w:rFonts w:ascii="仿宋_GB2312" w:hAnsi="宋体" w:cs="宋体"/>
                <w:color w:val="auto"/>
                <w:kern w:val="0"/>
                <w:sz w:val="24"/>
                <w:szCs w:val="24"/>
                <w:highlight w:val="none"/>
              </w:rPr>
            </w:pPr>
          </w:p>
        </w:tc>
        <w:tc>
          <w:tcPr>
            <w:tcW w:w="1984" w:type="dxa"/>
            <w:vMerge w:val="continue"/>
            <w:tcBorders>
              <w:tl2br w:val="nil"/>
              <w:tr2bl w:val="nil"/>
            </w:tcBorders>
            <w:shd w:val="clear" w:color="auto" w:fill="FFFFFF"/>
            <w:vAlign w:val="center"/>
          </w:tcPr>
          <w:p w14:paraId="200E679F">
            <w:pPr>
              <w:widowControl/>
              <w:ind w:firstLine="0" w:firstLineChars="0"/>
              <w:jc w:val="center"/>
              <w:rPr>
                <w:rFonts w:ascii="仿宋_GB2312" w:hAnsi="宋体" w:cs="宋体"/>
                <w:color w:val="auto"/>
                <w:kern w:val="0"/>
                <w:sz w:val="24"/>
                <w:szCs w:val="24"/>
                <w:highlight w:val="none"/>
              </w:rPr>
            </w:pPr>
          </w:p>
        </w:tc>
        <w:tc>
          <w:tcPr>
            <w:tcW w:w="2693" w:type="dxa"/>
            <w:tcBorders>
              <w:tl2br w:val="nil"/>
              <w:tr2bl w:val="nil"/>
            </w:tcBorders>
            <w:shd w:val="clear" w:color="auto" w:fill="FFFFFF"/>
            <w:vAlign w:val="center"/>
          </w:tcPr>
          <w:p w14:paraId="4FC1A10B">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立项程序规范性</w:t>
            </w:r>
          </w:p>
        </w:tc>
        <w:tc>
          <w:tcPr>
            <w:tcW w:w="898" w:type="dxa"/>
            <w:tcBorders>
              <w:tl2br w:val="nil"/>
              <w:tr2bl w:val="nil"/>
            </w:tcBorders>
            <w:shd w:val="clear" w:color="auto" w:fill="FFFFFF"/>
            <w:vAlign w:val="center"/>
          </w:tcPr>
          <w:p w14:paraId="350F31E6">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4</w:t>
            </w:r>
          </w:p>
        </w:tc>
        <w:tc>
          <w:tcPr>
            <w:tcW w:w="898" w:type="dxa"/>
            <w:tcBorders>
              <w:tl2br w:val="nil"/>
              <w:tr2bl w:val="nil"/>
            </w:tcBorders>
            <w:shd w:val="clear" w:color="auto" w:fill="FFFFFF"/>
            <w:vAlign w:val="center"/>
          </w:tcPr>
          <w:p w14:paraId="668CD04A">
            <w:pPr>
              <w:widowControl/>
              <w:ind w:firstLine="0" w:firstLineChars="0"/>
              <w:jc w:val="center"/>
              <w:rPr>
                <w:rFonts w:hint="eastAsia"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4</w:t>
            </w:r>
          </w:p>
        </w:tc>
        <w:tc>
          <w:tcPr>
            <w:tcW w:w="1039" w:type="dxa"/>
            <w:tcBorders>
              <w:tl2br w:val="nil"/>
              <w:tr2bl w:val="nil"/>
            </w:tcBorders>
            <w:shd w:val="clear" w:color="auto" w:fill="FFFFFF"/>
            <w:vAlign w:val="center"/>
          </w:tcPr>
          <w:p w14:paraId="39DA58B8">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lang w:val="en-US" w:eastAsia="zh-CN"/>
              </w:rPr>
              <w:t>100%</w:t>
            </w:r>
          </w:p>
        </w:tc>
      </w:tr>
      <w:tr w14:paraId="43ED768F">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42" w:hRule="atLeast"/>
          <w:jc w:val="center"/>
        </w:trPr>
        <w:tc>
          <w:tcPr>
            <w:tcW w:w="1550" w:type="dxa"/>
            <w:vMerge w:val="continue"/>
            <w:tcBorders>
              <w:tl2br w:val="nil"/>
              <w:tr2bl w:val="nil"/>
            </w:tcBorders>
            <w:shd w:val="clear" w:color="auto" w:fill="FFFFFF"/>
            <w:vAlign w:val="center"/>
          </w:tcPr>
          <w:p w14:paraId="35F29605">
            <w:pPr>
              <w:ind w:firstLine="480"/>
              <w:jc w:val="center"/>
              <w:rPr>
                <w:rFonts w:ascii="仿宋_GB2312" w:hAnsi="宋体" w:cs="宋体"/>
                <w:color w:val="auto"/>
                <w:kern w:val="0"/>
                <w:sz w:val="24"/>
                <w:szCs w:val="24"/>
                <w:highlight w:val="none"/>
              </w:rPr>
            </w:pPr>
          </w:p>
        </w:tc>
        <w:tc>
          <w:tcPr>
            <w:tcW w:w="1984" w:type="dxa"/>
            <w:vMerge w:val="restart"/>
            <w:tcBorders>
              <w:tl2br w:val="nil"/>
              <w:tr2bl w:val="nil"/>
            </w:tcBorders>
            <w:shd w:val="clear" w:color="auto" w:fill="FFFFFF"/>
            <w:vAlign w:val="center"/>
          </w:tcPr>
          <w:p w14:paraId="796CB8B8">
            <w:pPr>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绩效目标</w:t>
            </w:r>
          </w:p>
        </w:tc>
        <w:tc>
          <w:tcPr>
            <w:tcW w:w="2693" w:type="dxa"/>
            <w:tcBorders>
              <w:tl2br w:val="nil"/>
              <w:tr2bl w:val="nil"/>
            </w:tcBorders>
            <w:shd w:val="clear" w:color="auto" w:fill="FFFFFF"/>
            <w:vAlign w:val="center"/>
          </w:tcPr>
          <w:p w14:paraId="39BA953D">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绩效目标合理性</w:t>
            </w:r>
          </w:p>
        </w:tc>
        <w:tc>
          <w:tcPr>
            <w:tcW w:w="898" w:type="dxa"/>
            <w:tcBorders>
              <w:tl2br w:val="nil"/>
              <w:tr2bl w:val="nil"/>
            </w:tcBorders>
            <w:shd w:val="clear" w:color="000000" w:fill="FFFFFF"/>
            <w:vAlign w:val="center"/>
          </w:tcPr>
          <w:p w14:paraId="35E3BCED">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3</w:t>
            </w:r>
          </w:p>
        </w:tc>
        <w:tc>
          <w:tcPr>
            <w:tcW w:w="898" w:type="dxa"/>
            <w:tcBorders>
              <w:tl2br w:val="nil"/>
              <w:tr2bl w:val="nil"/>
            </w:tcBorders>
            <w:shd w:val="clear" w:color="000000" w:fill="FFFFFF"/>
            <w:vAlign w:val="center"/>
          </w:tcPr>
          <w:p w14:paraId="4607CC71">
            <w:pPr>
              <w:widowControl/>
              <w:ind w:firstLine="0" w:firstLineChars="0"/>
              <w:jc w:val="center"/>
              <w:rPr>
                <w:rFonts w:hint="eastAsia"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3</w:t>
            </w:r>
          </w:p>
        </w:tc>
        <w:tc>
          <w:tcPr>
            <w:tcW w:w="1039" w:type="dxa"/>
            <w:tcBorders>
              <w:tl2br w:val="nil"/>
              <w:tr2bl w:val="nil"/>
            </w:tcBorders>
            <w:shd w:val="clear" w:color="000000" w:fill="FFFFFF"/>
            <w:vAlign w:val="center"/>
          </w:tcPr>
          <w:p w14:paraId="23D0A0EE">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lang w:val="en-US" w:eastAsia="zh-CN"/>
              </w:rPr>
              <w:t>100%</w:t>
            </w:r>
          </w:p>
        </w:tc>
      </w:tr>
      <w:tr w14:paraId="3E163AF5">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42" w:hRule="atLeast"/>
          <w:jc w:val="center"/>
        </w:trPr>
        <w:tc>
          <w:tcPr>
            <w:tcW w:w="1550" w:type="dxa"/>
            <w:vMerge w:val="continue"/>
            <w:tcBorders>
              <w:tl2br w:val="nil"/>
              <w:tr2bl w:val="nil"/>
            </w:tcBorders>
            <w:shd w:val="clear" w:color="auto" w:fill="FFFFFF"/>
            <w:vAlign w:val="center"/>
          </w:tcPr>
          <w:p w14:paraId="441F6307">
            <w:pPr>
              <w:widowControl/>
              <w:ind w:firstLine="0" w:firstLineChars="0"/>
              <w:jc w:val="center"/>
              <w:rPr>
                <w:rFonts w:ascii="仿宋_GB2312" w:hAnsi="宋体" w:cs="宋体"/>
                <w:color w:val="auto"/>
                <w:kern w:val="0"/>
                <w:sz w:val="24"/>
                <w:szCs w:val="24"/>
                <w:highlight w:val="none"/>
              </w:rPr>
            </w:pPr>
          </w:p>
        </w:tc>
        <w:tc>
          <w:tcPr>
            <w:tcW w:w="1984" w:type="dxa"/>
            <w:vMerge w:val="continue"/>
            <w:tcBorders>
              <w:tl2br w:val="nil"/>
              <w:tr2bl w:val="nil"/>
            </w:tcBorders>
            <w:shd w:val="clear" w:color="auto" w:fill="FFFFFF"/>
            <w:vAlign w:val="center"/>
          </w:tcPr>
          <w:p w14:paraId="529F554E">
            <w:pPr>
              <w:widowControl/>
              <w:ind w:firstLine="0" w:firstLineChars="0"/>
              <w:jc w:val="center"/>
              <w:rPr>
                <w:rFonts w:ascii="仿宋_GB2312" w:hAnsi="宋体" w:cs="宋体"/>
                <w:color w:val="auto"/>
                <w:kern w:val="0"/>
                <w:sz w:val="24"/>
                <w:szCs w:val="24"/>
                <w:highlight w:val="none"/>
              </w:rPr>
            </w:pPr>
          </w:p>
        </w:tc>
        <w:tc>
          <w:tcPr>
            <w:tcW w:w="2693" w:type="dxa"/>
            <w:tcBorders>
              <w:tl2br w:val="nil"/>
              <w:tr2bl w:val="nil"/>
            </w:tcBorders>
            <w:shd w:val="clear" w:color="auto" w:fill="FFFFFF"/>
            <w:vAlign w:val="center"/>
          </w:tcPr>
          <w:p w14:paraId="3843480D">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绩效指标明确性</w:t>
            </w:r>
          </w:p>
        </w:tc>
        <w:tc>
          <w:tcPr>
            <w:tcW w:w="898" w:type="dxa"/>
            <w:tcBorders>
              <w:tl2br w:val="nil"/>
              <w:tr2bl w:val="nil"/>
            </w:tcBorders>
            <w:shd w:val="clear" w:color="000000" w:fill="FFFFFF"/>
            <w:vAlign w:val="center"/>
          </w:tcPr>
          <w:p w14:paraId="28CBCE80">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3</w:t>
            </w:r>
          </w:p>
        </w:tc>
        <w:tc>
          <w:tcPr>
            <w:tcW w:w="898" w:type="dxa"/>
            <w:tcBorders>
              <w:tl2br w:val="nil"/>
              <w:tr2bl w:val="nil"/>
            </w:tcBorders>
            <w:shd w:val="clear" w:color="000000" w:fill="FFFFFF"/>
            <w:vAlign w:val="center"/>
          </w:tcPr>
          <w:p w14:paraId="372F8380">
            <w:pPr>
              <w:widowControl/>
              <w:ind w:firstLine="0" w:firstLineChars="0"/>
              <w:jc w:val="center"/>
              <w:rPr>
                <w:rFonts w:hint="eastAsia"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3</w:t>
            </w:r>
          </w:p>
        </w:tc>
        <w:tc>
          <w:tcPr>
            <w:tcW w:w="1039" w:type="dxa"/>
            <w:tcBorders>
              <w:tl2br w:val="nil"/>
              <w:tr2bl w:val="nil"/>
            </w:tcBorders>
            <w:shd w:val="clear" w:color="000000" w:fill="FFFFFF"/>
            <w:vAlign w:val="center"/>
          </w:tcPr>
          <w:p w14:paraId="09143527">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lang w:val="en-US" w:eastAsia="zh-CN"/>
              </w:rPr>
              <w:t>100%</w:t>
            </w:r>
          </w:p>
        </w:tc>
      </w:tr>
      <w:tr w14:paraId="0934F82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42" w:hRule="atLeast"/>
          <w:jc w:val="center"/>
        </w:trPr>
        <w:tc>
          <w:tcPr>
            <w:tcW w:w="1550" w:type="dxa"/>
            <w:vMerge w:val="continue"/>
            <w:tcBorders>
              <w:tl2br w:val="nil"/>
              <w:tr2bl w:val="nil"/>
            </w:tcBorders>
            <w:shd w:val="clear" w:color="auto" w:fill="FFFFFF"/>
            <w:vAlign w:val="center"/>
          </w:tcPr>
          <w:p w14:paraId="3066C8E1">
            <w:pPr>
              <w:ind w:firstLine="0" w:firstLineChars="0"/>
              <w:jc w:val="center"/>
              <w:rPr>
                <w:rFonts w:ascii="仿宋_GB2312" w:hAnsi="宋体" w:cs="宋体"/>
                <w:color w:val="auto"/>
                <w:kern w:val="0"/>
                <w:sz w:val="24"/>
                <w:szCs w:val="24"/>
                <w:highlight w:val="none"/>
              </w:rPr>
            </w:pPr>
          </w:p>
        </w:tc>
        <w:tc>
          <w:tcPr>
            <w:tcW w:w="1984" w:type="dxa"/>
            <w:vMerge w:val="restart"/>
            <w:tcBorders>
              <w:tl2br w:val="nil"/>
              <w:tr2bl w:val="nil"/>
            </w:tcBorders>
            <w:shd w:val="clear" w:color="auto" w:fill="FFFFFF"/>
            <w:vAlign w:val="center"/>
          </w:tcPr>
          <w:p w14:paraId="6295D5ED">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资金投入</w:t>
            </w:r>
          </w:p>
        </w:tc>
        <w:tc>
          <w:tcPr>
            <w:tcW w:w="2693" w:type="dxa"/>
            <w:tcBorders>
              <w:tl2br w:val="nil"/>
              <w:tr2bl w:val="nil"/>
            </w:tcBorders>
            <w:shd w:val="clear" w:color="auto" w:fill="FFFFFF"/>
            <w:vAlign w:val="center"/>
          </w:tcPr>
          <w:p w14:paraId="53C71B03">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预算编制科学性</w:t>
            </w:r>
          </w:p>
        </w:tc>
        <w:tc>
          <w:tcPr>
            <w:tcW w:w="898" w:type="dxa"/>
            <w:tcBorders>
              <w:tl2br w:val="nil"/>
              <w:tr2bl w:val="nil"/>
            </w:tcBorders>
            <w:shd w:val="clear" w:color="auto" w:fill="FFFFFF"/>
            <w:vAlign w:val="center"/>
          </w:tcPr>
          <w:p w14:paraId="192B5FC2">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3</w:t>
            </w:r>
          </w:p>
        </w:tc>
        <w:tc>
          <w:tcPr>
            <w:tcW w:w="898" w:type="dxa"/>
            <w:tcBorders>
              <w:tl2br w:val="nil"/>
              <w:tr2bl w:val="nil"/>
            </w:tcBorders>
            <w:shd w:val="clear" w:color="auto" w:fill="FFFFFF"/>
            <w:vAlign w:val="center"/>
          </w:tcPr>
          <w:p w14:paraId="18778FD4">
            <w:pPr>
              <w:widowControl/>
              <w:ind w:firstLine="0" w:firstLineChars="0"/>
              <w:jc w:val="center"/>
              <w:rPr>
                <w:rFonts w:hint="eastAsia"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3</w:t>
            </w:r>
          </w:p>
        </w:tc>
        <w:tc>
          <w:tcPr>
            <w:tcW w:w="1039" w:type="dxa"/>
            <w:tcBorders>
              <w:tl2br w:val="nil"/>
              <w:tr2bl w:val="nil"/>
            </w:tcBorders>
            <w:shd w:val="clear" w:color="auto" w:fill="FFFFFF"/>
            <w:vAlign w:val="center"/>
          </w:tcPr>
          <w:p w14:paraId="2C7FC0F2">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lang w:val="en-US" w:eastAsia="zh-CN"/>
              </w:rPr>
              <w:t>100%</w:t>
            </w:r>
          </w:p>
        </w:tc>
      </w:tr>
      <w:tr w14:paraId="08A9F6F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42" w:hRule="atLeast"/>
          <w:jc w:val="center"/>
        </w:trPr>
        <w:tc>
          <w:tcPr>
            <w:tcW w:w="1550" w:type="dxa"/>
            <w:vMerge w:val="continue"/>
            <w:tcBorders>
              <w:tl2br w:val="nil"/>
              <w:tr2bl w:val="nil"/>
            </w:tcBorders>
            <w:shd w:val="clear" w:color="auto" w:fill="FFFFFF"/>
            <w:vAlign w:val="center"/>
          </w:tcPr>
          <w:p w14:paraId="5BB63BC4">
            <w:pPr>
              <w:widowControl/>
              <w:ind w:firstLine="0" w:firstLineChars="0"/>
              <w:jc w:val="center"/>
              <w:rPr>
                <w:rFonts w:ascii="仿宋_GB2312" w:hAnsi="宋体" w:cs="宋体"/>
                <w:color w:val="auto"/>
                <w:kern w:val="0"/>
                <w:sz w:val="24"/>
                <w:szCs w:val="24"/>
                <w:highlight w:val="none"/>
              </w:rPr>
            </w:pPr>
          </w:p>
        </w:tc>
        <w:tc>
          <w:tcPr>
            <w:tcW w:w="1984" w:type="dxa"/>
            <w:vMerge w:val="continue"/>
            <w:tcBorders>
              <w:tl2br w:val="nil"/>
              <w:tr2bl w:val="nil"/>
            </w:tcBorders>
            <w:shd w:val="clear" w:color="auto" w:fill="FFFFFF"/>
            <w:vAlign w:val="center"/>
          </w:tcPr>
          <w:p w14:paraId="5F82ACD9">
            <w:pPr>
              <w:widowControl/>
              <w:ind w:firstLine="0" w:firstLineChars="0"/>
              <w:jc w:val="center"/>
              <w:rPr>
                <w:rFonts w:ascii="仿宋_GB2312" w:hAnsi="宋体" w:cs="宋体"/>
                <w:color w:val="auto"/>
                <w:kern w:val="0"/>
                <w:sz w:val="24"/>
                <w:szCs w:val="24"/>
                <w:highlight w:val="none"/>
              </w:rPr>
            </w:pPr>
          </w:p>
        </w:tc>
        <w:tc>
          <w:tcPr>
            <w:tcW w:w="2693" w:type="dxa"/>
            <w:tcBorders>
              <w:tl2br w:val="nil"/>
              <w:tr2bl w:val="nil"/>
            </w:tcBorders>
            <w:shd w:val="clear" w:color="auto" w:fill="FFFFFF"/>
            <w:vAlign w:val="center"/>
          </w:tcPr>
          <w:p w14:paraId="2156651B">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资金分配合理性</w:t>
            </w:r>
          </w:p>
        </w:tc>
        <w:tc>
          <w:tcPr>
            <w:tcW w:w="898" w:type="dxa"/>
            <w:tcBorders>
              <w:tl2br w:val="nil"/>
              <w:tr2bl w:val="nil"/>
            </w:tcBorders>
            <w:shd w:val="clear" w:color="auto" w:fill="FFFFFF"/>
            <w:vAlign w:val="center"/>
          </w:tcPr>
          <w:p w14:paraId="5EB340FB">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3</w:t>
            </w:r>
          </w:p>
        </w:tc>
        <w:tc>
          <w:tcPr>
            <w:tcW w:w="898" w:type="dxa"/>
            <w:tcBorders>
              <w:tl2br w:val="nil"/>
              <w:tr2bl w:val="nil"/>
            </w:tcBorders>
            <w:shd w:val="clear" w:color="auto" w:fill="FFFFFF"/>
            <w:vAlign w:val="center"/>
          </w:tcPr>
          <w:p w14:paraId="7AA63402">
            <w:pPr>
              <w:widowControl/>
              <w:ind w:firstLine="0" w:firstLineChars="0"/>
              <w:jc w:val="center"/>
              <w:rPr>
                <w:rFonts w:hint="eastAsia"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3</w:t>
            </w:r>
          </w:p>
        </w:tc>
        <w:tc>
          <w:tcPr>
            <w:tcW w:w="1039" w:type="dxa"/>
            <w:tcBorders>
              <w:tl2br w:val="nil"/>
              <w:tr2bl w:val="nil"/>
            </w:tcBorders>
            <w:shd w:val="clear" w:color="auto" w:fill="FFFFFF"/>
            <w:vAlign w:val="center"/>
          </w:tcPr>
          <w:p w14:paraId="54E011C6">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lang w:val="en-US" w:eastAsia="zh-CN"/>
              </w:rPr>
              <w:t>100%</w:t>
            </w:r>
          </w:p>
        </w:tc>
      </w:tr>
      <w:tr w14:paraId="4ED59AEA">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42" w:hRule="atLeast"/>
          <w:jc w:val="center"/>
        </w:trPr>
        <w:tc>
          <w:tcPr>
            <w:tcW w:w="1550" w:type="dxa"/>
            <w:vMerge w:val="restart"/>
            <w:tcBorders>
              <w:tl2br w:val="nil"/>
              <w:tr2bl w:val="nil"/>
            </w:tcBorders>
            <w:shd w:val="clear" w:color="auto" w:fill="FFFFFF"/>
            <w:vAlign w:val="center"/>
          </w:tcPr>
          <w:p w14:paraId="31BB7104">
            <w:pPr>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过程</w:t>
            </w:r>
          </w:p>
        </w:tc>
        <w:tc>
          <w:tcPr>
            <w:tcW w:w="1984" w:type="dxa"/>
            <w:vMerge w:val="restart"/>
            <w:tcBorders>
              <w:tl2br w:val="nil"/>
              <w:tr2bl w:val="nil"/>
            </w:tcBorders>
            <w:shd w:val="clear" w:color="auto" w:fill="FFFFFF"/>
            <w:vAlign w:val="center"/>
          </w:tcPr>
          <w:p w14:paraId="1FC2C47E">
            <w:pPr>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资金管理</w:t>
            </w:r>
          </w:p>
        </w:tc>
        <w:tc>
          <w:tcPr>
            <w:tcW w:w="2693" w:type="dxa"/>
            <w:tcBorders>
              <w:tl2br w:val="nil"/>
              <w:tr2bl w:val="nil"/>
            </w:tcBorders>
            <w:shd w:val="clear" w:color="auto" w:fill="FFFFFF"/>
            <w:vAlign w:val="center"/>
          </w:tcPr>
          <w:p w14:paraId="533C9C8F">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资金到位率</w:t>
            </w:r>
          </w:p>
        </w:tc>
        <w:tc>
          <w:tcPr>
            <w:tcW w:w="898" w:type="dxa"/>
            <w:tcBorders>
              <w:tl2br w:val="nil"/>
              <w:tr2bl w:val="nil"/>
            </w:tcBorders>
            <w:shd w:val="clear" w:color="000000" w:fill="FFFFFF"/>
            <w:vAlign w:val="center"/>
          </w:tcPr>
          <w:p w14:paraId="4DD58EE0">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5</w:t>
            </w:r>
          </w:p>
        </w:tc>
        <w:tc>
          <w:tcPr>
            <w:tcW w:w="898" w:type="dxa"/>
            <w:tcBorders>
              <w:tl2br w:val="nil"/>
              <w:tr2bl w:val="nil"/>
            </w:tcBorders>
            <w:shd w:val="clear" w:color="000000" w:fill="FFFFFF"/>
            <w:vAlign w:val="center"/>
          </w:tcPr>
          <w:p w14:paraId="47A934BF">
            <w:pPr>
              <w:widowControl/>
              <w:ind w:firstLine="0" w:firstLineChars="0"/>
              <w:jc w:val="center"/>
              <w:rPr>
                <w:rFonts w:hint="eastAsia"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5</w:t>
            </w:r>
          </w:p>
        </w:tc>
        <w:tc>
          <w:tcPr>
            <w:tcW w:w="1039" w:type="dxa"/>
            <w:tcBorders>
              <w:tl2br w:val="nil"/>
              <w:tr2bl w:val="nil"/>
            </w:tcBorders>
            <w:shd w:val="clear" w:color="000000" w:fill="FFFFFF"/>
            <w:vAlign w:val="center"/>
          </w:tcPr>
          <w:p w14:paraId="27533A6B">
            <w:pPr>
              <w:widowControl/>
              <w:ind w:firstLine="0" w:firstLineChars="0"/>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lang w:val="en-US" w:eastAsia="zh-CN"/>
              </w:rPr>
              <w:t>100%</w:t>
            </w:r>
          </w:p>
        </w:tc>
      </w:tr>
      <w:tr w14:paraId="030E479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42" w:hRule="atLeast"/>
          <w:jc w:val="center"/>
        </w:trPr>
        <w:tc>
          <w:tcPr>
            <w:tcW w:w="1550" w:type="dxa"/>
            <w:vMerge w:val="continue"/>
            <w:tcBorders>
              <w:tl2br w:val="nil"/>
              <w:tr2bl w:val="nil"/>
            </w:tcBorders>
            <w:shd w:val="clear" w:color="auto" w:fill="FFFFFF"/>
            <w:vAlign w:val="center"/>
          </w:tcPr>
          <w:p w14:paraId="42BB7A2D">
            <w:pPr>
              <w:ind w:firstLine="480"/>
              <w:jc w:val="center"/>
              <w:rPr>
                <w:rFonts w:ascii="仿宋_GB2312" w:hAnsi="宋体" w:cs="宋体"/>
                <w:color w:val="auto"/>
                <w:kern w:val="0"/>
                <w:sz w:val="24"/>
                <w:szCs w:val="24"/>
                <w:highlight w:val="none"/>
              </w:rPr>
            </w:pPr>
          </w:p>
        </w:tc>
        <w:tc>
          <w:tcPr>
            <w:tcW w:w="1984" w:type="dxa"/>
            <w:vMerge w:val="continue"/>
            <w:tcBorders>
              <w:tl2br w:val="nil"/>
              <w:tr2bl w:val="nil"/>
            </w:tcBorders>
            <w:shd w:val="clear" w:color="auto" w:fill="FFFFFF"/>
            <w:vAlign w:val="center"/>
          </w:tcPr>
          <w:p w14:paraId="1CBFAC7E">
            <w:pPr>
              <w:ind w:firstLine="480"/>
              <w:jc w:val="center"/>
              <w:rPr>
                <w:rFonts w:ascii="仿宋_GB2312" w:hAnsi="宋体" w:cs="宋体"/>
                <w:color w:val="auto"/>
                <w:kern w:val="0"/>
                <w:sz w:val="24"/>
                <w:szCs w:val="24"/>
                <w:highlight w:val="none"/>
              </w:rPr>
            </w:pPr>
          </w:p>
        </w:tc>
        <w:tc>
          <w:tcPr>
            <w:tcW w:w="2693" w:type="dxa"/>
            <w:tcBorders>
              <w:tl2br w:val="nil"/>
              <w:tr2bl w:val="nil"/>
            </w:tcBorders>
            <w:shd w:val="clear" w:color="auto" w:fill="FFFFFF"/>
            <w:vAlign w:val="center"/>
          </w:tcPr>
          <w:p w14:paraId="362F5041">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预算执行率</w:t>
            </w:r>
          </w:p>
        </w:tc>
        <w:tc>
          <w:tcPr>
            <w:tcW w:w="898" w:type="dxa"/>
            <w:tcBorders>
              <w:tl2br w:val="nil"/>
              <w:tr2bl w:val="nil"/>
            </w:tcBorders>
            <w:shd w:val="clear" w:color="auto" w:fill="FFFFFF"/>
            <w:vAlign w:val="center"/>
          </w:tcPr>
          <w:p w14:paraId="51E15657">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5</w:t>
            </w:r>
          </w:p>
        </w:tc>
        <w:tc>
          <w:tcPr>
            <w:tcW w:w="898" w:type="dxa"/>
            <w:tcBorders>
              <w:tl2br w:val="nil"/>
              <w:tr2bl w:val="nil"/>
            </w:tcBorders>
            <w:shd w:val="clear" w:color="auto" w:fill="FFFFFF"/>
            <w:vAlign w:val="center"/>
          </w:tcPr>
          <w:p w14:paraId="0D010547">
            <w:pPr>
              <w:widowControl/>
              <w:ind w:firstLine="0" w:firstLineChars="0"/>
              <w:jc w:val="center"/>
              <w:rPr>
                <w:rFonts w:hint="eastAsia"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5</w:t>
            </w:r>
          </w:p>
        </w:tc>
        <w:tc>
          <w:tcPr>
            <w:tcW w:w="1039" w:type="dxa"/>
            <w:tcBorders>
              <w:tl2br w:val="nil"/>
              <w:tr2bl w:val="nil"/>
            </w:tcBorders>
            <w:shd w:val="clear" w:color="auto" w:fill="FFFFFF"/>
            <w:vAlign w:val="center"/>
          </w:tcPr>
          <w:p w14:paraId="7BC09EF0">
            <w:pPr>
              <w:widowControl/>
              <w:ind w:firstLine="0" w:firstLineChars="0"/>
              <w:jc w:val="center"/>
              <w:rPr>
                <w:rFonts w:hint="default"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100%</w:t>
            </w:r>
          </w:p>
        </w:tc>
      </w:tr>
      <w:tr w14:paraId="62BA865A">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42" w:hRule="atLeast"/>
          <w:jc w:val="center"/>
        </w:trPr>
        <w:tc>
          <w:tcPr>
            <w:tcW w:w="1550" w:type="dxa"/>
            <w:vMerge w:val="continue"/>
            <w:tcBorders>
              <w:tl2br w:val="nil"/>
              <w:tr2bl w:val="nil"/>
            </w:tcBorders>
            <w:shd w:val="clear" w:color="auto" w:fill="FFFFFF"/>
            <w:vAlign w:val="center"/>
          </w:tcPr>
          <w:p w14:paraId="3C106087">
            <w:pPr>
              <w:ind w:firstLine="0" w:firstLineChars="0"/>
              <w:jc w:val="center"/>
              <w:rPr>
                <w:rFonts w:ascii="仿宋_GB2312" w:hAnsi="宋体" w:cs="宋体"/>
                <w:color w:val="auto"/>
                <w:kern w:val="0"/>
                <w:sz w:val="24"/>
                <w:szCs w:val="24"/>
                <w:highlight w:val="none"/>
              </w:rPr>
            </w:pPr>
          </w:p>
        </w:tc>
        <w:tc>
          <w:tcPr>
            <w:tcW w:w="1984" w:type="dxa"/>
            <w:vMerge w:val="continue"/>
            <w:tcBorders>
              <w:tl2br w:val="nil"/>
              <w:tr2bl w:val="nil"/>
            </w:tcBorders>
            <w:shd w:val="clear" w:color="auto" w:fill="FFFFFF"/>
            <w:vAlign w:val="center"/>
          </w:tcPr>
          <w:p w14:paraId="07D8B746">
            <w:pPr>
              <w:widowControl/>
              <w:ind w:firstLine="0" w:firstLineChars="0"/>
              <w:jc w:val="center"/>
              <w:rPr>
                <w:rFonts w:ascii="仿宋_GB2312" w:hAnsi="宋体" w:cs="宋体"/>
                <w:color w:val="auto"/>
                <w:kern w:val="0"/>
                <w:sz w:val="24"/>
                <w:szCs w:val="24"/>
                <w:highlight w:val="none"/>
              </w:rPr>
            </w:pPr>
          </w:p>
        </w:tc>
        <w:tc>
          <w:tcPr>
            <w:tcW w:w="2693" w:type="dxa"/>
            <w:tcBorders>
              <w:tl2br w:val="nil"/>
              <w:tr2bl w:val="nil"/>
            </w:tcBorders>
            <w:shd w:val="clear" w:color="auto" w:fill="FFFFFF"/>
            <w:vAlign w:val="center"/>
          </w:tcPr>
          <w:p w14:paraId="506D5017">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资金使用合规性</w:t>
            </w:r>
          </w:p>
        </w:tc>
        <w:tc>
          <w:tcPr>
            <w:tcW w:w="898" w:type="dxa"/>
            <w:tcBorders>
              <w:tl2br w:val="nil"/>
              <w:tr2bl w:val="nil"/>
            </w:tcBorders>
            <w:shd w:val="clear" w:color="000000" w:fill="FFFFFF"/>
            <w:vAlign w:val="center"/>
          </w:tcPr>
          <w:p w14:paraId="5B4727F1">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3</w:t>
            </w:r>
          </w:p>
        </w:tc>
        <w:tc>
          <w:tcPr>
            <w:tcW w:w="898" w:type="dxa"/>
            <w:tcBorders>
              <w:tl2br w:val="nil"/>
              <w:tr2bl w:val="nil"/>
            </w:tcBorders>
            <w:shd w:val="clear" w:color="000000" w:fill="FFFFFF"/>
            <w:vAlign w:val="center"/>
          </w:tcPr>
          <w:p w14:paraId="10DAC911">
            <w:pPr>
              <w:widowControl/>
              <w:ind w:firstLine="0" w:firstLineChars="0"/>
              <w:jc w:val="center"/>
              <w:rPr>
                <w:rFonts w:hint="eastAsia"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3</w:t>
            </w:r>
          </w:p>
        </w:tc>
        <w:tc>
          <w:tcPr>
            <w:tcW w:w="1039" w:type="dxa"/>
            <w:tcBorders>
              <w:tl2br w:val="nil"/>
              <w:tr2bl w:val="nil"/>
            </w:tcBorders>
            <w:shd w:val="clear" w:color="000000" w:fill="FFFFFF"/>
            <w:vAlign w:val="center"/>
          </w:tcPr>
          <w:p w14:paraId="5A462909">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lang w:val="en-US" w:eastAsia="zh-CN"/>
              </w:rPr>
              <w:t>100%</w:t>
            </w:r>
          </w:p>
        </w:tc>
      </w:tr>
      <w:tr w14:paraId="0337F1C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42" w:hRule="atLeast"/>
          <w:jc w:val="center"/>
        </w:trPr>
        <w:tc>
          <w:tcPr>
            <w:tcW w:w="1550" w:type="dxa"/>
            <w:vMerge w:val="continue"/>
            <w:tcBorders>
              <w:tl2br w:val="nil"/>
              <w:tr2bl w:val="nil"/>
            </w:tcBorders>
            <w:shd w:val="clear" w:color="auto" w:fill="FFFFFF"/>
            <w:vAlign w:val="center"/>
          </w:tcPr>
          <w:p w14:paraId="1DAC5D7B">
            <w:pPr>
              <w:ind w:firstLine="0" w:firstLineChars="0"/>
              <w:jc w:val="center"/>
              <w:rPr>
                <w:rFonts w:ascii="仿宋_GB2312" w:hAnsi="宋体" w:cs="宋体"/>
                <w:color w:val="auto"/>
                <w:kern w:val="0"/>
                <w:sz w:val="24"/>
                <w:szCs w:val="24"/>
                <w:highlight w:val="none"/>
              </w:rPr>
            </w:pPr>
          </w:p>
        </w:tc>
        <w:tc>
          <w:tcPr>
            <w:tcW w:w="1984" w:type="dxa"/>
            <w:vMerge w:val="restart"/>
            <w:tcBorders>
              <w:tl2br w:val="nil"/>
              <w:tr2bl w:val="nil"/>
            </w:tcBorders>
            <w:shd w:val="clear" w:color="auto" w:fill="FFFFFF"/>
            <w:vAlign w:val="center"/>
          </w:tcPr>
          <w:p w14:paraId="7E931AB5">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组织实施</w:t>
            </w:r>
          </w:p>
        </w:tc>
        <w:tc>
          <w:tcPr>
            <w:tcW w:w="2693" w:type="dxa"/>
            <w:tcBorders>
              <w:tl2br w:val="nil"/>
              <w:tr2bl w:val="nil"/>
            </w:tcBorders>
            <w:shd w:val="clear" w:color="auto" w:fill="FFFFFF"/>
            <w:vAlign w:val="center"/>
          </w:tcPr>
          <w:p w14:paraId="0043A294">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管理制度健全性</w:t>
            </w:r>
          </w:p>
        </w:tc>
        <w:tc>
          <w:tcPr>
            <w:tcW w:w="898" w:type="dxa"/>
            <w:tcBorders>
              <w:tl2br w:val="nil"/>
              <w:tr2bl w:val="nil"/>
            </w:tcBorders>
            <w:shd w:val="clear" w:color="000000" w:fill="FFFFFF"/>
            <w:vAlign w:val="center"/>
          </w:tcPr>
          <w:p w14:paraId="55907941">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3</w:t>
            </w:r>
          </w:p>
        </w:tc>
        <w:tc>
          <w:tcPr>
            <w:tcW w:w="898" w:type="dxa"/>
            <w:tcBorders>
              <w:tl2br w:val="nil"/>
              <w:tr2bl w:val="nil"/>
            </w:tcBorders>
            <w:shd w:val="clear" w:color="000000" w:fill="FFFFFF"/>
            <w:vAlign w:val="center"/>
          </w:tcPr>
          <w:p w14:paraId="03010129">
            <w:pPr>
              <w:widowControl/>
              <w:ind w:firstLine="0" w:firstLineChars="0"/>
              <w:jc w:val="center"/>
              <w:rPr>
                <w:rFonts w:hint="eastAsia"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3</w:t>
            </w:r>
          </w:p>
        </w:tc>
        <w:tc>
          <w:tcPr>
            <w:tcW w:w="1039" w:type="dxa"/>
            <w:tcBorders>
              <w:tl2br w:val="nil"/>
              <w:tr2bl w:val="nil"/>
            </w:tcBorders>
            <w:shd w:val="clear" w:color="000000" w:fill="FFFFFF"/>
            <w:vAlign w:val="center"/>
          </w:tcPr>
          <w:p w14:paraId="682F2CC5">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lang w:val="en-US" w:eastAsia="zh-CN"/>
              </w:rPr>
              <w:t>100%</w:t>
            </w:r>
          </w:p>
        </w:tc>
      </w:tr>
      <w:tr w14:paraId="28991ABA">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42" w:hRule="atLeast"/>
          <w:jc w:val="center"/>
        </w:trPr>
        <w:tc>
          <w:tcPr>
            <w:tcW w:w="1550" w:type="dxa"/>
            <w:vMerge w:val="continue"/>
            <w:tcBorders>
              <w:tl2br w:val="nil"/>
              <w:tr2bl w:val="nil"/>
            </w:tcBorders>
            <w:shd w:val="clear" w:color="auto" w:fill="FFFFFF"/>
            <w:vAlign w:val="center"/>
          </w:tcPr>
          <w:p w14:paraId="7E68301A">
            <w:pPr>
              <w:widowControl/>
              <w:ind w:firstLine="0" w:firstLineChars="0"/>
              <w:jc w:val="center"/>
              <w:rPr>
                <w:rFonts w:ascii="仿宋_GB2312" w:hAnsi="宋体" w:cs="宋体"/>
                <w:color w:val="auto"/>
                <w:kern w:val="0"/>
                <w:sz w:val="24"/>
                <w:szCs w:val="24"/>
                <w:highlight w:val="none"/>
              </w:rPr>
            </w:pPr>
          </w:p>
        </w:tc>
        <w:tc>
          <w:tcPr>
            <w:tcW w:w="1984" w:type="dxa"/>
            <w:vMerge w:val="continue"/>
            <w:tcBorders>
              <w:tl2br w:val="nil"/>
              <w:tr2bl w:val="nil"/>
            </w:tcBorders>
            <w:shd w:val="clear" w:color="auto" w:fill="FFFFFF"/>
            <w:vAlign w:val="center"/>
          </w:tcPr>
          <w:p w14:paraId="62D2BA35">
            <w:pPr>
              <w:widowControl/>
              <w:ind w:firstLine="0" w:firstLineChars="0"/>
              <w:jc w:val="center"/>
              <w:rPr>
                <w:rFonts w:ascii="仿宋_GB2312" w:hAnsi="宋体" w:cs="宋体"/>
                <w:color w:val="auto"/>
                <w:kern w:val="0"/>
                <w:sz w:val="24"/>
                <w:szCs w:val="24"/>
                <w:highlight w:val="none"/>
              </w:rPr>
            </w:pPr>
          </w:p>
        </w:tc>
        <w:tc>
          <w:tcPr>
            <w:tcW w:w="2693" w:type="dxa"/>
            <w:tcBorders>
              <w:tl2br w:val="nil"/>
              <w:tr2bl w:val="nil"/>
            </w:tcBorders>
            <w:shd w:val="clear" w:color="auto" w:fill="FFFFFF"/>
            <w:vAlign w:val="center"/>
          </w:tcPr>
          <w:p w14:paraId="1BC99AFE">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制度执行有效性</w:t>
            </w:r>
          </w:p>
        </w:tc>
        <w:tc>
          <w:tcPr>
            <w:tcW w:w="898" w:type="dxa"/>
            <w:tcBorders>
              <w:tl2br w:val="nil"/>
              <w:tr2bl w:val="nil"/>
            </w:tcBorders>
            <w:shd w:val="clear" w:color="000000" w:fill="FFFFFF"/>
            <w:vAlign w:val="center"/>
          </w:tcPr>
          <w:p w14:paraId="07A05844">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4</w:t>
            </w:r>
          </w:p>
        </w:tc>
        <w:tc>
          <w:tcPr>
            <w:tcW w:w="898" w:type="dxa"/>
            <w:tcBorders>
              <w:tl2br w:val="nil"/>
              <w:tr2bl w:val="nil"/>
            </w:tcBorders>
            <w:shd w:val="clear" w:color="000000" w:fill="FFFFFF"/>
            <w:vAlign w:val="center"/>
          </w:tcPr>
          <w:p w14:paraId="5E080441">
            <w:pPr>
              <w:widowControl/>
              <w:ind w:firstLine="0" w:firstLineChars="0"/>
              <w:jc w:val="center"/>
              <w:rPr>
                <w:rFonts w:hint="eastAsia"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4</w:t>
            </w:r>
          </w:p>
        </w:tc>
        <w:tc>
          <w:tcPr>
            <w:tcW w:w="1039" w:type="dxa"/>
            <w:tcBorders>
              <w:tl2br w:val="nil"/>
              <w:tr2bl w:val="nil"/>
            </w:tcBorders>
            <w:shd w:val="clear" w:color="000000" w:fill="FFFFFF"/>
            <w:vAlign w:val="center"/>
          </w:tcPr>
          <w:p w14:paraId="00F95F66">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lang w:val="en-US" w:eastAsia="zh-CN"/>
              </w:rPr>
              <w:t>100%</w:t>
            </w:r>
          </w:p>
        </w:tc>
      </w:tr>
      <w:tr w14:paraId="665796A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48" w:hRule="atLeast"/>
          <w:jc w:val="center"/>
        </w:trPr>
        <w:tc>
          <w:tcPr>
            <w:tcW w:w="1550" w:type="dxa"/>
            <w:vMerge w:val="restart"/>
            <w:tcBorders>
              <w:tl2br w:val="nil"/>
              <w:tr2bl w:val="nil"/>
            </w:tcBorders>
            <w:shd w:val="clear" w:color="auto" w:fill="FFFFFF"/>
            <w:vAlign w:val="center"/>
          </w:tcPr>
          <w:p w14:paraId="338B359B">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产出</w:t>
            </w:r>
          </w:p>
        </w:tc>
        <w:tc>
          <w:tcPr>
            <w:tcW w:w="1984" w:type="dxa"/>
            <w:vMerge w:val="restart"/>
            <w:tcBorders>
              <w:tl2br w:val="nil"/>
              <w:tr2bl w:val="nil"/>
            </w:tcBorders>
            <w:shd w:val="clear" w:color="auto" w:fill="FFFFFF"/>
            <w:vAlign w:val="center"/>
          </w:tcPr>
          <w:p w14:paraId="04A106C9">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产出数量</w:t>
            </w:r>
          </w:p>
        </w:tc>
        <w:tc>
          <w:tcPr>
            <w:tcW w:w="2693" w:type="dxa"/>
            <w:tcBorders>
              <w:tl2br w:val="nil"/>
              <w:tr2bl w:val="nil"/>
            </w:tcBorders>
            <w:shd w:val="clear" w:color="auto" w:fill="FFFFFF"/>
          </w:tcPr>
          <w:p w14:paraId="437228D6">
            <w:pPr>
              <w:widowControl/>
              <w:ind w:firstLine="0" w:firstLineChars="0"/>
              <w:jc w:val="center"/>
              <w:rPr>
                <w:rFonts w:ascii="仿宋_GB2312" w:hAnsi="宋体" w:cs="宋体"/>
                <w:color w:val="auto"/>
                <w:kern w:val="0"/>
                <w:sz w:val="24"/>
                <w:szCs w:val="24"/>
                <w:highlight w:val="none"/>
              </w:rPr>
            </w:pPr>
            <w:r>
              <w:rPr>
                <w:rFonts w:hint="eastAsia" w:ascii="宋体" w:hAnsi="宋体" w:eastAsia="宋体" w:cs="宋体"/>
                <w:color w:val="auto"/>
                <w:kern w:val="0"/>
                <w:sz w:val="22"/>
                <w:highlight w:val="none"/>
              </w:rPr>
              <w:t>中试车间</w:t>
            </w:r>
          </w:p>
        </w:tc>
        <w:tc>
          <w:tcPr>
            <w:tcW w:w="898" w:type="dxa"/>
            <w:tcBorders>
              <w:tl2br w:val="nil"/>
              <w:tr2bl w:val="nil"/>
            </w:tcBorders>
            <w:shd w:val="clear" w:color="000000" w:fill="FFFFFF"/>
            <w:vAlign w:val="center"/>
          </w:tcPr>
          <w:p w14:paraId="44FC0F17">
            <w:pPr>
              <w:widowControl/>
              <w:ind w:firstLine="0" w:firstLineChars="0"/>
              <w:jc w:val="center"/>
              <w:rPr>
                <w:rFonts w:ascii="仿宋_GB2312" w:hAnsi="宋体" w:cs="宋体"/>
                <w:color w:val="auto"/>
                <w:kern w:val="0"/>
                <w:sz w:val="24"/>
                <w:szCs w:val="24"/>
                <w:highlight w:val="none"/>
              </w:rPr>
            </w:pPr>
            <w:r>
              <w:rPr>
                <w:rFonts w:ascii="仿宋_GB2312" w:hAnsi="宋体" w:cs="宋体"/>
                <w:color w:val="auto"/>
                <w:kern w:val="0"/>
                <w:sz w:val="24"/>
                <w:szCs w:val="24"/>
                <w:highlight w:val="none"/>
              </w:rPr>
              <w:t>3</w:t>
            </w:r>
          </w:p>
        </w:tc>
        <w:tc>
          <w:tcPr>
            <w:tcW w:w="898" w:type="dxa"/>
            <w:tcBorders>
              <w:tl2br w:val="nil"/>
              <w:tr2bl w:val="nil"/>
            </w:tcBorders>
            <w:shd w:val="clear" w:color="000000" w:fill="FFFFFF"/>
            <w:vAlign w:val="center"/>
          </w:tcPr>
          <w:p w14:paraId="2D65CEF0">
            <w:pPr>
              <w:widowControl/>
              <w:ind w:firstLine="0" w:firstLineChars="0"/>
              <w:jc w:val="center"/>
              <w:rPr>
                <w:rFonts w:hint="eastAsia"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3</w:t>
            </w:r>
          </w:p>
        </w:tc>
        <w:tc>
          <w:tcPr>
            <w:tcW w:w="1039" w:type="dxa"/>
            <w:vMerge w:val="restart"/>
            <w:tcBorders>
              <w:tl2br w:val="nil"/>
              <w:tr2bl w:val="nil"/>
            </w:tcBorders>
            <w:shd w:val="clear" w:color="000000" w:fill="FFFFFF"/>
            <w:vAlign w:val="center"/>
          </w:tcPr>
          <w:p w14:paraId="6141FEA0">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lang w:val="en-US" w:eastAsia="zh-CN"/>
              </w:rPr>
              <w:t>100%</w:t>
            </w:r>
          </w:p>
        </w:tc>
      </w:tr>
      <w:tr w14:paraId="5016A407">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46" w:hRule="atLeast"/>
          <w:jc w:val="center"/>
        </w:trPr>
        <w:tc>
          <w:tcPr>
            <w:tcW w:w="1550" w:type="dxa"/>
            <w:vMerge w:val="continue"/>
            <w:tcBorders>
              <w:tl2br w:val="nil"/>
              <w:tr2bl w:val="nil"/>
            </w:tcBorders>
            <w:shd w:val="clear" w:color="auto" w:fill="FFFFFF"/>
            <w:vAlign w:val="center"/>
          </w:tcPr>
          <w:p w14:paraId="4B989418">
            <w:pPr>
              <w:widowControl/>
              <w:ind w:firstLine="0" w:firstLineChars="0"/>
              <w:jc w:val="center"/>
              <w:rPr>
                <w:rFonts w:ascii="仿宋_GB2312" w:hAnsi="宋体" w:cs="宋体"/>
                <w:color w:val="auto"/>
                <w:kern w:val="0"/>
                <w:sz w:val="24"/>
                <w:szCs w:val="24"/>
                <w:highlight w:val="none"/>
              </w:rPr>
            </w:pPr>
          </w:p>
        </w:tc>
        <w:tc>
          <w:tcPr>
            <w:tcW w:w="1984" w:type="dxa"/>
            <w:vMerge w:val="continue"/>
            <w:tcBorders>
              <w:tl2br w:val="nil"/>
              <w:tr2bl w:val="nil"/>
            </w:tcBorders>
            <w:shd w:val="clear" w:color="auto" w:fill="FFFFFF"/>
            <w:vAlign w:val="center"/>
          </w:tcPr>
          <w:p w14:paraId="3B9267A6">
            <w:pPr>
              <w:widowControl/>
              <w:ind w:firstLine="0" w:firstLineChars="0"/>
              <w:jc w:val="center"/>
              <w:rPr>
                <w:rFonts w:ascii="仿宋_GB2312" w:hAnsi="宋体" w:cs="宋体"/>
                <w:color w:val="auto"/>
                <w:kern w:val="0"/>
                <w:sz w:val="24"/>
                <w:szCs w:val="24"/>
                <w:highlight w:val="none"/>
              </w:rPr>
            </w:pPr>
          </w:p>
        </w:tc>
        <w:tc>
          <w:tcPr>
            <w:tcW w:w="2693" w:type="dxa"/>
            <w:tcBorders>
              <w:tl2br w:val="nil"/>
              <w:tr2bl w:val="nil"/>
            </w:tcBorders>
            <w:shd w:val="clear" w:color="auto" w:fill="FFFFFF"/>
          </w:tcPr>
          <w:p w14:paraId="79C0D05D">
            <w:pPr>
              <w:widowControl/>
              <w:ind w:firstLine="0" w:firstLineChars="0"/>
              <w:jc w:val="center"/>
              <w:rPr>
                <w:rFonts w:ascii="仿宋_GB2312" w:hAnsi="宋体" w:cs="宋体"/>
                <w:color w:val="auto"/>
                <w:kern w:val="0"/>
                <w:sz w:val="24"/>
                <w:szCs w:val="24"/>
                <w:highlight w:val="none"/>
              </w:rPr>
            </w:pPr>
            <w:r>
              <w:rPr>
                <w:rFonts w:hint="eastAsia" w:ascii="宋体" w:hAnsi="宋体" w:eastAsia="宋体" w:cs="宋体"/>
                <w:color w:val="auto"/>
                <w:kern w:val="0"/>
                <w:sz w:val="22"/>
                <w:highlight w:val="none"/>
              </w:rPr>
              <w:t>标准厂房</w:t>
            </w:r>
          </w:p>
        </w:tc>
        <w:tc>
          <w:tcPr>
            <w:tcW w:w="898" w:type="dxa"/>
            <w:tcBorders>
              <w:tl2br w:val="nil"/>
              <w:tr2bl w:val="nil"/>
            </w:tcBorders>
            <w:shd w:val="clear" w:color="000000" w:fill="FFFFFF"/>
            <w:vAlign w:val="center"/>
          </w:tcPr>
          <w:p w14:paraId="7FE91B33">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3</w:t>
            </w:r>
          </w:p>
        </w:tc>
        <w:tc>
          <w:tcPr>
            <w:tcW w:w="898" w:type="dxa"/>
            <w:tcBorders>
              <w:tl2br w:val="nil"/>
              <w:tr2bl w:val="nil"/>
            </w:tcBorders>
            <w:shd w:val="clear" w:color="000000" w:fill="FFFFFF"/>
            <w:vAlign w:val="center"/>
          </w:tcPr>
          <w:p w14:paraId="76155F64">
            <w:pPr>
              <w:widowControl/>
              <w:ind w:firstLine="0" w:firstLineChars="0"/>
              <w:jc w:val="center"/>
              <w:rPr>
                <w:rFonts w:hint="eastAsia"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3</w:t>
            </w:r>
          </w:p>
        </w:tc>
        <w:tc>
          <w:tcPr>
            <w:tcW w:w="1039" w:type="dxa"/>
            <w:vMerge w:val="continue"/>
            <w:tcBorders>
              <w:tl2br w:val="nil"/>
              <w:tr2bl w:val="nil"/>
            </w:tcBorders>
            <w:shd w:val="clear" w:color="000000" w:fill="FFFFFF"/>
            <w:vAlign w:val="center"/>
          </w:tcPr>
          <w:p w14:paraId="53692490">
            <w:pPr>
              <w:widowControl/>
              <w:ind w:firstLine="0" w:firstLineChars="0"/>
              <w:jc w:val="center"/>
              <w:rPr>
                <w:rFonts w:ascii="仿宋_GB2312" w:hAnsi="宋体" w:cs="宋体"/>
                <w:color w:val="auto"/>
                <w:kern w:val="0"/>
                <w:sz w:val="24"/>
                <w:szCs w:val="24"/>
                <w:highlight w:val="none"/>
              </w:rPr>
            </w:pPr>
          </w:p>
        </w:tc>
      </w:tr>
      <w:tr w14:paraId="6121A8E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46" w:hRule="atLeast"/>
          <w:jc w:val="center"/>
        </w:trPr>
        <w:tc>
          <w:tcPr>
            <w:tcW w:w="1550" w:type="dxa"/>
            <w:vMerge w:val="continue"/>
            <w:tcBorders>
              <w:tl2br w:val="nil"/>
              <w:tr2bl w:val="nil"/>
            </w:tcBorders>
            <w:shd w:val="clear" w:color="auto" w:fill="FFFFFF"/>
            <w:vAlign w:val="center"/>
          </w:tcPr>
          <w:p w14:paraId="20A3D758">
            <w:pPr>
              <w:widowControl/>
              <w:ind w:firstLine="0" w:firstLineChars="0"/>
              <w:jc w:val="center"/>
              <w:rPr>
                <w:rFonts w:ascii="仿宋_GB2312" w:hAnsi="宋体" w:cs="宋体"/>
                <w:color w:val="auto"/>
                <w:kern w:val="0"/>
                <w:sz w:val="24"/>
                <w:szCs w:val="24"/>
                <w:highlight w:val="none"/>
              </w:rPr>
            </w:pPr>
          </w:p>
        </w:tc>
        <w:tc>
          <w:tcPr>
            <w:tcW w:w="1984" w:type="dxa"/>
            <w:vMerge w:val="continue"/>
            <w:tcBorders>
              <w:tl2br w:val="nil"/>
              <w:tr2bl w:val="nil"/>
            </w:tcBorders>
            <w:shd w:val="clear" w:color="auto" w:fill="FFFFFF"/>
            <w:vAlign w:val="center"/>
          </w:tcPr>
          <w:p w14:paraId="13A0B9BB">
            <w:pPr>
              <w:widowControl/>
              <w:ind w:firstLine="0" w:firstLineChars="0"/>
              <w:jc w:val="center"/>
              <w:rPr>
                <w:rFonts w:ascii="仿宋_GB2312" w:hAnsi="宋体" w:cs="宋体"/>
                <w:color w:val="auto"/>
                <w:kern w:val="0"/>
                <w:sz w:val="24"/>
                <w:szCs w:val="24"/>
                <w:highlight w:val="none"/>
              </w:rPr>
            </w:pPr>
          </w:p>
        </w:tc>
        <w:tc>
          <w:tcPr>
            <w:tcW w:w="2693" w:type="dxa"/>
            <w:tcBorders>
              <w:tl2br w:val="nil"/>
              <w:tr2bl w:val="nil"/>
            </w:tcBorders>
            <w:shd w:val="clear" w:color="auto" w:fill="FFFFFF"/>
          </w:tcPr>
          <w:p w14:paraId="04EB8490">
            <w:pPr>
              <w:widowControl/>
              <w:ind w:firstLine="0" w:firstLineChars="0"/>
              <w:jc w:val="center"/>
              <w:rPr>
                <w:rFonts w:ascii="仿宋_GB2312" w:hAnsi="宋体" w:cs="宋体"/>
                <w:color w:val="auto"/>
                <w:kern w:val="0"/>
                <w:sz w:val="24"/>
                <w:szCs w:val="24"/>
                <w:highlight w:val="none"/>
              </w:rPr>
            </w:pPr>
            <w:r>
              <w:rPr>
                <w:rFonts w:hint="eastAsia" w:ascii="宋体" w:hAnsi="宋体" w:eastAsia="宋体" w:cs="宋体"/>
                <w:color w:val="auto"/>
                <w:kern w:val="0"/>
                <w:sz w:val="22"/>
                <w:highlight w:val="none"/>
              </w:rPr>
              <w:t>总建设面积</w:t>
            </w:r>
          </w:p>
        </w:tc>
        <w:tc>
          <w:tcPr>
            <w:tcW w:w="898" w:type="dxa"/>
            <w:tcBorders>
              <w:tl2br w:val="nil"/>
              <w:tr2bl w:val="nil"/>
            </w:tcBorders>
            <w:shd w:val="clear" w:color="000000" w:fill="FFFFFF"/>
            <w:vAlign w:val="center"/>
          </w:tcPr>
          <w:p w14:paraId="22544A63">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4</w:t>
            </w:r>
          </w:p>
        </w:tc>
        <w:tc>
          <w:tcPr>
            <w:tcW w:w="898" w:type="dxa"/>
            <w:tcBorders>
              <w:tl2br w:val="nil"/>
              <w:tr2bl w:val="nil"/>
            </w:tcBorders>
            <w:shd w:val="clear" w:color="000000" w:fill="FFFFFF"/>
            <w:vAlign w:val="center"/>
          </w:tcPr>
          <w:p w14:paraId="2D92DB0A">
            <w:pPr>
              <w:widowControl/>
              <w:ind w:firstLine="0" w:firstLineChars="0"/>
              <w:jc w:val="center"/>
              <w:rPr>
                <w:rFonts w:hint="eastAsia"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4</w:t>
            </w:r>
          </w:p>
        </w:tc>
        <w:tc>
          <w:tcPr>
            <w:tcW w:w="1039" w:type="dxa"/>
            <w:vMerge w:val="continue"/>
            <w:tcBorders>
              <w:tl2br w:val="nil"/>
              <w:tr2bl w:val="nil"/>
            </w:tcBorders>
            <w:shd w:val="clear" w:color="000000" w:fill="FFFFFF"/>
            <w:vAlign w:val="center"/>
          </w:tcPr>
          <w:p w14:paraId="754DFDE2">
            <w:pPr>
              <w:widowControl/>
              <w:ind w:firstLine="0" w:firstLineChars="0"/>
              <w:jc w:val="center"/>
              <w:rPr>
                <w:rFonts w:ascii="仿宋_GB2312" w:hAnsi="宋体" w:cs="宋体"/>
                <w:color w:val="auto"/>
                <w:kern w:val="0"/>
                <w:sz w:val="24"/>
                <w:szCs w:val="24"/>
                <w:highlight w:val="none"/>
              </w:rPr>
            </w:pPr>
          </w:p>
        </w:tc>
      </w:tr>
      <w:tr w14:paraId="3C136446">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42" w:hRule="atLeast"/>
          <w:jc w:val="center"/>
        </w:trPr>
        <w:tc>
          <w:tcPr>
            <w:tcW w:w="1550" w:type="dxa"/>
            <w:vMerge w:val="continue"/>
            <w:tcBorders>
              <w:tl2br w:val="nil"/>
              <w:tr2bl w:val="nil"/>
            </w:tcBorders>
            <w:shd w:val="clear" w:color="auto" w:fill="FFFFFF"/>
            <w:vAlign w:val="center"/>
          </w:tcPr>
          <w:p w14:paraId="57147E88">
            <w:pPr>
              <w:widowControl/>
              <w:ind w:firstLine="0" w:firstLineChars="0"/>
              <w:jc w:val="center"/>
              <w:rPr>
                <w:rFonts w:ascii="仿宋_GB2312" w:hAnsi="宋体" w:cs="宋体"/>
                <w:color w:val="auto"/>
                <w:kern w:val="0"/>
                <w:sz w:val="24"/>
                <w:szCs w:val="24"/>
                <w:highlight w:val="none"/>
              </w:rPr>
            </w:pPr>
          </w:p>
        </w:tc>
        <w:tc>
          <w:tcPr>
            <w:tcW w:w="1984" w:type="dxa"/>
            <w:tcBorders>
              <w:tl2br w:val="nil"/>
              <w:tr2bl w:val="nil"/>
            </w:tcBorders>
            <w:shd w:val="clear" w:color="auto" w:fill="FFFFFF"/>
            <w:vAlign w:val="center"/>
          </w:tcPr>
          <w:p w14:paraId="3DE04481">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产出质量</w:t>
            </w:r>
          </w:p>
        </w:tc>
        <w:tc>
          <w:tcPr>
            <w:tcW w:w="2693" w:type="dxa"/>
            <w:tcBorders>
              <w:tl2br w:val="nil"/>
              <w:tr2bl w:val="nil"/>
            </w:tcBorders>
            <w:shd w:val="clear" w:color="auto" w:fill="FFFFFF"/>
            <w:vAlign w:val="center"/>
          </w:tcPr>
          <w:p w14:paraId="02CE536C">
            <w:pPr>
              <w:widowControl/>
              <w:ind w:firstLine="0" w:firstLineChars="0"/>
              <w:jc w:val="center"/>
              <w:rPr>
                <w:rFonts w:ascii="仿宋_GB2312" w:hAnsi="宋体" w:cs="宋体"/>
                <w:color w:val="auto"/>
                <w:kern w:val="0"/>
                <w:sz w:val="24"/>
                <w:szCs w:val="24"/>
                <w:highlight w:val="none"/>
              </w:rPr>
            </w:pPr>
            <w:r>
              <w:rPr>
                <w:rFonts w:hint="eastAsia" w:ascii="宋体" w:hAnsi="宋体" w:eastAsia="宋体" w:cs="宋体"/>
                <w:color w:val="auto"/>
                <w:kern w:val="0"/>
                <w:sz w:val="22"/>
                <w:highlight w:val="none"/>
              </w:rPr>
              <w:t>工程验收合格率</w:t>
            </w:r>
          </w:p>
        </w:tc>
        <w:tc>
          <w:tcPr>
            <w:tcW w:w="898" w:type="dxa"/>
            <w:tcBorders>
              <w:tl2br w:val="nil"/>
              <w:tr2bl w:val="nil"/>
            </w:tcBorders>
            <w:shd w:val="clear" w:color="000000" w:fill="FFFFFF"/>
            <w:vAlign w:val="center"/>
          </w:tcPr>
          <w:p w14:paraId="72961617">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1</w:t>
            </w:r>
            <w:r>
              <w:rPr>
                <w:rFonts w:ascii="仿宋_GB2312" w:hAnsi="宋体" w:cs="宋体"/>
                <w:color w:val="auto"/>
                <w:kern w:val="0"/>
                <w:sz w:val="24"/>
                <w:szCs w:val="24"/>
                <w:highlight w:val="none"/>
              </w:rPr>
              <w:t>0</w:t>
            </w:r>
          </w:p>
        </w:tc>
        <w:tc>
          <w:tcPr>
            <w:tcW w:w="898" w:type="dxa"/>
            <w:tcBorders>
              <w:tl2br w:val="nil"/>
              <w:tr2bl w:val="nil"/>
            </w:tcBorders>
            <w:shd w:val="clear" w:color="000000" w:fill="FFFFFF"/>
            <w:vAlign w:val="center"/>
          </w:tcPr>
          <w:p w14:paraId="33D549C0">
            <w:pPr>
              <w:widowControl/>
              <w:ind w:firstLine="0" w:firstLineChars="0"/>
              <w:jc w:val="center"/>
              <w:rPr>
                <w:rFonts w:hint="default"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10</w:t>
            </w:r>
          </w:p>
        </w:tc>
        <w:tc>
          <w:tcPr>
            <w:tcW w:w="1039" w:type="dxa"/>
            <w:tcBorders>
              <w:tl2br w:val="nil"/>
              <w:tr2bl w:val="nil"/>
            </w:tcBorders>
            <w:shd w:val="clear" w:color="000000" w:fill="FFFFFF"/>
            <w:vAlign w:val="center"/>
          </w:tcPr>
          <w:p w14:paraId="007C1173">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lang w:val="en-US" w:eastAsia="zh-CN"/>
              </w:rPr>
              <w:t>100%</w:t>
            </w:r>
          </w:p>
        </w:tc>
      </w:tr>
      <w:tr w14:paraId="69D283D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20" w:hRule="atLeast"/>
          <w:jc w:val="center"/>
        </w:trPr>
        <w:tc>
          <w:tcPr>
            <w:tcW w:w="1550" w:type="dxa"/>
            <w:vMerge w:val="continue"/>
            <w:tcBorders>
              <w:tl2br w:val="nil"/>
              <w:tr2bl w:val="nil"/>
            </w:tcBorders>
            <w:shd w:val="clear" w:color="auto" w:fill="FFFFFF"/>
            <w:vAlign w:val="center"/>
          </w:tcPr>
          <w:p w14:paraId="49B6D124">
            <w:pPr>
              <w:ind w:firstLine="0" w:firstLineChars="0"/>
              <w:jc w:val="center"/>
              <w:rPr>
                <w:rFonts w:ascii="仿宋_GB2312" w:hAnsi="宋体" w:cs="宋体"/>
                <w:color w:val="auto"/>
                <w:kern w:val="0"/>
                <w:sz w:val="24"/>
                <w:szCs w:val="24"/>
                <w:highlight w:val="none"/>
              </w:rPr>
            </w:pPr>
          </w:p>
        </w:tc>
        <w:tc>
          <w:tcPr>
            <w:tcW w:w="1984" w:type="dxa"/>
            <w:vMerge w:val="restart"/>
            <w:tcBorders>
              <w:tl2br w:val="nil"/>
              <w:tr2bl w:val="nil"/>
            </w:tcBorders>
            <w:shd w:val="clear" w:color="auto" w:fill="FFFFFF"/>
            <w:vAlign w:val="center"/>
          </w:tcPr>
          <w:p w14:paraId="0A7E7534">
            <w:pPr>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产出时效</w:t>
            </w:r>
          </w:p>
        </w:tc>
        <w:tc>
          <w:tcPr>
            <w:tcW w:w="2693" w:type="dxa"/>
            <w:tcBorders>
              <w:tl2br w:val="nil"/>
              <w:tr2bl w:val="nil"/>
            </w:tcBorders>
            <w:shd w:val="clear" w:color="auto" w:fill="FFFFFF"/>
            <w:vAlign w:val="center"/>
          </w:tcPr>
          <w:p w14:paraId="50C810EE">
            <w:pPr>
              <w:widowControl/>
              <w:ind w:firstLine="0" w:firstLineChars="0"/>
              <w:jc w:val="center"/>
              <w:rPr>
                <w:rFonts w:ascii="仿宋_GB2312" w:hAnsi="宋体" w:cs="宋体"/>
                <w:color w:val="auto"/>
                <w:kern w:val="0"/>
                <w:sz w:val="24"/>
                <w:szCs w:val="24"/>
                <w:highlight w:val="none"/>
              </w:rPr>
            </w:pPr>
            <w:r>
              <w:rPr>
                <w:rFonts w:hint="eastAsia" w:ascii="宋体" w:hAnsi="宋体" w:eastAsia="宋体" w:cs="宋体"/>
                <w:color w:val="auto"/>
                <w:kern w:val="0"/>
                <w:sz w:val="22"/>
                <w:highlight w:val="none"/>
              </w:rPr>
              <w:t>建设工程开工及时率</w:t>
            </w:r>
          </w:p>
        </w:tc>
        <w:tc>
          <w:tcPr>
            <w:tcW w:w="898" w:type="dxa"/>
            <w:tcBorders>
              <w:tl2br w:val="nil"/>
              <w:tr2bl w:val="nil"/>
            </w:tcBorders>
            <w:shd w:val="clear" w:color="000000" w:fill="FFFFFF"/>
            <w:vAlign w:val="center"/>
          </w:tcPr>
          <w:p w14:paraId="2FFCEDF3">
            <w:pPr>
              <w:widowControl/>
              <w:ind w:firstLine="0" w:firstLineChars="0"/>
              <w:jc w:val="center"/>
              <w:rPr>
                <w:rFonts w:ascii="仿宋_GB2312" w:hAnsi="宋体" w:cs="宋体"/>
                <w:color w:val="auto"/>
                <w:kern w:val="0"/>
                <w:sz w:val="24"/>
                <w:szCs w:val="24"/>
                <w:highlight w:val="none"/>
              </w:rPr>
            </w:pPr>
            <w:r>
              <w:rPr>
                <w:rFonts w:ascii="仿宋_GB2312" w:hAnsi="宋体" w:cs="宋体"/>
                <w:color w:val="auto"/>
                <w:kern w:val="0"/>
                <w:sz w:val="24"/>
                <w:szCs w:val="24"/>
                <w:highlight w:val="none"/>
              </w:rPr>
              <w:t>5</w:t>
            </w:r>
          </w:p>
        </w:tc>
        <w:tc>
          <w:tcPr>
            <w:tcW w:w="898" w:type="dxa"/>
            <w:tcBorders>
              <w:tl2br w:val="nil"/>
              <w:tr2bl w:val="nil"/>
            </w:tcBorders>
            <w:shd w:val="clear" w:color="000000" w:fill="FFFFFF"/>
            <w:vAlign w:val="center"/>
          </w:tcPr>
          <w:p w14:paraId="418BB54F">
            <w:pPr>
              <w:widowControl/>
              <w:ind w:firstLine="0" w:firstLineChars="0"/>
              <w:jc w:val="center"/>
              <w:rPr>
                <w:rFonts w:hint="eastAsia"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5</w:t>
            </w:r>
          </w:p>
        </w:tc>
        <w:tc>
          <w:tcPr>
            <w:tcW w:w="1039" w:type="dxa"/>
            <w:vMerge w:val="restart"/>
            <w:tcBorders>
              <w:tl2br w:val="nil"/>
              <w:tr2bl w:val="nil"/>
            </w:tcBorders>
            <w:shd w:val="clear" w:color="000000" w:fill="FFFFFF"/>
            <w:vAlign w:val="center"/>
          </w:tcPr>
          <w:p w14:paraId="4A5CBBEB">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lang w:val="en-US" w:eastAsia="zh-CN"/>
              </w:rPr>
              <w:t>100%</w:t>
            </w:r>
          </w:p>
        </w:tc>
      </w:tr>
      <w:tr w14:paraId="69AD4BAC">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20" w:hRule="atLeast"/>
          <w:jc w:val="center"/>
        </w:trPr>
        <w:tc>
          <w:tcPr>
            <w:tcW w:w="1550" w:type="dxa"/>
            <w:vMerge w:val="continue"/>
            <w:tcBorders>
              <w:tl2br w:val="nil"/>
              <w:tr2bl w:val="nil"/>
            </w:tcBorders>
            <w:shd w:val="clear" w:color="auto" w:fill="FFFFFF"/>
            <w:vAlign w:val="center"/>
          </w:tcPr>
          <w:p w14:paraId="3F0C5409">
            <w:pPr>
              <w:ind w:firstLine="0" w:firstLineChars="0"/>
              <w:jc w:val="center"/>
              <w:rPr>
                <w:rFonts w:ascii="仿宋_GB2312" w:hAnsi="宋体" w:cs="宋体"/>
                <w:color w:val="auto"/>
                <w:kern w:val="0"/>
                <w:sz w:val="24"/>
                <w:szCs w:val="24"/>
                <w:highlight w:val="none"/>
              </w:rPr>
            </w:pPr>
          </w:p>
        </w:tc>
        <w:tc>
          <w:tcPr>
            <w:tcW w:w="1984" w:type="dxa"/>
            <w:vMerge w:val="continue"/>
            <w:tcBorders>
              <w:tl2br w:val="nil"/>
              <w:tr2bl w:val="nil"/>
            </w:tcBorders>
            <w:shd w:val="clear" w:color="auto" w:fill="FFFFFF"/>
            <w:vAlign w:val="center"/>
          </w:tcPr>
          <w:p w14:paraId="054CF36F">
            <w:pPr>
              <w:ind w:firstLine="0" w:firstLineChars="0"/>
              <w:jc w:val="center"/>
              <w:rPr>
                <w:rFonts w:ascii="仿宋_GB2312" w:hAnsi="宋体" w:cs="宋体"/>
                <w:color w:val="auto"/>
                <w:kern w:val="0"/>
                <w:sz w:val="24"/>
                <w:szCs w:val="24"/>
                <w:highlight w:val="none"/>
              </w:rPr>
            </w:pPr>
          </w:p>
        </w:tc>
        <w:tc>
          <w:tcPr>
            <w:tcW w:w="2693" w:type="dxa"/>
            <w:tcBorders>
              <w:tl2br w:val="nil"/>
              <w:tr2bl w:val="nil"/>
            </w:tcBorders>
            <w:shd w:val="clear" w:color="auto" w:fill="FFFFFF"/>
            <w:vAlign w:val="center"/>
          </w:tcPr>
          <w:p w14:paraId="69D65D80">
            <w:pPr>
              <w:widowControl/>
              <w:ind w:firstLine="0" w:firstLineChars="0"/>
              <w:jc w:val="center"/>
              <w:rPr>
                <w:rFonts w:ascii="仿宋_GB2312" w:hAnsi="宋体" w:cs="宋体"/>
                <w:color w:val="auto"/>
                <w:kern w:val="0"/>
                <w:sz w:val="24"/>
                <w:szCs w:val="24"/>
                <w:highlight w:val="none"/>
              </w:rPr>
            </w:pPr>
            <w:r>
              <w:rPr>
                <w:rFonts w:hint="eastAsia" w:ascii="宋体" w:hAnsi="宋体" w:eastAsia="宋体" w:cs="宋体"/>
                <w:color w:val="auto"/>
                <w:kern w:val="0"/>
                <w:sz w:val="22"/>
                <w:highlight w:val="none"/>
              </w:rPr>
              <w:t>建设工程完工及时率</w:t>
            </w:r>
          </w:p>
        </w:tc>
        <w:tc>
          <w:tcPr>
            <w:tcW w:w="898" w:type="dxa"/>
            <w:tcBorders>
              <w:tl2br w:val="nil"/>
              <w:tr2bl w:val="nil"/>
            </w:tcBorders>
            <w:shd w:val="clear" w:color="000000" w:fill="FFFFFF"/>
            <w:vAlign w:val="center"/>
          </w:tcPr>
          <w:p w14:paraId="0C610596">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5</w:t>
            </w:r>
          </w:p>
        </w:tc>
        <w:tc>
          <w:tcPr>
            <w:tcW w:w="898" w:type="dxa"/>
            <w:tcBorders>
              <w:tl2br w:val="nil"/>
              <w:tr2bl w:val="nil"/>
            </w:tcBorders>
            <w:shd w:val="clear" w:color="000000" w:fill="FFFFFF"/>
            <w:vAlign w:val="center"/>
          </w:tcPr>
          <w:p w14:paraId="603DB8B0">
            <w:pPr>
              <w:widowControl/>
              <w:ind w:firstLine="0" w:firstLineChars="0"/>
              <w:jc w:val="center"/>
              <w:rPr>
                <w:rFonts w:hint="eastAsia"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5</w:t>
            </w:r>
          </w:p>
        </w:tc>
        <w:tc>
          <w:tcPr>
            <w:tcW w:w="1039" w:type="dxa"/>
            <w:vMerge w:val="continue"/>
            <w:tcBorders>
              <w:tl2br w:val="nil"/>
              <w:tr2bl w:val="nil"/>
            </w:tcBorders>
            <w:shd w:val="clear" w:color="000000" w:fill="FFFFFF"/>
            <w:vAlign w:val="center"/>
          </w:tcPr>
          <w:p w14:paraId="1B74D373">
            <w:pPr>
              <w:widowControl/>
              <w:ind w:firstLine="0" w:firstLineChars="0"/>
              <w:jc w:val="center"/>
              <w:rPr>
                <w:rFonts w:ascii="仿宋_GB2312" w:hAnsi="宋体" w:cs="宋体"/>
                <w:color w:val="auto"/>
                <w:kern w:val="0"/>
                <w:sz w:val="24"/>
                <w:szCs w:val="24"/>
                <w:highlight w:val="none"/>
              </w:rPr>
            </w:pPr>
          </w:p>
        </w:tc>
      </w:tr>
      <w:tr w14:paraId="645C16BA">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42" w:hRule="atLeast"/>
          <w:jc w:val="center"/>
        </w:trPr>
        <w:tc>
          <w:tcPr>
            <w:tcW w:w="1550" w:type="dxa"/>
            <w:vMerge w:val="continue"/>
            <w:tcBorders>
              <w:tl2br w:val="nil"/>
              <w:tr2bl w:val="nil"/>
            </w:tcBorders>
            <w:shd w:val="clear" w:color="auto" w:fill="FFFFFF"/>
            <w:vAlign w:val="center"/>
          </w:tcPr>
          <w:p w14:paraId="26C1168C">
            <w:pPr>
              <w:widowControl/>
              <w:ind w:firstLine="0" w:firstLineChars="0"/>
              <w:jc w:val="center"/>
              <w:rPr>
                <w:rFonts w:ascii="仿宋_GB2312" w:hAnsi="宋体" w:cs="宋体"/>
                <w:color w:val="auto"/>
                <w:kern w:val="0"/>
                <w:sz w:val="24"/>
                <w:szCs w:val="24"/>
                <w:highlight w:val="none"/>
              </w:rPr>
            </w:pPr>
          </w:p>
        </w:tc>
        <w:tc>
          <w:tcPr>
            <w:tcW w:w="1984" w:type="dxa"/>
            <w:tcBorders>
              <w:tl2br w:val="nil"/>
              <w:tr2bl w:val="nil"/>
            </w:tcBorders>
            <w:shd w:val="clear" w:color="auto" w:fill="FFFFFF"/>
            <w:vAlign w:val="center"/>
          </w:tcPr>
          <w:p w14:paraId="5F7CC3CD">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产出成本</w:t>
            </w:r>
          </w:p>
        </w:tc>
        <w:tc>
          <w:tcPr>
            <w:tcW w:w="2693" w:type="dxa"/>
            <w:tcBorders>
              <w:tl2br w:val="nil"/>
              <w:tr2bl w:val="nil"/>
            </w:tcBorders>
            <w:shd w:val="clear" w:color="auto" w:fill="FFFFFF"/>
            <w:vAlign w:val="center"/>
          </w:tcPr>
          <w:p w14:paraId="4EA8FB1E">
            <w:pPr>
              <w:widowControl/>
              <w:ind w:firstLine="0" w:firstLineChars="0"/>
              <w:jc w:val="center"/>
              <w:rPr>
                <w:rFonts w:ascii="仿宋_GB2312" w:hAnsi="宋体" w:cs="宋体"/>
                <w:color w:val="auto"/>
                <w:kern w:val="0"/>
                <w:sz w:val="24"/>
                <w:szCs w:val="24"/>
                <w:highlight w:val="none"/>
              </w:rPr>
            </w:pPr>
            <w:r>
              <w:rPr>
                <w:rFonts w:hint="eastAsia" w:ascii="宋体" w:hAnsi="宋体" w:eastAsia="宋体" w:cs="宋体"/>
                <w:color w:val="auto"/>
                <w:kern w:val="0"/>
                <w:sz w:val="22"/>
                <w:highlight w:val="none"/>
              </w:rPr>
              <w:t>项目预算控制率</w:t>
            </w:r>
          </w:p>
        </w:tc>
        <w:tc>
          <w:tcPr>
            <w:tcW w:w="898" w:type="dxa"/>
            <w:tcBorders>
              <w:tl2br w:val="nil"/>
              <w:tr2bl w:val="nil"/>
            </w:tcBorders>
            <w:shd w:val="clear" w:color="000000" w:fill="FFFFFF"/>
            <w:vAlign w:val="center"/>
          </w:tcPr>
          <w:p w14:paraId="7993F8BA">
            <w:pPr>
              <w:widowControl/>
              <w:ind w:firstLine="0" w:firstLineChars="0"/>
              <w:jc w:val="center"/>
              <w:rPr>
                <w:rFonts w:ascii="仿宋_GB2312" w:hAnsi="宋体" w:cs="宋体"/>
                <w:color w:val="auto"/>
                <w:kern w:val="0"/>
                <w:sz w:val="24"/>
                <w:szCs w:val="24"/>
                <w:highlight w:val="none"/>
              </w:rPr>
            </w:pPr>
            <w:r>
              <w:rPr>
                <w:rFonts w:ascii="仿宋_GB2312" w:hAnsi="宋体" w:cs="宋体"/>
                <w:color w:val="auto"/>
                <w:kern w:val="0"/>
                <w:sz w:val="24"/>
                <w:szCs w:val="24"/>
                <w:highlight w:val="none"/>
              </w:rPr>
              <w:t>10</w:t>
            </w:r>
          </w:p>
        </w:tc>
        <w:tc>
          <w:tcPr>
            <w:tcW w:w="898" w:type="dxa"/>
            <w:tcBorders>
              <w:tl2br w:val="nil"/>
              <w:tr2bl w:val="nil"/>
            </w:tcBorders>
            <w:shd w:val="clear" w:color="000000" w:fill="FFFFFF"/>
            <w:vAlign w:val="center"/>
          </w:tcPr>
          <w:p w14:paraId="2A48D729">
            <w:pPr>
              <w:widowControl/>
              <w:ind w:firstLine="0" w:firstLineChars="0"/>
              <w:jc w:val="center"/>
              <w:rPr>
                <w:rFonts w:hint="default"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10</w:t>
            </w:r>
          </w:p>
        </w:tc>
        <w:tc>
          <w:tcPr>
            <w:tcW w:w="1039" w:type="dxa"/>
            <w:tcBorders>
              <w:tl2br w:val="nil"/>
              <w:tr2bl w:val="nil"/>
            </w:tcBorders>
            <w:shd w:val="clear" w:color="000000" w:fill="FFFFFF"/>
            <w:vAlign w:val="center"/>
          </w:tcPr>
          <w:p w14:paraId="7E8FB028">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lang w:val="en-US" w:eastAsia="zh-CN"/>
              </w:rPr>
              <w:t>100%</w:t>
            </w:r>
          </w:p>
        </w:tc>
      </w:tr>
      <w:tr w14:paraId="27BF24E9">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42" w:hRule="atLeast"/>
          <w:jc w:val="center"/>
        </w:trPr>
        <w:tc>
          <w:tcPr>
            <w:tcW w:w="1550" w:type="dxa"/>
            <w:vMerge w:val="restart"/>
            <w:tcBorders>
              <w:tl2br w:val="nil"/>
              <w:tr2bl w:val="nil"/>
            </w:tcBorders>
            <w:shd w:val="clear" w:color="auto" w:fill="FFFFFF"/>
            <w:vAlign w:val="center"/>
          </w:tcPr>
          <w:p w14:paraId="2A34FBA3">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效益</w:t>
            </w:r>
          </w:p>
        </w:tc>
        <w:tc>
          <w:tcPr>
            <w:tcW w:w="1984" w:type="dxa"/>
            <w:vMerge w:val="restart"/>
            <w:tcBorders>
              <w:tl2br w:val="nil"/>
              <w:tr2bl w:val="nil"/>
            </w:tcBorders>
            <w:shd w:val="clear" w:color="auto" w:fill="FFFFFF"/>
            <w:vAlign w:val="center"/>
          </w:tcPr>
          <w:p w14:paraId="1367A057">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项目效益</w:t>
            </w:r>
          </w:p>
        </w:tc>
        <w:tc>
          <w:tcPr>
            <w:tcW w:w="2693" w:type="dxa"/>
            <w:tcBorders>
              <w:tl2br w:val="nil"/>
              <w:tr2bl w:val="nil"/>
            </w:tcBorders>
            <w:shd w:val="clear" w:color="auto" w:fill="FFFFFF"/>
            <w:vAlign w:val="center"/>
          </w:tcPr>
          <w:p w14:paraId="29366FC4">
            <w:pPr>
              <w:widowControl/>
              <w:ind w:firstLine="0" w:firstLineChars="0"/>
              <w:jc w:val="center"/>
              <w:rPr>
                <w:rFonts w:ascii="仿宋_GB2312" w:hAnsi="宋体" w:cs="宋体"/>
                <w:color w:val="auto"/>
                <w:kern w:val="0"/>
                <w:sz w:val="24"/>
                <w:szCs w:val="24"/>
                <w:highlight w:val="none"/>
              </w:rPr>
            </w:pPr>
            <w:r>
              <w:rPr>
                <w:rFonts w:hint="eastAsia" w:ascii="宋体" w:hAnsi="宋体" w:eastAsia="宋体" w:cs="宋体"/>
                <w:color w:val="auto"/>
                <w:kern w:val="0"/>
                <w:sz w:val="22"/>
                <w:highlight w:val="none"/>
              </w:rPr>
              <w:t>社会效益指标</w:t>
            </w:r>
          </w:p>
        </w:tc>
        <w:tc>
          <w:tcPr>
            <w:tcW w:w="898" w:type="dxa"/>
            <w:tcBorders>
              <w:tl2br w:val="nil"/>
              <w:tr2bl w:val="nil"/>
            </w:tcBorders>
            <w:shd w:val="clear" w:color="auto" w:fill="FFFFFF"/>
            <w:vAlign w:val="center"/>
          </w:tcPr>
          <w:p w14:paraId="59CEFD47">
            <w:pPr>
              <w:widowControl/>
              <w:ind w:firstLine="0" w:firstLineChars="0"/>
              <w:jc w:val="center"/>
              <w:rPr>
                <w:rFonts w:ascii="仿宋_GB2312" w:hAnsi="宋体" w:cs="宋体"/>
                <w:color w:val="auto"/>
                <w:kern w:val="0"/>
                <w:sz w:val="24"/>
                <w:szCs w:val="24"/>
                <w:highlight w:val="none"/>
              </w:rPr>
            </w:pPr>
            <w:r>
              <w:rPr>
                <w:rFonts w:ascii="仿宋_GB2312" w:hAnsi="宋体" w:cs="宋体"/>
                <w:color w:val="auto"/>
                <w:kern w:val="0"/>
                <w:sz w:val="24"/>
                <w:szCs w:val="24"/>
                <w:highlight w:val="none"/>
              </w:rPr>
              <w:t>10</w:t>
            </w:r>
          </w:p>
        </w:tc>
        <w:tc>
          <w:tcPr>
            <w:tcW w:w="898" w:type="dxa"/>
            <w:tcBorders>
              <w:tl2br w:val="nil"/>
              <w:tr2bl w:val="nil"/>
            </w:tcBorders>
            <w:shd w:val="clear" w:color="auto" w:fill="FFFFFF"/>
            <w:vAlign w:val="center"/>
          </w:tcPr>
          <w:p w14:paraId="65B42A0E">
            <w:pPr>
              <w:widowControl/>
              <w:ind w:firstLine="0" w:firstLineChars="0"/>
              <w:jc w:val="center"/>
              <w:rPr>
                <w:rFonts w:hint="default"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10</w:t>
            </w:r>
          </w:p>
        </w:tc>
        <w:tc>
          <w:tcPr>
            <w:tcW w:w="1039" w:type="dxa"/>
            <w:tcBorders>
              <w:tl2br w:val="nil"/>
              <w:tr2bl w:val="nil"/>
            </w:tcBorders>
            <w:shd w:val="clear" w:color="auto" w:fill="FFFFFF"/>
            <w:vAlign w:val="center"/>
          </w:tcPr>
          <w:p w14:paraId="24DB61B6">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lang w:val="en-US" w:eastAsia="zh-CN"/>
              </w:rPr>
              <w:t>100%</w:t>
            </w:r>
          </w:p>
        </w:tc>
      </w:tr>
      <w:tr w14:paraId="26AF2EE2">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42" w:hRule="atLeast"/>
          <w:jc w:val="center"/>
        </w:trPr>
        <w:tc>
          <w:tcPr>
            <w:tcW w:w="1550" w:type="dxa"/>
            <w:vMerge w:val="continue"/>
            <w:tcBorders>
              <w:tl2br w:val="nil"/>
              <w:tr2bl w:val="nil"/>
            </w:tcBorders>
            <w:shd w:val="clear" w:color="auto" w:fill="FFFFFF"/>
            <w:vAlign w:val="center"/>
          </w:tcPr>
          <w:p w14:paraId="74998E17">
            <w:pPr>
              <w:widowControl/>
              <w:ind w:firstLine="0" w:firstLineChars="0"/>
              <w:jc w:val="center"/>
              <w:rPr>
                <w:rFonts w:ascii="仿宋_GB2312" w:hAnsi="宋体" w:cs="宋体"/>
                <w:color w:val="auto"/>
                <w:kern w:val="0"/>
                <w:sz w:val="24"/>
                <w:szCs w:val="24"/>
                <w:highlight w:val="none"/>
              </w:rPr>
            </w:pPr>
          </w:p>
        </w:tc>
        <w:tc>
          <w:tcPr>
            <w:tcW w:w="1984" w:type="dxa"/>
            <w:vMerge w:val="continue"/>
            <w:tcBorders>
              <w:tl2br w:val="nil"/>
              <w:tr2bl w:val="nil"/>
            </w:tcBorders>
            <w:shd w:val="clear" w:color="auto" w:fill="FFFFFF"/>
            <w:vAlign w:val="center"/>
          </w:tcPr>
          <w:p w14:paraId="7FD3582F">
            <w:pPr>
              <w:widowControl/>
              <w:ind w:firstLine="0" w:firstLineChars="0"/>
              <w:jc w:val="center"/>
              <w:rPr>
                <w:rFonts w:ascii="仿宋_GB2312" w:hAnsi="宋体" w:cs="宋体"/>
                <w:color w:val="auto"/>
                <w:kern w:val="0"/>
                <w:sz w:val="24"/>
                <w:szCs w:val="24"/>
                <w:highlight w:val="none"/>
              </w:rPr>
            </w:pPr>
          </w:p>
        </w:tc>
        <w:tc>
          <w:tcPr>
            <w:tcW w:w="2693" w:type="dxa"/>
            <w:tcBorders>
              <w:tl2br w:val="nil"/>
              <w:tr2bl w:val="nil"/>
            </w:tcBorders>
            <w:shd w:val="clear" w:color="auto" w:fill="FFFFFF"/>
            <w:vAlign w:val="center"/>
          </w:tcPr>
          <w:p w14:paraId="7D8A4C5E">
            <w:pPr>
              <w:widowControl/>
              <w:ind w:firstLine="0" w:firstLineChars="0"/>
              <w:jc w:val="center"/>
              <w:rPr>
                <w:rFonts w:ascii="仿宋_GB2312" w:hAnsi="宋体" w:cs="宋体"/>
                <w:color w:val="auto"/>
                <w:kern w:val="0"/>
                <w:sz w:val="24"/>
                <w:szCs w:val="24"/>
                <w:highlight w:val="none"/>
              </w:rPr>
            </w:pPr>
            <w:r>
              <w:rPr>
                <w:rFonts w:hint="eastAsia" w:ascii="宋体" w:hAnsi="宋体" w:eastAsia="宋体" w:cs="宋体"/>
                <w:color w:val="auto"/>
                <w:kern w:val="0"/>
                <w:sz w:val="22"/>
                <w:highlight w:val="none"/>
              </w:rPr>
              <w:t>可持续影响指标</w:t>
            </w:r>
          </w:p>
        </w:tc>
        <w:tc>
          <w:tcPr>
            <w:tcW w:w="898" w:type="dxa"/>
            <w:tcBorders>
              <w:tl2br w:val="nil"/>
              <w:tr2bl w:val="nil"/>
            </w:tcBorders>
            <w:shd w:val="clear" w:color="000000" w:fill="FFFFFF"/>
            <w:vAlign w:val="center"/>
          </w:tcPr>
          <w:p w14:paraId="2EC652F9">
            <w:pPr>
              <w:widowControl/>
              <w:ind w:firstLine="0" w:firstLineChars="0"/>
              <w:jc w:val="center"/>
              <w:rPr>
                <w:rFonts w:ascii="仿宋_GB2312" w:hAnsi="宋体" w:cs="宋体"/>
                <w:color w:val="auto"/>
                <w:kern w:val="0"/>
                <w:sz w:val="24"/>
                <w:szCs w:val="24"/>
                <w:highlight w:val="none"/>
              </w:rPr>
            </w:pPr>
            <w:r>
              <w:rPr>
                <w:rFonts w:ascii="仿宋_GB2312" w:hAnsi="宋体" w:cs="宋体"/>
                <w:color w:val="auto"/>
                <w:kern w:val="0"/>
                <w:sz w:val="24"/>
                <w:szCs w:val="24"/>
                <w:highlight w:val="none"/>
              </w:rPr>
              <w:t>5</w:t>
            </w:r>
          </w:p>
        </w:tc>
        <w:tc>
          <w:tcPr>
            <w:tcW w:w="898" w:type="dxa"/>
            <w:tcBorders>
              <w:tl2br w:val="nil"/>
              <w:tr2bl w:val="nil"/>
            </w:tcBorders>
            <w:shd w:val="clear" w:color="000000" w:fill="FFFFFF"/>
            <w:vAlign w:val="center"/>
          </w:tcPr>
          <w:p w14:paraId="3218F1EE">
            <w:pPr>
              <w:widowControl/>
              <w:ind w:firstLine="0" w:firstLineChars="0"/>
              <w:jc w:val="center"/>
              <w:rPr>
                <w:rFonts w:hint="eastAsia"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5</w:t>
            </w:r>
          </w:p>
        </w:tc>
        <w:tc>
          <w:tcPr>
            <w:tcW w:w="1039" w:type="dxa"/>
            <w:tcBorders>
              <w:tl2br w:val="nil"/>
              <w:tr2bl w:val="nil"/>
            </w:tcBorders>
            <w:shd w:val="clear" w:color="000000" w:fill="FFFFFF"/>
            <w:vAlign w:val="center"/>
          </w:tcPr>
          <w:p w14:paraId="3E18D159">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lang w:val="en-US" w:eastAsia="zh-CN"/>
              </w:rPr>
              <w:t>100%</w:t>
            </w:r>
          </w:p>
        </w:tc>
      </w:tr>
      <w:tr w14:paraId="753FF1B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42" w:hRule="atLeast"/>
          <w:jc w:val="center"/>
        </w:trPr>
        <w:tc>
          <w:tcPr>
            <w:tcW w:w="1550" w:type="dxa"/>
            <w:tcBorders>
              <w:tl2br w:val="nil"/>
              <w:tr2bl w:val="nil"/>
            </w:tcBorders>
            <w:shd w:val="clear" w:color="auto" w:fill="FFFFFF"/>
            <w:vAlign w:val="center"/>
          </w:tcPr>
          <w:p w14:paraId="550AF9F4">
            <w:pPr>
              <w:widowControl/>
              <w:ind w:firstLine="0" w:firstLineChars="0"/>
              <w:jc w:val="center"/>
              <w:rPr>
                <w:rFonts w:ascii="仿宋_GB2312" w:hAnsi="宋体" w:cs="宋体"/>
                <w:color w:val="auto"/>
                <w:kern w:val="0"/>
                <w:sz w:val="24"/>
                <w:szCs w:val="24"/>
                <w:highlight w:val="none"/>
              </w:rPr>
            </w:pPr>
            <w:r>
              <w:rPr>
                <w:rFonts w:ascii="宋体" w:hAnsi="宋体" w:eastAsia="宋体" w:cs="宋体"/>
                <w:color w:val="auto"/>
                <w:kern w:val="0"/>
                <w:sz w:val="22"/>
                <w:highlight w:val="none"/>
              </w:rPr>
              <w:t>满意度指标完成情况分析</w:t>
            </w:r>
          </w:p>
        </w:tc>
        <w:tc>
          <w:tcPr>
            <w:tcW w:w="1984" w:type="dxa"/>
            <w:tcBorders>
              <w:tl2br w:val="nil"/>
              <w:tr2bl w:val="nil"/>
            </w:tcBorders>
            <w:shd w:val="clear" w:color="auto" w:fill="FFFFFF"/>
            <w:vAlign w:val="center"/>
          </w:tcPr>
          <w:p w14:paraId="4DF1DEE5">
            <w:pPr>
              <w:widowControl/>
              <w:ind w:firstLine="0" w:firstLineChars="0"/>
              <w:jc w:val="center"/>
              <w:rPr>
                <w:rFonts w:ascii="仿宋_GB2312" w:hAnsi="宋体" w:cs="宋体"/>
                <w:color w:val="auto"/>
                <w:kern w:val="0"/>
                <w:sz w:val="24"/>
                <w:szCs w:val="24"/>
                <w:highlight w:val="none"/>
              </w:rPr>
            </w:pPr>
            <w:r>
              <w:rPr>
                <w:rFonts w:hint="eastAsia" w:ascii="宋体" w:hAnsi="宋体" w:eastAsia="宋体" w:cs="宋体"/>
                <w:color w:val="auto"/>
                <w:kern w:val="0"/>
                <w:sz w:val="22"/>
                <w:highlight w:val="none"/>
              </w:rPr>
              <w:t>满意度指标</w:t>
            </w:r>
          </w:p>
        </w:tc>
        <w:tc>
          <w:tcPr>
            <w:tcW w:w="2693" w:type="dxa"/>
            <w:tcBorders>
              <w:tl2br w:val="nil"/>
              <w:tr2bl w:val="nil"/>
            </w:tcBorders>
            <w:shd w:val="clear" w:color="auto" w:fill="FFFFFF"/>
            <w:vAlign w:val="center"/>
          </w:tcPr>
          <w:p w14:paraId="4EFA4E1D">
            <w:pPr>
              <w:widowControl/>
              <w:ind w:firstLine="0" w:firstLineChars="0"/>
              <w:jc w:val="center"/>
              <w:rPr>
                <w:rFonts w:ascii="宋体" w:hAnsi="宋体" w:eastAsia="宋体" w:cs="宋体"/>
                <w:color w:val="auto"/>
                <w:kern w:val="0"/>
                <w:sz w:val="22"/>
                <w:highlight w:val="none"/>
              </w:rPr>
            </w:pPr>
            <w:r>
              <w:rPr>
                <w:rFonts w:hint="eastAsia" w:ascii="宋体" w:hAnsi="宋体" w:eastAsia="宋体" w:cs="宋体"/>
                <w:color w:val="auto"/>
                <w:kern w:val="0"/>
                <w:sz w:val="22"/>
                <w:highlight w:val="none"/>
              </w:rPr>
              <w:t>群众满意度</w:t>
            </w:r>
          </w:p>
        </w:tc>
        <w:tc>
          <w:tcPr>
            <w:tcW w:w="898" w:type="dxa"/>
            <w:tcBorders>
              <w:tl2br w:val="nil"/>
              <w:tr2bl w:val="nil"/>
            </w:tcBorders>
            <w:shd w:val="clear" w:color="000000" w:fill="FFFFFF"/>
            <w:vAlign w:val="center"/>
          </w:tcPr>
          <w:p w14:paraId="25FEDF0E">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rPr>
              <w:t>5</w:t>
            </w:r>
          </w:p>
        </w:tc>
        <w:tc>
          <w:tcPr>
            <w:tcW w:w="898" w:type="dxa"/>
            <w:tcBorders>
              <w:tl2br w:val="nil"/>
              <w:tr2bl w:val="nil"/>
            </w:tcBorders>
            <w:shd w:val="clear" w:color="000000" w:fill="FFFFFF"/>
            <w:vAlign w:val="center"/>
          </w:tcPr>
          <w:p w14:paraId="7B141BDF">
            <w:pPr>
              <w:widowControl/>
              <w:ind w:firstLine="0" w:firstLineChars="0"/>
              <w:jc w:val="center"/>
              <w:rPr>
                <w:rFonts w:hint="eastAsia" w:ascii="仿宋_GB2312" w:hAnsi="宋体" w:eastAsia="仿宋_GB2312" w:cs="宋体"/>
                <w:color w:val="auto"/>
                <w:kern w:val="0"/>
                <w:sz w:val="24"/>
                <w:szCs w:val="24"/>
                <w:highlight w:val="none"/>
                <w:lang w:val="en-US" w:eastAsia="zh-CN"/>
              </w:rPr>
            </w:pPr>
            <w:r>
              <w:rPr>
                <w:rFonts w:hint="eastAsia" w:ascii="仿宋_GB2312" w:hAnsi="宋体" w:cs="宋体"/>
                <w:color w:val="auto"/>
                <w:kern w:val="0"/>
                <w:sz w:val="24"/>
                <w:szCs w:val="24"/>
                <w:highlight w:val="none"/>
                <w:lang w:val="en-US" w:eastAsia="zh-CN"/>
              </w:rPr>
              <w:t>5</w:t>
            </w:r>
          </w:p>
        </w:tc>
        <w:tc>
          <w:tcPr>
            <w:tcW w:w="1039" w:type="dxa"/>
            <w:tcBorders>
              <w:tl2br w:val="nil"/>
              <w:tr2bl w:val="nil"/>
            </w:tcBorders>
            <w:shd w:val="clear" w:color="000000" w:fill="FFFFFF"/>
            <w:vAlign w:val="center"/>
          </w:tcPr>
          <w:p w14:paraId="06CE6DDF">
            <w:pPr>
              <w:widowControl/>
              <w:ind w:firstLine="0" w:firstLineChars="0"/>
              <w:jc w:val="center"/>
              <w:rPr>
                <w:rFonts w:ascii="仿宋_GB2312" w:hAnsi="宋体" w:cs="宋体"/>
                <w:color w:val="auto"/>
                <w:kern w:val="0"/>
                <w:sz w:val="24"/>
                <w:szCs w:val="24"/>
                <w:highlight w:val="none"/>
              </w:rPr>
            </w:pPr>
            <w:r>
              <w:rPr>
                <w:rFonts w:hint="eastAsia" w:ascii="仿宋_GB2312" w:hAnsi="宋体" w:cs="宋体"/>
                <w:color w:val="auto"/>
                <w:kern w:val="0"/>
                <w:sz w:val="24"/>
                <w:szCs w:val="24"/>
                <w:highlight w:val="none"/>
                <w:lang w:val="en-US" w:eastAsia="zh-CN"/>
              </w:rPr>
              <w:t>100%</w:t>
            </w:r>
          </w:p>
        </w:tc>
      </w:tr>
    </w:tbl>
    <w:p w14:paraId="7EBFB6A2">
      <w:pPr>
        <w:pStyle w:val="4"/>
        <w:ind w:firstLine="643"/>
        <w:rPr>
          <w:rFonts w:ascii="仿宋" w:hAnsi="仿宋" w:eastAsia="仿宋"/>
          <w:color w:val="auto"/>
          <w:highlight w:val="none"/>
          <w:lang w:bidi="en-US"/>
        </w:rPr>
      </w:pPr>
      <w:bookmarkStart w:id="30" w:name="_Toc196487551"/>
      <w:bookmarkStart w:id="31" w:name="_Toc67911610"/>
      <w:r>
        <w:rPr>
          <w:rFonts w:hint="eastAsia" w:ascii="仿宋" w:hAnsi="仿宋" w:eastAsia="仿宋"/>
          <w:color w:val="auto"/>
          <w:highlight w:val="none"/>
          <w:lang w:bidi="en-US"/>
        </w:rPr>
        <w:t>（二）主要绩效</w:t>
      </w:r>
      <w:bookmarkEnd w:id="30"/>
      <w:bookmarkEnd w:id="31"/>
    </w:p>
    <w:p w14:paraId="0467EC1A">
      <w:pPr>
        <w:spacing w:line="360" w:lineRule="auto"/>
        <w:ind w:firstLine="548" w:firstLineChars="196"/>
        <w:rPr>
          <w:rFonts w:hint="eastAsia" w:ascii="仿宋_GB2312" w:eastAsia="仿宋_GB2312"/>
          <w:bCs/>
          <w:color w:val="auto"/>
          <w:szCs w:val="28"/>
          <w:highlight w:val="none"/>
          <w:lang w:eastAsia="zh-CN"/>
        </w:rPr>
      </w:pPr>
      <w:r>
        <w:rPr>
          <w:rFonts w:hint="eastAsia" w:ascii="仿宋_GB2312"/>
          <w:bCs/>
          <w:color w:val="auto"/>
          <w:szCs w:val="28"/>
          <w:highlight w:val="none"/>
        </w:rPr>
        <w:t>该项目资金区财政及时拨付，单位在此次评价期间内，有序完成设定目标的部分工作任务</w:t>
      </w:r>
      <w:r>
        <w:rPr>
          <w:rFonts w:hint="eastAsia" w:ascii="仿宋_GB2312"/>
          <w:bCs/>
          <w:color w:val="auto"/>
          <w:szCs w:val="28"/>
          <w:highlight w:val="none"/>
          <w:lang w:eastAsia="zh-CN"/>
        </w:rPr>
        <w:t>。按时足额发放无军籍职工津贴。</w:t>
      </w:r>
    </w:p>
    <w:p w14:paraId="108AB834">
      <w:pPr>
        <w:pStyle w:val="3"/>
        <w:ind w:firstLine="0" w:firstLineChars="0"/>
        <w:jc w:val="left"/>
        <w:rPr>
          <w:rFonts w:ascii="仿宋" w:hAnsi="仿宋" w:eastAsia="仿宋"/>
          <w:color w:val="auto"/>
          <w:sz w:val="36"/>
          <w:szCs w:val="36"/>
          <w:highlight w:val="none"/>
          <w:lang w:bidi="en-US"/>
        </w:rPr>
      </w:pPr>
      <w:bookmarkStart w:id="32" w:name="_Toc67911611"/>
      <w:bookmarkStart w:id="33" w:name="_Toc196487552"/>
      <w:r>
        <w:rPr>
          <w:rFonts w:hint="eastAsia" w:ascii="仿宋" w:hAnsi="仿宋" w:eastAsia="仿宋"/>
          <w:color w:val="auto"/>
          <w:sz w:val="36"/>
          <w:szCs w:val="36"/>
          <w:highlight w:val="none"/>
          <w:lang w:bidi="en-US"/>
        </w:rPr>
        <w:t>四、绩效评价指标分析</w:t>
      </w:r>
      <w:bookmarkEnd w:id="32"/>
      <w:bookmarkEnd w:id="33"/>
    </w:p>
    <w:p w14:paraId="71824DED">
      <w:pPr>
        <w:pStyle w:val="4"/>
        <w:ind w:firstLine="643"/>
        <w:rPr>
          <w:rFonts w:ascii="仿宋" w:hAnsi="仿宋" w:eastAsia="仿宋"/>
          <w:color w:val="auto"/>
          <w:highlight w:val="none"/>
          <w:lang w:bidi="en-US"/>
        </w:rPr>
      </w:pPr>
      <w:bookmarkStart w:id="34" w:name="_Toc67911612"/>
      <w:bookmarkStart w:id="35" w:name="_Toc196487553"/>
      <w:r>
        <w:rPr>
          <w:rFonts w:hint="eastAsia" w:ascii="仿宋" w:hAnsi="仿宋" w:eastAsia="仿宋"/>
          <w:color w:val="auto"/>
          <w:highlight w:val="none"/>
          <w:lang w:bidi="en-US"/>
        </w:rPr>
        <w:t>（一）项目决策情况</w:t>
      </w:r>
      <w:bookmarkEnd w:id="34"/>
      <w:bookmarkEnd w:id="35"/>
    </w:p>
    <w:p w14:paraId="592CC224">
      <w:pPr>
        <w:spacing w:line="360" w:lineRule="auto"/>
        <w:ind w:firstLine="560"/>
        <w:rPr>
          <w:rFonts w:ascii="仿宋_GB2312"/>
          <w:color w:val="auto"/>
          <w:szCs w:val="28"/>
          <w:highlight w:val="none"/>
        </w:rPr>
      </w:pPr>
      <w:r>
        <w:rPr>
          <w:rFonts w:hint="eastAsia" w:ascii="仿宋_GB2312"/>
          <w:color w:val="auto"/>
          <w:szCs w:val="28"/>
          <w:highlight w:val="none"/>
        </w:rPr>
        <w:t>项目决算指标由3个二级指标和6个三级指标构成，权重为</w:t>
      </w:r>
      <w:r>
        <w:rPr>
          <w:rFonts w:ascii="仿宋_GB2312"/>
          <w:color w:val="auto"/>
          <w:szCs w:val="28"/>
          <w:highlight w:val="none"/>
        </w:rPr>
        <w:t>20</w:t>
      </w:r>
      <w:r>
        <w:rPr>
          <w:rFonts w:hint="eastAsia" w:ascii="仿宋_GB2312"/>
          <w:color w:val="auto"/>
          <w:szCs w:val="28"/>
          <w:highlight w:val="none"/>
        </w:rPr>
        <w:t>分，实际得分</w:t>
      </w:r>
      <w:r>
        <w:rPr>
          <w:rFonts w:hint="eastAsia" w:ascii="仿宋_GB2312"/>
          <w:color w:val="auto"/>
          <w:szCs w:val="28"/>
          <w:highlight w:val="none"/>
          <w:lang w:val="en-US" w:eastAsia="zh-CN"/>
        </w:rPr>
        <w:t>20</w:t>
      </w:r>
      <w:r>
        <w:rPr>
          <w:rFonts w:hint="eastAsia" w:ascii="仿宋_GB2312"/>
          <w:color w:val="auto"/>
          <w:szCs w:val="28"/>
          <w:highlight w:val="none"/>
        </w:rPr>
        <w:t>分。</w:t>
      </w:r>
    </w:p>
    <w:p w14:paraId="6957F689">
      <w:pPr>
        <w:spacing w:line="360" w:lineRule="auto"/>
        <w:ind w:firstLine="562"/>
        <w:rPr>
          <w:rFonts w:hint="eastAsia" w:ascii="仿宋_GB2312"/>
          <w:color w:val="auto"/>
          <w:szCs w:val="28"/>
          <w:highlight w:val="none"/>
        </w:rPr>
      </w:pPr>
      <w:bookmarkStart w:id="36" w:name="_Toc196487554"/>
      <w:r>
        <w:rPr>
          <w:color w:val="auto"/>
          <w:highlight w:val="none"/>
        </w:rPr>
        <w:t>1.</w:t>
      </w:r>
      <w:r>
        <w:rPr>
          <w:rFonts w:hint="eastAsia"/>
          <w:color w:val="auto"/>
          <w:highlight w:val="none"/>
        </w:rPr>
        <w:t>项目立项</w:t>
      </w:r>
      <w:bookmarkEnd w:id="36"/>
      <w:r>
        <w:rPr>
          <w:rFonts w:hint="eastAsia" w:ascii="仿宋_GB2312"/>
          <w:color w:val="auto"/>
          <w:szCs w:val="28"/>
          <w:highlight w:val="none"/>
        </w:rPr>
        <w:t>该项目立项符合国家相关法律法规及发展政策，符合行业规划要求，围绕本年度工作重点和工作计划制定经费预算，属于公共财政支持范围。本项目与部门内部其他相关项目不重复。部门发展规划及职能文件等归档完整。</w:t>
      </w:r>
    </w:p>
    <w:p w14:paraId="77BAA922">
      <w:pPr>
        <w:spacing w:line="360" w:lineRule="auto"/>
        <w:ind w:left="0" w:leftChars="0" w:firstLine="562" w:firstLineChars="200"/>
        <w:rPr>
          <w:rFonts w:ascii="仿宋_GB2312"/>
          <w:color w:val="auto"/>
          <w:szCs w:val="28"/>
          <w:highlight w:val="none"/>
        </w:rPr>
      </w:pPr>
      <w:r>
        <w:rPr>
          <w:rFonts w:hint="eastAsia" w:ascii="仿宋_GB2312"/>
          <w:b/>
          <w:bCs/>
          <w:color w:val="auto"/>
          <w:szCs w:val="28"/>
          <w:highlight w:val="none"/>
        </w:rPr>
        <w:t>立项依据充分性：</w:t>
      </w:r>
      <w:r>
        <w:rPr>
          <w:rFonts w:hint="eastAsia" w:ascii="仿宋_GB2312"/>
          <w:color w:val="auto"/>
          <w:szCs w:val="28"/>
          <w:highlight w:val="none"/>
        </w:rPr>
        <w:t>项目立项符合国家法律法规、政策要求。同时，项目与部门职责范围相符，</w:t>
      </w:r>
      <w:r>
        <w:rPr>
          <w:rFonts w:hint="eastAsia" w:ascii="仿宋_GB2312"/>
          <w:color w:val="auto"/>
          <w:sz w:val="28"/>
          <w:szCs w:val="28"/>
          <w:highlight w:val="none"/>
          <w:lang w:val="en-US" w:eastAsia="zh-CN"/>
        </w:rPr>
        <w:t>属于部门</w:t>
      </w:r>
      <w:r>
        <w:rPr>
          <w:rFonts w:hint="eastAsia" w:ascii="仿宋_GB2312"/>
          <w:color w:val="auto"/>
          <w:szCs w:val="28"/>
          <w:highlight w:val="none"/>
        </w:rPr>
        <w:t>履职所需。此外，本项目属于公共财政支持范围，符合中央、地方事权支出责任划分原则。因此，立项依据充分，得4分。</w:t>
      </w:r>
    </w:p>
    <w:p w14:paraId="17818728">
      <w:pPr>
        <w:spacing w:line="360" w:lineRule="auto"/>
        <w:ind w:firstLine="562"/>
        <w:rPr>
          <w:rFonts w:ascii="仿宋_GB2312"/>
          <w:color w:val="auto"/>
          <w:szCs w:val="28"/>
          <w:highlight w:val="none"/>
        </w:rPr>
      </w:pPr>
      <w:r>
        <w:rPr>
          <w:rFonts w:hint="eastAsia" w:ascii="仿宋_GB2312"/>
          <w:b/>
          <w:bCs/>
          <w:color w:val="auto"/>
          <w:szCs w:val="28"/>
          <w:highlight w:val="none"/>
        </w:rPr>
        <w:t>立项程序规范性</w:t>
      </w:r>
      <w:r>
        <w:rPr>
          <w:rFonts w:ascii="仿宋_GB2312"/>
          <w:b/>
          <w:bCs/>
          <w:color w:val="auto"/>
          <w:szCs w:val="28"/>
          <w:highlight w:val="none"/>
        </w:rPr>
        <w:t>:</w:t>
      </w:r>
      <w:r>
        <w:rPr>
          <w:rFonts w:hint="eastAsia"/>
          <w:color w:val="auto"/>
          <w:highlight w:val="none"/>
        </w:rPr>
        <w:t xml:space="preserve"> </w:t>
      </w:r>
      <w:r>
        <w:rPr>
          <w:rFonts w:hint="eastAsia" w:ascii="仿宋_GB2312"/>
          <w:color w:val="auto"/>
          <w:szCs w:val="28"/>
          <w:highlight w:val="none"/>
        </w:rPr>
        <w:t>项目按照规定的程序申请设立，审批文件、材料符合相关要求，故立项程序规范，得4分。</w:t>
      </w:r>
    </w:p>
    <w:p w14:paraId="5E281921">
      <w:pPr>
        <w:autoSpaceDE w:val="0"/>
        <w:spacing w:line="600" w:lineRule="exact"/>
        <w:ind w:firstLine="562"/>
        <w:rPr>
          <w:rFonts w:ascii="仿宋_GB2312" w:hAnsi="仿宋" w:cs="宋体"/>
          <w:b/>
          <w:color w:val="auto"/>
          <w:kern w:val="0"/>
          <w:szCs w:val="28"/>
          <w:highlight w:val="none"/>
        </w:rPr>
      </w:pPr>
      <w:r>
        <w:rPr>
          <w:rFonts w:hint="eastAsia" w:ascii="仿宋_GB2312" w:hAnsi="仿宋" w:cs="宋体"/>
          <w:b/>
          <w:color w:val="auto"/>
          <w:kern w:val="0"/>
          <w:szCs w:val="28"/>
          <w:highlight w:val="none"/>
        </w:rPr>
        <w:t>综上，该指标满分</w:t>
      </w:r>
      <w:r>
        <w:rPr>
          <w:rFonts w:ascii="仿宋_GB2312" w:hAnsi="仿宋" w:cs="宋体"/>
          <w:b/>
          <w:color w:val="auto"/>
          <w:kern w:val="0"/>
          <w:szCs w:val="28"/>
          <w:highlight w:val="none"/>
        </w:rPr>
        <w:t>8</w:t>
      </w:r>
      <w:r>
        <w:rPr>
          <w:rFonts w:hint="eastAsia" w:ascii="仿宋_GB2312" w:hAnsi="仿宋" w:cs="宋体"/>
          <w:b/>
          <w:color w:val="auto"/>
          <w:kern w:val="0"/>
          <w:szCs w:val="28"/>
          <w:highlight w:val="none"/>
        </w:rPr>
        <w:t>分，得分</w:t>
      </w:r>
      <w:r>
        <w:rPr>
          <w:rFonts w:hint="eastAsia" w:ascii="仿宋_GB2312" w:hAnsi="仿宋" w:cs="宋体"/>
          <w:b/>
          <w:color w:val="auto"/>
          <w:kern w:val="0"/>
          <w:szCs w:val="28"/>
          <w:highlight w:val="none"/>
          <w:lang w:val="en-US" w:eastAsia="zh-CN"/>
        </w:rPr>
        <w:t>8</w:t>
      </w:r>
      <w:r>
        <w:rPr>
          <w:rFonts w:hint="eastAsia" w:ascii="仿宋_GB2312" w:hAnsi="仿宋" w:cs="宋体"/>
          <w:b/>
          <w:color w:val="auto"/>
          <w:kern w:val="0"/>
          <w:szCs w:val="28"/>
          <w:highlight w:val="none"/>
        </w:rPr>
        <w:t>分。</w:t>
      </w:r>
    </w:p>
    <w:p w14:paraId="469F6611">
      <w:pPr>
        <w:pStyle w:val="5"/>
        <w:ind w:firstLine="643"/>
        <w:rPr>
          <w:color w:val="auto"/>
          <w:highlight w:val="none"/>
        </w:rPr>
      </w:pPr>
      <w:bookmarkStart w:id="37" w:name="_Toc196487555"/>
      <w:r>
        <w:rPr>
          <w:rFonts w:hint="eastAsia"/>
          <w:color w:val="auto"/>
          <w:highlight w:val="none"/>
        </w:rPr>
        <w:t>2</w:t>
      </w:r>
      <w:r>
        <w:rPr>
          <w:color w:val="auto"/>
          <w:highlight w:val="none"/>
        </w:rPr>
        <w:t>.</w:t>
      </w:r>
      <w:r>
        <w:rPr>
          <w:rFonts w:hint="eastAsia"/>
          <w:color w:val="auto"/>
          <w:highlight w:val="none"/>
        </w:rPr>
        <w:t>绩效目标</w:t>
      </w:r>
      <w:bookmarkEnd w:id="37"/>
    </w:p>
    <w:p w14:paraId="29A7A732">
      <w:pPr>
        <w:spacing w:line="360" w:lineRule="auto"/>
        <w:ind w:firstLine="562"/>
        <w:rPr>
          <w:rFonts w:hint="eastAsia" w:ascii="仿宋_GB2312"/>
          <w:color w:val="auto"/>
          <w:szCs w:val="28"/>
          <w:highlight w:val="none"/>
        </w:rPr>
      </w:pPr>
      <w:r>
        <w:rPr>
          <w:rFonts w:hint="eastAsia" w:ascii="仿宋_GB2312"/>
          <w:b/>
          <w:bCs/>
          <w:color w:val="auto"/>
          <w:szCs w:val="28"/>
          <w:highlight w:val="none"/>
        </w:rPr>
        <w:t>绩效目标合理性：</w:t>
      </w:r>
      <w:r>
        <w:rPr>
          <w:rFonts w:hint="eastAsia" w:ascii="仿宋_GB2312"/>
          <w:color w:val="auto"/>
          <w:szCs w:val="28"/>
          <w:highlight w:val="none"/>
        </w:rPr>
        <w:t>年初结合实际工作内容设定绩效目标，绩效目标依据充分，符合客观实际，能反映和考核项目绩效目标与项目实施的相符情况，依据绩效目标设定的绩效指标清晰、细化、可衡量，能反映和考核项目绩效目标的明细化情况。绩效目标表经过审核，绩效目标与实际工作内容具有相关性，预算与确定的项目投资额相匹配，对项目任务进行了详细分解。项目预期产出效益及效果符合正常的业绩水平。</w:t>
      </w:r>
    </w:p>
    <w:p w14:paraId="51874ADB">
      <w:pPr>
        <w:spacing w:line="360" w:lineRule="auto"/>
        <w:ind w:firstLine="562"/>
        <w:rPr>
          <w:rFonts w:hint="eastAsia" w:ascii="仿宋_GB2312"/>
          <w:color w:val="auto"/>
          <w:szCs w:val="28"/>
          <w:highlight w:val="none"/>
        </w:rPr>
      </w:pPr>
      <w:r>
        <w:rPr>
          <w:rFonts w:hint="eastAsia" w:ascii="仿宋_GB2312"/>
          <w:color w:val="auto"/>
          <w:szCs w:val="28"/>
          <w:highlight w:val="none"/>
        </w:rPr>
        <w:t>且具有明确性、可衡量性、可实现性、相关性和时限性等特点，能较为全面地反映本项目的产出和效益，故绩效目标合理性指标得分3分。</w:t>
      </w:r>
    </w:p>
    <w:p w14:paraId="1AB6C755">
      <w:pPr>
        <w:autoSpaceDE w:val="0"/>
        <w:spacing w:line="600" w:lineRule="exact"/>
        <w:ind w:firstLine="562"/>
        <w:rPr>
          <w:rFonts w:ascii="仿宋_GB2312" w:hAnsi="仿宋" w:cs="宋体"/>
          <w:color w:val="auto"/>
          <w:kern w:val="0"/>
          <w:szCs w:val="28"/>
          <w:highlight w:val="none"/>
        </w:rPr>
      </w:pPr>
      <w:r>
        <w:rPr>
          <w:rFonts w:hint="eastAsia" w:ascii="仿宋_GB2312" w:hAnsi="仿宋" w:cs="宋体"/>
          <w:b/>
          <w:color w:val="auto"/>
          <w:kern w:val="0"/>
          <w:szCs w:val="28"/>
          <w:highlight w:val="none"/>
        </w:rPr>
        <w:t>绩效目标明确性：</w:t>
      </w:r>
      <w:r>
        <w:rPr>
          <w:rFonts w:hint="eastAsia" w:ascii="仿宋_GB2312" w:hAnsi="仿宋" w:cs="宋体"/>
          <w:color w:val="auto"/>
          <w:kern w:val="0"/>
          <w:szCs w:val="28"/>
          <w:highlight w:val="none"/>
        </w:rPr>
        <w:t>其中，目标已细化为具体的绩效指标，可通过数量指标、质量指标、时效指标和成本指标予以量化，并具有确切的评价标准，且指标设定均与目标相关。各项指标均能在现实条件下收集到相关数据进行佐证，并与当年项目年度计划相对应，故绩效目标明确性指标得分</w:t>
      </w:r>
      <w:r>
        <w:rPr>
          <w:rFonts w:ascii="仿宋_GB2312" w:hAnsi="仿宋" w:cs="宋体"/>
          <w:color w:val="auto"/>
          <w:kern w:val="0"/>
          <w:szCs w:val="28"/>
          <w:highlight w:val="none"/>
        </w:rPr>
        <w:t>3</w:t>
      </w:r>
      <w:r>
        <w:rPr>
          <w:rFonts w:hint="eastAsia" w:ascii="仿宋_GB2312" w:hAnsi="仿宋" w:cs="宋体"/>
          <w:color w:val="auto"/>
          <w:kern w:val="0"/>
          <w:szCs w:val="28"/>
          <w:highlight w:val="none"/>
        </w:rPr>
        <w:t>分。</w:t>
      </w:r>
    </w:p>
    <w:p w14:paraId="3CC2C1BD">
      <w:pPr>
        <w:autoSpaceDE w:val="0"/>
        <w:spacing w:line="600" w:lineRule="exact"/>
        <w:ind w:firstLine="562"/>
        <w:rPr>
          <w:rFonts w:ascii="仿宋_GB2312" w:hAnsi="仿宋" w:cs="宋体"/>
          <w:b/>
          <w:color w:val="auto"/>
          <w:kern w:val="0"/>
          <w:szCs w:val="28"/>
          <w:highlight w:val="none"/>
        </w:rPr>
      </w:pPr>
      <w:r>
        <w:rPr>
          <w:rFonts w:hint="eastAsia" w:ascii="仿宋_GB2312" w:hAnsi="仿宋" w:cs="宋体"/>
          <w:b/>
          <w:color w:val="auto"/>
          <w:kern w:val="0"/>
          <w:szCs w:val="28"/>
          <w:highlight w:val="none"/>
        </w:rPr>
        <w:t>综上，该指标满分</w:t>
      </w:r>
      <w:r>
        <w:rPr>
          <w:rFonts w:ascii="仿宋_GB2312" w:hAnsi="仿宋" w:cs="宋体"/>
          <w:b/>
          <w:color w:val="auto"/>
          <w:kern w:val="0"/>
          <w:szCs w:val="28"/>
          <w:highlight w:val="none"/>
        </w:rPr>
        <w:t>6</w:t>
      </w:r>
      <w:r>
        <w:rPr>
          <w:rFonts w:hint="eastAsia" w:ascii="仿宋_GB2312" w:hAnsi="仿宋" w:cs="宋体"/>
          <w:b/>
          <w:color w:val="auto"/>
          <w:kern w:val="0"/>
          <w:szCs w:val="28"/>
          <w:highlight w:val="none"/>
        </w:rPr>
        <w:t>分，得分</w:t>
      </w:r>
      <w:r>
        <w:rPr>
          <w:rFonts w:hint="eastAsia" w:ascii="仿宋_GB2312" w:hAnsi="仿宋" w:cs="宋体"/>
          <w:b/>
          <w:color w:val="auto"/>
          <w:kern w:val="0"/>
          <w:szCs w:val="28"/>
          <w:highlight w:val="none"/>
          <w:lang w:val="en-US" w:eastAsia="zh-CN"/>
        </w:rPr>
        <w:t>6</w:t>
      </w:r>
      <w:r>
        <w:rPr>
          <w:rFonts w:hint="eastAsia" w:ascii="仿宋_GB2312" w:hAnsi="仿宋" w:cs="宋体"/>
          <w:b/>
          <w:color w:val="auto"/>
          <w:kern w:val="0"/>
          <w:szCs w:val="28"/>
          <w:highlight w:val="none"/>
        </w:rPr>
        <w:t>分。</w:t>
      </w:r>
    </w:p>
    <w:p w14:paraId="0959CCBD">
      <w:pPr>
        <w:pStyle w:val="5"/>
        <w:ind w:firstLine="643"/>
        <w:rPr>
          <w:color w:val="auto"/>
          <w:highlight w:val="none"/>
        </w:rPr>
      </w:pPr>
      <w:bookmarkStart w:id="38" w:name="_Toc196487556"/>
      <w:r>
        <w:rPr>
          <w:rFonts w:hint="eastAsia"/>
          <w:color w:val="auto"/>
          <w:highlight w:val="none"/>
        </w:rPr>
        <w:t>3.资金投入</w:t>
      </w:r>
      <w:bookmarkEnd w:id="38"/>
    </w:p>
    <w:p w14:paraId="22F59436">
      <w:pPr>
        <w:autoSpaceDE w:val="0"/>
        <w:spacing w:line="600" w:lineRule="exact"/>
        <w:ind w:firstLine="562"/>
        <w:rPr>
          <w:rFonts w:ascii="仿宋_GB2312" w:hAnsi="仿宋" w:cs="宋体"/>
          <w:bCs/>
          <w:color w:val="auto"/>
          <w:kern w:val="0"/>
          <w:szCs w:val="28"/>
          <w:highlight w:val="none"/>
        </w:rPr>
      </w:pPr>
      <w:r>
        <w:rPr>
          <w:rFonts w:hint="eastAsia" w:ascii="仿宋_GB2312" w:hAnsi="仿宋" w:cs="宋体"/>
          <w:b/>
          <w:color w:val="auto"/>
          <w:kern w:val="0"/>
          <w:szCs w:val="28"/>
          <w:highlight w:val="none"/>
        </w:rPr>
        <w:t>预算编制科学性：</w:t>
      </w:r>
      <w:r>
        <w:rPr>
          <w:rFonts w:hint="eastAsia" w:ascii="仿宋_GB2312" w:hAnsi="仿宋_GB2312" w:eastAsia="仿宋_GB2312" w:cs="仿宋_GB2312"/>
          <w:color w:val="auto"/>
          <w:sz w:val="32"/>
          <w:szCs w:val="32"/>
          <w:highlight w:val="none"/>
        </w:rPr>
        <w:t>无军籍</w:t>
      </w:r>
      <w:r>
        <w:rPr>
          <w:rFonts w:hint="eastAsia" w:ascii="仿宋_GB2312" w:hAnsi="仿宋_GB2312" w:eastAsia="仿宋_GB2312" w:cs="仿宋_GB2312"/>
          <w:color w:val="auto"/>
          <w:sz w:val="32"/>
          <w:szCs w:val="32"/>
          <w:highlight w:val="none"/>
          <w:lang w:eastAsia="zh-CN"/>
        </w:rPr>
        <w:t>退休退职</w:t>
      </w:r>
      <w:r>
        <w:rPr>
          <w:rFonts w:hint="eastAsia" w:ascii="仿宋_GB2312" w:hAnsi="仿宋_GB2312" w:eastAsia="仿宋_GB2312" w:cs="仿宋_GB2312"/>
          <w:color w:val="auto"/>
          <w:sz w:val="32"/>
          <w:szCs w:val="32"/>
          <w:highlight w:val="none"/>
        </w:rPr>
        <w:t>工津</w:t>
      </w:r>
      <w:r>
        <w:rPr>
          <w:rFonts w:hint="eastAsia" w:ascii="仿宋_GB2312" w:hAnsi="仿宋_GB2312" w:eastAsia="仿宋_GB2312" w:cs="仿宋_GB2312"/>
          <w:color w:val="auto"/>
          <w:sz w:val="32"/>
          <w:szCs w:val="32"/>
          <w:highlight w:val="none"/>
          <w:lang w:eastAsia="zh-CN"/>
        </w:rPr>
        <w:t>贴</w:t>
      </w:r>
      <w:r>
        <w:rPr>
          <w:rFonts w:hint="eastAsia" w:ascii="仿宋_GB2312" w:hAnsi="仿宋_GB2312" w:eastAsia="仿宋_GB2312" w:cs="仿宋_GB2312"/>
          <w:color w:val="auto"/>
          <w:sz w:val="32"/>
          <w:szCs w:val="32"/>
          <w:highlight w:val="none"/>
        </w:rPr>
        <w:t>补贴待遇落实人数</w:t>
      </w:r>
      <w:r>
        <w:rPr>
          <w:rFonts w:hint="eastAsia" w:ascii="仿宋_GB2312" w:hAnsi="仿宋" w:cs="宋体"/>
          <w:b/>
          <w:color w:val="auto"/>
          <w:kern w:val="0"/>
          <w:szCs w:val="28"/>
          <w:highlight w:val="none"/>
        </w:rPr>
        <w:t>。</w:t>
      </w:r>
      <w:r>
        <w:rPr>
          <w:rFonts w:hint="eastAsia" w:ascii="仿宋_GB2312" w:hAnsi="仿宋" w:cs="宋体"/>
          <w:color w:val="auto"/>
          <w:kern w:val="0"/>
          <w:szCs w:val="28"/>
          <w:highlight w:val="none"/>
        </w:rPr>
        <w:t>故预算编制科学性指标得分</w:t>
      </w:r>
      <w:r>
        <w:rPr>
          <w:rFonts w:ascii="仿宋_GB2312" w:hAnsi="仿宋" w:cs="宋体"/>
          <w:color w:val="auto"/>
          <w:kern w:val="0"/>
          <w:szCs w:val="28"/>
          <w:highlight w:val="none"/>
        </w:rPr>
        <w:t>3</w:t>
      </w:r>
      <w:r>
        <w:rPr>
          <w:rFonts w:hint="eastAsia" w:ascii="仿宋_GB2312" w:hAnsi="仿宋" w:cs="宋体"/>
          <w:color w:val="auto"/>
          <w:kern w:val="0"/>
          <w:szCs w:val="28"/>
          <w:highlight w:val="none"/>
        </w:rPr>
        <w:t>分。</w:t>
      </w:r>
    </w:p>
    <w:p w14:paraId="031328B2">
      <w:pPr>
        <w:autoSpaceDE w:val="0"/>
        <w:spacing w:line="600" w:lineRule="exact"/>
        <w:ind w:firstLine="0" w:firstLineChars="0"/>
        <w:rPr>
          <w:rFonts w:ascii="仿宋_GB2312" w:hAnsi="仿宋" w:cs="宋体"/>
          <w:bCs/>
          <w:color w:val="auto"/>
          <w:kern w:val="0"/>
          <w:szCs w:val="28"/>
          <w:highlight w:val="none"/>
        </w:rPr>
      </w:pPr>
    </w:p>
    <w:p w14:paraId="0BB84A37">
      <w:pPr>
        <w:spacing w:line="360" w:lineRule="auto"/>
        <w:ind w:firstLine="562"/>
        <w:rPr>
          <w:color w:val="auto"/>
          <w:highlight w:val="none"/>
        </w:rPr>
      </w:pPr>
      <w:r>
        <w:rPr>
          <w:rFonts w:hint="eastAsia"/>
          <w:b/>
          <w:bCs/>
          <w:color w:val="auto"/>
          <w:highlight w:val="none"/>
        </w:rPr>
        <w:t>资金分配合理性</w:t>
      </w:r>
      <w:r>
        <w:rPr>
          <w:rFonts w:hint="eastAsia"/>
          <w:color w:val="auto"/>
          <w:highlight w:val="none"/>
        </w:rPr>
        <w:t>：</w:t>
      </w:r>
      <w:r>
        <w:rPr>
          <w:rFonts w:hint="eastAsia"/>
          <w:color w:val="auto"/>
          <w:highlight w:val="none"/>
          <w:lang w:eastAsia="zh-CN"/>
        </w:rPr>
        <w:t>每月固定足额发放津贴</w:t>
      </w:r>
      <w:r>
        <w:rPr>
          <w:rFonts w:hint="eastAsia" w:ascii="仿宋_GB2312" w:hAnsi="仿宋" w:cs="宋体"/>
          <w:b/>
          <w:color w:val="auto"/>
          <w:kern w:val="0"/>
          <w:szCs w:val="28"/>
          <w:highlight w:val="none"/>
        </w:rPr>
        <w:t>。</w:t>
      </w:r>
      <w:r>
        <w:rPr>
          <w:rFonts w:hint="eastAsia" w:ascii="仿宋_GB2312" w:hAnsi="仿宋" w:cs="宋体"/>
          <w:color w:val="auto"/>
          <w:kern w:val="0"/>
          <w:szCs w:val="28"/>
          <w:highlight w:val="none"/>
        </w:rPr>
        <w:t>故资金分配合理性指标得分</w:t>
      </w:r>
      <w:r>
        <w:rPr>
          <w:rFonts w:ascii="仿宋_GB2312" w:hAnsi="仿宋" w:cs="宋体"/>
          <w:color w:val="auto"/>
          <w:kern w:val="0"/>
          <w:szCs w:val="28"/>
          <w:highlight w:val="none"/>
        </w:rPr>
        <w:t>3</w:t>
      </w:r>
      <w:r>
        <w:rPr>
          <w:rFonts w:hint="eastAsia" w:ascii="仿宋_GB2312" w:hAnsi="仿宋" w:cs="宋体"/>
          <w:color w:val="auto"/>
          <w:kern w:val="0"/>
          <w:szCs w:val="28"/>
          <w:highlight w:val="none"/>
        </w:rPr>
        <w:t>分。</w:t>
      </w:r>
    </w:p>
    <w:p w14:paraId="48BA4295">
      <w:pPr>
        <w:autoSpaceDE w:val="0"/>
        <w:spacing w:line="600" w:lineRule="exact"/>
        <w:ind w:firstLine="562"/>
        <w:rPr>
          <w:rFonts w:ascii="仿宋_GB2312" w:hAnsi="仿宋" w:cs="宋体"/>
          <w:b/>
          <w:color w:val="auto"/>
          <w:kern w:val="0"/>
          <w:szCs w:val="28"/>
          <w:highlight w:val="none"/>
        </w:rPr>
      </w:pPr>
      <w:r>
        <w:rPr>
          <w:rFonts w:hint="eastAsia" w:ascii="仿宋_GB2312" w:hAnsi="仿宋" w:cs="宋体"/>
          <w:b/>
          <w:color w:val="auto"/>
          <w:kern w:val="0"/>
          <w:szCs w:val="28"/>
          <w:highlight w:val="none"/>
        </w:rPr>
        <w:t>综上，该指标满分</w:t>
      </w:r>
      <w:r>
        <w:rPr>
          <w:rFonts w:ascii="仿宋_GB2312" w:hAnsi="仿宋" w:cs="宋体"/>
          <w:b/>
          <w:color w:val="auto"/>
          <w:kern w:val="0"/>
          <w:szCs w:val="28"/>
          <w:highlight w:val="none"/>
        </w:rPr>
        <w:t>6</w:t>
      </w:r>
      <w:r>
        <w:rPr>
          <w:rFonts w:hint="eastAsia" w:ascii="仿宋_GB2312" w:hAnsi="仿宋" w:cs="宋体"/>
          <w:b/>
          <w:color w:val="auto"/>
          <w:kern w:val="0"/>
          <w:szCs w:val="28"/>
          <w:highlight w:val="none"/>
        </w:rPr>
        <w:t>分，得分</w:t>
      </w:r>
      <w:r>
        <w:rPr>
          <w:rFonts w:hint="eastAsia" w:ascii="仿宋_GB2312" w:hAnsi="仿宋" w:cs="宋体"/>
          <w:b/>
          <w:color w:val="auto"/>
          <w:kern w:val="0"/>
          <w:szCs w:val="28"/>
          <w:highlight w:val="none"/>
          <w:lang w:val="en-US" w:eastAsia="zh-CN"/>
        </w:rPr>
        <w:t>6</w:t>
      </w:r>
      <w:r>
        <w:rPr>
          <w:rFonts w:hint="eastAsia" w:ascii="仿宋_GB2312" w:hAnsi="仿宋" w:cs="宋体"/>
          <w:b/>
          <w:color w:val="auto"/>
          <w:kern w:val="0"/>
          <w:szCs w:val="28"/>
          <w:highlight w:val="none"/>
        </w:rPr>
        <w:t>分。</w:t>
      </w:r>
    </w:p>
    <w:p w14:paraId="0B152FDA">
      <w:pPr>
        <w:pStyle w:val="4"/>
        <w:ind w:firstLine="643"/>
        <w:rPr>
          <w:rFonts w:ascii="仿宋" w:hAnsi="仿宋" w:eastAsia="仿宋"/>
          <w:color w:val="auto"/>
          <w:highlight w:val="none"/>
          <w:lang w:bidi="en-US"/>
        </w:rPr>
      </w:pPr>
      <w:bookmarkStart w:id="39" w:name="_Toc196487557"/>
      <w:bookmarkStart w:id="40" w:name="_Toc67911613"/>
      <w:r>
        <w:rPr>
          <w:rFonts w:hint="eastAsia" w:ascii="仿宋" w:hAnsi="仿宋" w:eastAsia="仿宋"/>
          <w:color w:val="auto"/>
          <w:highlight w:val="none"/>
          <w:lang w:bidi="en-US"/>
        </w:rPr>
        <w:t>（二）项目过程情况</w:t>
      </w:r>
      <w:bookmarkEnd w:id="39"/>
      <w:bookmarkEnd w:id="40"/>
    </w:p>
    <w:p w14:paraId="102388BA">
      <w:pPr>
        <w:spacing w:line="360" w:lineRule="auto"/>
        <w:ind w:firstLine="560"/>
        <w:rPr>
          <w:rFonts w:ascii="仿宋_GB2312"/>
          <w:color w:val="auto"/>
          <w:szCs w:val="28"/>
          <w:highlight w:val="none"/>
        </w:rPr>
      </w:pPr>
      <w:r>
        <w:rPr>
          <w:rFonts w:hint="eastAsia" w:ascii="仿宋_GB2312"/>
          <w:color w:val="auto"/>
          <w:szCs w:val="28"/>
          <w:highlight w:val="none"/>
        </w:rPr>
        <w:t>项目过程指标由2个二级指标和</w:t>
      </w:r>
      <w:r>
        <w:rPr>
          <w:rFonts w:ascii="仿宋_GB2312"/>
          <w:color w:val="auto"/>
          <w:szCs w:val="28"/>
          <w:highlight w:val="none"/>
        </w:rPr>
        <w:t>5</w:t>
      </w:r>
      <w:r>
        <w:rPr>
          <w:rFonts w:hint="eastAsia" w:ascii="仿宋_GB2312"/>
          <w:color w:val="auto"/>
          <w:szCs w:val="28"/>
          <w:highlight w:val="none"/>
        </w:rPr>
        <w:t>个三级指标构成，权重为</w:t>
      </w:r>
      <w:r>
        <w:rPr>
          <w:rFonts w:ascii="仿宋_GB2312"/>
          <w:color w:val="auto"/>
          <w:szCs w:val="28"/>
          <w:highlight w:val="none"/>
        </w:rPr>
        <w:t>20</w:t>
      </w:r>
      <w:r>
        <w:rPr>
          <w:rFonts w:hint="eastAsia" w:ascii="仿宋_GB2312"/>
          <w:color w:val="auto"/>
          <w:szCs w:val="28"/>
          <w:highlight w:val="none"/>
        </w:rPr>
        <w:t>分，实际得分</w:t>
      </w:r>
      <w:r>
        <w:rPr>
          <w:rFonts w:hint="eastAsia" w:ascii="仿宋_GB2312"/>
          <w:color w:val="auto"/>
          <w:szCs w:val="28"/>
          <w:highlight w:val="none"/>
          <w:lang w:val="en-US" w:eastAsia="zh-CN"/>
        </w:rPr>
        <w:t>20</w:t>
      </w:r>
      <w:r>
        <w:rPr>
          <w:rFonts w:hint="eastAsia" w:ascii="仿宋_GB2312"/>
          <w:color w:val="auto"/>
          <w:szCs w:val="28"/>
          <w:highlight w:val="none"/>
        </w:rPr>
        <w:t>分。</w:t>
      </w:r>
    </w:p>
    <w:p w14:paraId="442D0199">
      <w:pPr>
        <w:pStyle w:val="5"/>
        <w:ind w:firstLine="643"/>
        <w:rPr>
          <w:color w:val="auto"/>
          <w:highlight w:val="none"/>
        </w:rPr>
      </w:pPr>
      <w:bookmarkStart w:id="41" w:name="_Toc196487558"/>
      <w:r>
        <w:rPr>
          <w:color w:val="auto"/>
          <w:highlight w:val="none"/>
        </w:rPr>
        <w:t>1.</w:t>
      </w:r>
      <w:r>
        <w:rPr>
          <w:rFonts w:hint="eastAsia"/>
          <w:color w:val="auto"/>
          <w:highlight w:val="none"/>
        </w:rPr>
        <w:t>资金管理</w:t>
      </w:r>
      <w:bookmarkEnd w:id="41"/>
    </w:p>
    <w:p w14:paraId="3B09EBEA">
      <w:pPr>
        <w:spacing w:line="360" w:lineRule="auto"/>
        <w:ind w:firstLine="562"/>
        <w:rPr>
          <w:rFonts w:ascii="仿宋_GB2312"/>
          <w:color w:val="auto"/>
          <w:szCs w:val="28"/>
          <w:highlight w:val="none"/>
        </w:rPr>
      </w:pPr>
      <w:r>
        <w:rPr>
          <w:rFonts w:hint="eastAsia" w:ascii="仿宋_GB2312"/>
          <w:b/>
          <w:bCs/>
          <w:color w:val="auto"/>
          <w:szCs w:val="28"/>
          <w:highlight w:val="none"/>
        </w:rPr>
        <w:t>资金到位率：</w:t>
      </w:r>
      <w:r>
        <w:rPr>
          <w:color w:val="auto"/>
          <w:highlight w:val="none"/>
        </w:rPr>
        <w:t xml:space="preserve"> </w:t>
      </w:r>
      <w:r>
        <w:rPr>
          <w:rFonts w:hint="eastAsia"/>
          <w:color w:val="auto"/>
          <w:highlight w:val="none"/>
          <w:lang w:eastAsia="zh-CN"/>
        </w:rPr>
        <w:t>资金到位率</w:t>
      </w:r>
      <w:r>
        <w:rPr>
          <w:rFonts w:hint="eastAsia" w:ascii="仿宋_GB2312" w:hAnsi="仿宋" w:cs="宋体"/>
          <w:b/>
          <w:color w:val="auto"/>
          <w:kern w:val="0"/>
          <w:szCs w:val="28"/>
          <w:highlight w:val="none"/>
          <w:lang w:val="en-US" w:eastAsia="zh-CN"/>
        </w:rPr>
        <w:t>100%</w:t>
      </w:r>
      <w:r>
        <w:rPr>
          <w:rFonts w:hint="eastAsia" w:ascii="仿宋_GB2312" w:hAnsi="仿宋" w:cs="宋体"/>
          <w:b/>
          <w:color w:val="auto"/>
          <w:kern w:val="0"/>
          <w:szCs w:val="28"/>
          <w:highlight w:val="none"/>
        </w:rPr>
        <w:t>。</w:t>
      </w:r>
      <w:r>
        <w:rPr>
          <w:rFonts w:hint="eastAsia" w:ascii="仿宋_GB2312" w:hAnsi="仿宋" w:cs="宋体"/>
          <w:color w:val="auto"/>
          <w:kern w:val="0"/>
          <w:szCs w:val="28"/>
          <w:highlight w:val="none"/>
        </w:rPr>
        <w:t>故资金到位率指标得分</w:t>
      </w:r>
      <w:r>
        <w:rPr>
          <w:rFonts w:hint="eastAsia" w:ascii="仿宋_GB2312" w:hAnsi="仿宋" w:cs="宋体"/>
          <w:color w:val="auto"/>
          <w:kern w:val="0"/>
          <w:szCs w:val="28"/>
          <w:highlight w:val="none"/>
          <w:lang w:val="en-US" w:eastAsia="zh-CN"/>
        </w:rPr>
        <w:t>5</w:t>
      </w:r>
      <w:r>
        <w:rPr>
          <w:rFonts w:hint="eastAsia" w:ascii="仿宋_GB2312" w:hAnsi="仿宋" w:cs="宋体"/>
          <w:color w:val="auto"/>
          <w:kern w:val="0"/>
          <w:szCs w:val="28"/>
          <w:highlight w:val="none"/>
        </w:rPr>
        <w:t>分。</w:t>
      </w:r>
    </w:p>
    <w:p w14:paraId="47CE50A2">
      <w:pPr>
        <w:spacing w:line="360" w:lineRule="auto"/>
        <w:ind w:firstLine="560"/>
        <w:rPr>
          <w:rFonts w:ascii="仿宋_GB2312"/>
          <w:color w:val="auto"/>
          <w:szCs w:val="28"/>
          <w:highlight w:val="none"/>
        </w:rPr>
      </w:pPr>
    </w:p>
    <w:p w14:paraId="6A68377D">
      <w:pPr>
        <w:spacing w:line="360" w:lineRule="auto"/>
        <w:ind w:firstLine="562"/>
        <w:rPr>
          <w:rFonts w:ascii="仿宋_GB2312"/>
          <w:color w:val="auto"/>
          <w:szCs w:val="28"/>
          <w:highlight w:val="none"/>
        </w:rPr>
      </w:pPr>
      <w:r>
        <w:rPr>
          <w:rFonts w:hint="eastAsia" w:ascii="仿宋_GB2312"/>
          <w:b/>
          <w:bCs/>
          <w:color w:val="auto"/>
          <w:szCs w:val="28"/>
          <w:highlight w:val="none"/>
        </w:rPr>
        <w:t>预算执行率：</w:t>
      </w:r>
      <w:r>
        <w:rPr>
          <w:rFonts w:hint="eastAsia" w:ascii="仿宋_GB2312"/>
          <w:b/>
          <w:bCs/>
          <w:color w:val="auto"/>
          <w:szCs w:val="28"/>
          <w:highlight w:val="none"/>
          <w:lang w:eastAsia="zh-CN"/>
        </w:rPr>
        <w:t>该项目资金由财政拨付，在</w:t>
      </w:r>
      <w:r>
        <w:rPr>
          <w:rFonts w:hint="eastAsia" w:ascii="仿宋_GB2312"/>
          <w:b/>
          <w:bCs/>
          <w:color w:val="auto"/>
          <w:szCs w:val="28"/>
          <w:highlight w:val="none"/>
          <w:lang w:val="en-US" w:eastAsia="zh-CN"/>
        </w:rPr>
        <w:t>2024年1月6日到位，资金直接支付到无军籍职工银行卡上，执行率100%</w:t>
      </w:r>
      <w:r>
        <w:rPr>
          <w:rFonts w:hint="eastAsia" w:ascii="仿宋_GB2312"/>
          <w:b/>
          <w:bCs/>
          <w:color w:val="auto"/>
          <w:szCs w:val="28"/>
          <w:highlight w:val="none"/>
        </w:rPr>
        <w:t>。</w:t>
      </w:r>
      <w:r>
        <w:rPr>
          <w:rFonts w:hint="eastAsia" w:ascii="仿宋_GB2312"/>
          <w:color w:val="auto"/>
          <w:szCs w:val="28"/>
          <w:highlight w:val="none"/>
        </w:rPr>
        <w:t>故预算执行率得分为</w:t>
      </w:r>
      <w:r>
        <w:rPr>
          <w:rFonts w:hint="eastAsia" w:ascii="仿宋_GB2312"/>
          <w:color w:val="auto"/>
          <w:szCs w:val="28"/>
          <w:highlight w:val="none"/>
          <w:lang w:val="en-US" w:eastAsia="zh-CN"/>
        </w:rPr>
        <w:t>5</w:t>
      </w:r>
      <w:r>
        <w:rPr>
          <w:rFonts w:hint="eastAsia" w:ascii="仿宋_GB2312"/>
          <w:color w:val="auto"/>
          <w:szCs w:val="28"/>
          <w:highlight w:val="none"/>
        </w:rPr>
        <w:t>分。</w:t>
      </w:r>
    </w:p>
    <w:p w14:paraId="660899FD">
      <w:pPr>
        <w:spacing w:line="360" w:lineRule="auto"/>
        <w:ind w:firstLine="562"/>
        <w:rPr>
          <w:rFonts w:ascii="仿宋_GB2312"/>
          <w:b/>
          <w:bCs/>
          <w:color w:val="auto"/>
          <w:szCs w:val="28"/>
          <w:highlight w:val="none"/>
        </w:rPr>
      </w:pPr>
    </w:p>
    <w:p w14:paraId="39AAF8B9">
      <w:pPr>
        <w:spacing w:line="360" w:lineRule="auto"/>
        <w:ind w:firstLine="562"/>
        <w:rPr>
          <w:rFonts w:ascii="仿宋_GB2312"/>
          <w:color w:val="auto"/>
          <w:szCs w:val="28"/>
          <w:highlight w:val="none"/>
        </w:rPr>
      </w:pPr>
      <w:r>
        <w:rPr>
          <w:rFonts w:hint="eastAsia" w:ascii="仿宋_GB2312"/>
          <w:b/>
          <w:bCs/>
          <w:color w:val="auto"/>
          <w:szCs w:val="28"/>
          <w:highlight w:val="none"/>
        </w:rPr>
        <w:t>资金使用合规性：</w:t>
      </w:r>
      <w:r>
        <w:rPr>
          <w:rFonts w:hint="eastAsia" w:ascii="仿宋_GB2312"/>
          <w:color w:val="auto"/>
          <w:szCs w:val="28"/>
          <w:highlight w:val="none"/>
        </w:rPr>
        <w:t>本项目资金的使用符合</w:t>
      </w:r>
      <w:r>
        <w:rPr>
          <w:rFonts w:hint="eastAsia" w:ascii="仿宋_GB2312"/>
          <w:color w:val="auto"/>
          <w:szCs w:val="28"/>
          <w:highlight w:val="none"/>
          <w:lang w:eastAsia="zh-CN"/>
        </w:rPr>
        <w:t>项目</w:t>
      </w:r>
      <w:r>
        <w:rPr>
          <w:rFonts w:hint="eastAsia" w:ascii="仿宋_GB2312"/>
          <w:color w:val="auto"/>
          <w:szCs w:val="28"/>
          <w:highlight w:val="none"/>
        </w:rPr>
        <w:t>和</w:t>
      </w:r>
      <w:r>
        <w:rPr>
          <w:rFonts w:hint="eastAsia" w:ascii="仿宋_GB2312"/>
          <w:color w:val="auto"/>
          <w:szCs w:val="28"/>
          <w:highlight w:val="none"/>
          <w:lang w:eastAsia="zh-CN"/>
        </w:rPr>
        <w:t>财务</w:t>
      </w:r>
      <w:r>
        <w:rPr>
          <w:rFonts w:hint="eastAsia" w:ascii="仿宋_GB2312"/>
          <w:color w:val="auto"/>
          <w:szCs w:val="28"/>
          <w:highlight w:val="none"/>
        </w:rPr>
        <w:t>管理制度以及有关</w:t>
      </w:r>
      <w:r>
        <w:rPr>
          <w:rFonts w:hint="eastAsia" w:ascii="仿宋_GB2312"/>
          <w:color w:val="auto"/>
          <w:szCs w:val="28"/>
          <w:highlight w:val="none"/>
          <w:lang w:eastAsia="zh-CN"/>
        </w:rPr>
        <w:t>项目</w:t>
      </w:r>
      <w:r>
        <w:rPr>
          <w:rFonts w:hint="eastAsia" w:ascii="仿宋_GB2312"/>
          <w:color w:val="auto"/>
          <w:szCs w:val="28"/>
          <w:highlight w:val="none"/>
        </w:rPr>
        <w:t>专项资金管理办法的规定。同时，资金的拨付有</w:t>
      </w:r>
      <w:r>
        <w:rPr>
          <w:rFonts w:hint="eastAsia" w:ascii="仿宋_GB2312"/>
          <w:color w:val="auto"/>
          <w:szCs w:val="28"/>
          <w:highlight w:val="none"/>
          <w:lang w:eastAsia="zh-CN"/>
        </w:rPr>
        <w:t>财政</w:t>
      </w:r>
      <w:r>
        <w:rPr>
          <w:rFonts w:hint="eastAsia" w:ascii="仿宋_GB2312"/>
          <w:color w:val="auto"/>
          <w:szCs w:val="28"/>
          <w:highlight w:val="none"/>
        </w:rPr>
        <w:t>审批程序，需要</w:t>
      </w:r>
      <w:r>
        <w:rPr>
          <w:rFonts w:hint="eastAsia" w:ascii="仿宋_GB2312"/>
          <w:color w:val="auto"/>
          <w:szCs w:val="28"/>
          <w:highlight w:val="none"/>
          <w:lang w:eastAsia="zh-CN"/>
        </w:rPr>
        <w:t>合规</w:t>
      </w:r>
      <w:r>
        <w:rPr>
          <w:rFonts w:hint="eastAsia" w:ascii="仿宋_GB2312"/>
          <w:color w:val="auto"/>
          <w:szCs w:val="28"/>
          <w:highlight w:val="none"/>
        </w:rPr>
        <w:t>手续，符合项目预算批复或合同规定的用途，不存在截留、挤占、挪用、虚列支出等情况。故资金使用合规性得分为3分。</w:t>
      </w:r>
    </w:p>
    <w:p w14:paraId="65B0F506">
      <w:pPr>
        <w:autoSpaceDE w:val="0"/>
        <w:spacing w:line="600" w:lineRule="exact"/>
        <w:ind w:firstLine="562"/>
        <w:rPr>
          <w:rFonts w:ascii="仿宋_GB2312" w:hAnsi="仿宋" w:cs="宋体"/>
          <w:b/>
          <w:color w:val="auto"/>
          <w:kern w:val="0"/>
          <w:szCs w:val="28"/>
          <w:highlight w:val="none"/>
        </w:rPr>
      </w:pPr>
      <w:r>
        <w:rPr>
          <w:rFonts w:hint="eastAsia" w:ascii="仿宋_GB2312" w:hAnsi="仿宋" w:cs="宋体"/>
          <w:b/>
          <w:color w:val="auto"/>
          <w:kern w:val="0"/>
          <w:szCs w:val="28"/>
          <w:highlight w:val="none"/>
        </w:rPr>
        <w:t>综上，该指标满分</w:t>
      </w:r>
      <w:r>
        <w:rPr>
          <w:rFonts w:ascii="仿宋_GB2312" w:hAnsi="仿宋" w:cs="宋体"/>
          <w:b/>
          <w:color w:val="auto"/>
          <w:kern w:val="0"/>
          <w:szCs w:val="28"/>
          <w:highlight w:val="none"/>
        </w:rPr>
        <w:t>13</w:t>
      </w:r>
      <w:r>
        <w:rPr>
          <w:rFonts w:hint="eastAsia" w:ascii="仿宋_GB2312" w:hAnsi="仿宋" w:cs="宋体"/>
          <w:b/>
          <w:color w:val="auto"/>
          <w:kern w:val="0"/>
          <w:szCs w:val="28"/>
          <w:highlight w:val="none"/>
        </w:rPr>
        <w:t>分，得分</w:t>
      </w:r>
      <w:r>
        <w:rPr>
          <w:rFonts w:hint="eastAsia" w:ascii="仿宋_GB2312" w:hAnsi="仿宋" w:cs="宋体"/>
          <w:b/>
          <w:color w:val="auto"/>
          <w:kern w:val="0"/>
          <w:szCs w:val="28"/>
          <w:highlight w:val="none"/>
          <w:lang w:val="en-US" w:eastAsia="zh-CN"/>
        </w:rPr>
        <w:t>13</w:t>
      </w:r>
      <w:r>
        <w:rPr>
          <w:rFonts w:hint="eastAsia" w:ascii="仿宋_GB2312" w:hAnsi="仿宋" w:cs="宋体"/>
          <w:b/>
          <w:color w:val="auto"/>
          <w:kern w:val="0"/>
          <w:szCs w:val="28"/>
          <w:highlight w:val="none"/>
        </w:rPr>
        <w:t>分。</w:t>
      </w:r>
    </w:p>
    <w:p w14:paraId="437393A8">
      <w:pPr>
        <w:pStyle w:val="5"/>
        <w:ind w:firstLine="643"/>
        <w:rPr>
          <w:color w:val="auto"/>
          <w:highlight w:val="none"/>
        </w:rPr>
      </w:pPr>
      <w:bookmarkStart w:id="42" w:name="_Toc196487559"/>
      <w:r>
        <w:rPr>
          <w:color w:val="auto"/>
          <w:highlight w:val="none"/>
        </w:rPr>
        <w:t>2.</w:t>
      </w:r>
      <w:r>
        <w:rPr>
          <w:rFonts w:hint="eastAsia"/>
          <w:color w:val="auto"/>
          <w:highlight w:val="none"/>
        </w:rPr>
        <w:t>组织实施</w:t>
      </w:r>
      <w:bookmarkEnd w:id="42"/>
    </w:p>
    <w:p w14:paraId="0B920B97">
      <w:pPr>
        <w:spacing w:line="360" w:lineRule="auto"/>
        <w:ind w:firstLine="562"/>
        <w:rPr>
          <w:rFonts w:ascii="仿宋_GB2312"/>
          <w:color w:val="auto"/>
          <w:szCs w:val="28"/>
          <w:highlight w:val="none"/>
        </w:rPr>
      </w:pPr>
      <w:r>
        <w:rPr>
          <w:rFonts w:hint="eastAsia" w:ascii="仿宋_GB2312"/>
          <w:b/>
          <w:bCs/>
          <w:color w:val="auto"/>
          <w:szCs w:val="28"/>
          <w:highlight w:val="none"/>
        </w:rPr>
        <w:t>管理制度健全性</w:t>
      </w:r>
      <w:r>
        <w:rPr>
          <w:rFonts w:hint="eastAsia" w:ascii="仿宋_GB2312"/>
          <w:color w:val="auto"/>
          <w:szCs w:val="28"/>
          <w:highlight w:val="none"/>
        </w:rPr>
        <w:t>：</w:t>
      </w:r>
      <w:r>
        <w:rPr>
          <w:rFonts w:hint="eastAsia" w:ascii="仿宋_GB2312"/>
          <w:color w:val="auto"/>
          <w:szCs w:val="28"/>
          <w:highlight w:val="none"/>
          <w:lang w:eastAsia="zh-CN"/>
        </w:rPr>
        <w:t>我局</w:t>
      </w:r>
      <w:r>
        <w:rPr>
          <w:rFonts w:hint="eastAsia" w:ascii="仿宋_GB2312"/>
          <w:color w:val="auto"/>
          <w:szCs w:val="28"/>
          <w:highlight w:val="none"/>
        </w:rPr>
        <w:t>已制定相应的</w:t>
      </w:r>
      <w:r>
        <w:rPr>
          <w:rFonts w:hint="eastAsia" w:ascii="仿宋_GB2312"/>
          <w:color w:val="auto"/>
          <w:szCs w:val="28"/>
          <w:highlight w:val="none"/>
          <w:lang w:eastAsia="zh-CN"/>
        </w:rPr>
        <w:t>预算编制</w:t>
      </w:r>
      <w:r>
        <w:rPr>
          <w:rFonts w:hint="eastAsia" w:ascii="仿宋_GB2312"/>
          <w:color w:val="auto"/>
          <w:szCs w:val="28"/>
          <w:highlight w:val="none"/>
        </w:rPr>
        <w:t>和</w:t>
      </w:r>
      <w:r>
        <w:rPr>
          <w:rFonts w:hint="eastAsia" w:ascii="仿宋_GB2312"/>
          <w:color w:val="auto"/>
          <w:szCs w:val="28"/>
          <w:highlight w:val="none"/>
          <w:lang w:eastAsia="zh-CN"/>
        </w:rPr>
        <w:t>财务</w:t>
      </w:r>
      <w:r>
        <w:rPr>
          <w:rFonts w:hint="eastAsia" w:ascii="仿宋_GB2312"/>
          <w:color w:val="auto"/>
          <w:szCs w:val="28"/>
          <w:highlight w:val="none"/>
        </w:rPr>
        <w:t>管理制度，且制度合法、合规、完整，为项目顺利实施提供重要保障。故管理制度健全性得分为3分。</w:t>
      </w:r>
    </w:p>
    <w:p w14:paraId="69739261">
      <w:pPr>
        <w:spacing w:line="360" w:lineRule="auto"/>
        <w:ind w:firstLine="562"/>
        <w:rPr>
          <w:rFonts w:ascii="仿宋_GB2312"/>
          <w:color w:val="auto"/>
          <w:szCs w:val="28"/>
          <w:highlight w:val="none"/>
        </w:rPr>
      </w:pPr>
      <w:r>
        <w:rPr>
          <w:rFonts w:hint="eastAsia" w:ascii="仿宋_GB2312"/>
          <w:b/>
          <w:bCs/>
          <w:color w:val="auto"/>
          <w:szCs w:val="28"/>
          <w:highlight w:val="none"/>
        </w:rPr>
        <w:t>制度执行有效性：</w:t>
      </w:r>
      <w:r>
        <w:rPr>
          <w:rFonts w:hint="eastAsia" w:ascii="仿宋_GB2312"/>
          <w:color w:val="auto"/>
          <w:szCs w:val="28"/>
          <w:highlight w:val="none"/>
        </w:rPr>
        <w:t>根据评价小组核查情况，</w:t>
      </w:r>
      <w:r>
        <w:rPr>
          <w:rFonts w:hint="eastAsia" w:ascii="仿宋_GB2312"/>
          <w:color w:val="auto"/>
          <w:szCs w:val="28"/>
          <w:highlight w:val="none"/>
          <w:lang w:eastAsia="zh-CN"/>
        </w:rPr>
        <w:t>我局</w:t>
      </w:r>
      <w:r>
        <w:rPr>
          <w:rFonts w:hint="eastAsia" w:ascii="仿宋_GB2312"/>
          <w:color w:val="auto"/>
          <w:szCs w:val="28"/>
          <w:highlight w:val="none"/>
        </w:rPr>
        <w:t>严格遵守相关法律法规和相关管理规定，项目调整及支出调整手续完备，整体管理合理有序，项目完成后，及时将会计凭证、固定资产入库单等相关资料分类归档，制度执行有效。故制度执行有效性指标得分</w:t>
      </w:r>
      <w:r>
        <w:rPr>
          <w:rFonts w:ascii="仿宋_GB2312"/>
          <w:color w:val="auto"/>
          <w:szCs w:val="28"/>
          <w:highlight w:val="none"/>
        </w:rPr>
        <w:t>4</w:t>
      </w:r>
      <w:r>
        <w:rPr>
          <w:rFonts w:hint="eastAsia" w:ascii="仿宋_GB2312"/>
          <w:color w:val="auto"/>
          <w:szCs w:val="28"/>
          <w:highlight w:val="none"/>
        </w:rPr>
        <w:t>分。</w:t>
      </w:r>
    </w:p>
    <w:p w14:paraId="3FE33394">
      <w:pPr>
        <w:autoSpaceDE w:val="0"/>
        <w:spacing w:line="600" w:lineRule="exact"/>
        <w:ind w:firstLine="562"/>
        <w:rPr>
          <w:rFonts w:ascii="仿宋_GB2312" w:hAnsi="仿宋" w:cs="宋体"/>
          <w:b/>
          <w:color w:val="auto"/>
          <w:kern w:val="0"/>
          <w:szCs w:val="28"/>
          <w:highlight w:val="none"/>
        </w:rPr>
      </w:pPr>
      <w:bookmarkStart w:id="43" w:name="_Hlk67670213"/>
      <w:r>
        <w:rPr>
          <w:rFonts w:hint="eastAsia" w:ascii="仿宋_GB2312" w:hAnsi="仿宋" w:cs="宋体"/>
          <w:b/>
          <w:color w:val="auto"/>
          <w:kern w:val="0"/>
          <w:szCs w:val="28"/>
          <w:highlight w:val="none"/>
        </w:rPr>
        <w:t>综上，该指标满分</w:t>
      </w:r>
      <w:r>
        <w:rPr>
          <w:rFonts w:ascii="仿宋_GB2312" w:hAnsi="仿宋" w:cs="宋体"/>
          <w:b/>
          <w:color w:val="auto"/>
          <w:kern w:val="0"/>
          <w:szCs w:val="28"/>
          <w:highlight w:val="none"/>
        </w:rPr>
        <w:t>7</w:t>
      </w:r>
      <w:r>
        <w:rPr>
          <w:rFonts w:hint="eastAsia" w:ascii="仿宋_GB2312" w:hAnsi="仿宋" w:cs="宋体"/>
          <w:b/>
          <w:color w:val="auto"/>
          <w:kern w:val="0"/>
          <w:szCs w:val="28"/>
          <w:highlight w:val="none"/>
        </w:rPr>
        <w:t>分，得分</w:t>
      </w:r>
      <w:r>
        <w:rPr>
          <w:rFonts w:ascii="仿宋_GB2312" w:hAnsi="仿宋" w:cs="宋体"/>
          <w:b/>
          <w:color w:val="auto"/>
          <w:kern w:val="0"/>
          <w:szCs w:val="28"/>
          <w:highlight w:val="none"/>
        </w:rPr>
        <w:t>7</w:t>
      </w:r>
      <w:r>
        <w:rPr>
          <w:rFonts w:hint="eastAsia" w:ascii="仿宋_GB2312" w:hAnsi="仿宋" w:cs="宋体"/>
          <w:b/>
          <w:color w:val="auto"/>
          <w:kern w:val="0"/>
          <w:szCs w:val="28"/>
          <w:highlight w:val="none"/>
        </w:rPr>
        <w:t>分。</w:t>
      </w:r>
      <w:bookmarkEnd w:id="43"/>
    </w:p>
    <w:p w14:paraId="13273FFE">
      <w:pPr>
        <w:pStyle w:val="4"/>
        <w:ind w:firstLine="643"/>
        <w:rPr>
          <w:rFonts w:ascii="仿宋" w:hAnsi="仿宋" w:eastAsia="仿宋"/>
          <w:color w:val="auto"/>
          <w:highlight w:val="none"/>
          <w:lang w:bidi="en-US"/>
        </w:rPr>
      </w:pPr>
      <w:bookmarkStart w:id="44" w:name="_Toc196487560"/>
      <w:bookmarkStart w:id="45" w:name="_Toc67911614"/>
      <w:r>
        <w:rPr>
          <w:rFonts w:hint="eastAsia" w:ascii="仿宋" w:hAnsi="仿宋" w:eastAsia="仿宋"/>
          <w:color w:val="auto"/>
          <w:highlight w:val="none"/>
          <w:lang w:bidi="en-US"/>
        </w:rPr>
        <w:t>（三）项目产出情况</w:t>
      </w:r>
      <w:bookmarkEnd w:id="44"/>
      <w:bookmarkEnd w:id="45"/>
    </w:p>
    <w:p w14:paraId="19F2D980">
      <w:pPr>
        <w:spacing w:line="360" w:lineRule="auto"/>
        <w:ind w:firstLine="560"/>
        <w:rPr>
          <w:rFonts w:ascii="仿宋_GB2312"/>
          <w:color w:val="auto"/>
          <w:szCs w:val="28"/>
          <w:highlight w:val="none"/>
        </w:rPr>
      </w:pPr>
      <w:r>
        <w:rPr>
          <w:rFonts w:hint="eastAsia" w:ascii="仿宋_GB2312"/>
          <w:color w:val="auto"/>
          <w:szCs w:val="28"/>
          <w:highlight w:val="none"/>
        </w:rPr>
        <w:t>项目产出指标由</w:t>
      </w:r>
      <w:r>
        <w:rPr>
          <w:rFonts w:ascii="仿宋_GB2312"/>
          <w:color w:val="auto"/>
          <w:szCs w:val="28"/>
          <w:highlight w:val="none"/>
        </w:rPr>
        <w:t>4</w:t>
      </w:r>
      <w:r>
        <w:rPr>
          <w:rFonts w:hint="eastAsia" w:ascii="仿宋_GB2312"/>
          <w:color w:val="auto"/>
          <w:szCs w:val="28"/>
          <w:highlight w:val="none"/>
        </w:rPr>
        <w:t>个二级指标和</w:t>
      </w:r>
      <w:r>
        <w:rPr>
          <w:rFonts w:ascii="仿宋_GB2312"/>
          <w:color w:val="auto"/>
          <w:szCs w:val="28"/>
          <w:highlight w:val="none"/>
        </w:rPr>
        <w:t>XX</w:t>
      </w:r>
      <w:r>
        <w:rPr>
          <w:rFonts w:hint="eastAsia" w:ascii="仿宋_GB2312"/>
          <w:color w:val="auto"/>
          <w:szCs w:val="28"/>
          <w:highlight w:val="none"/>
        </w:rPr>
        <w:t>个三级指标构成，权重为</w:t>
      </w:r>
      <w:r>
        <w:rPr>
          <w:rFonts w:ascii="仿宋_GB2312"/>
          <w:color w:val="auto"/>
          <w:szCs w:val="28"/>
          <w:highlight w:val="none"/>
        </w:rPr>
        <w:t>40</w:t>
      </w:r>
      <w:r>
        <w:rPr>
          <w:rFonts w:hint="eastAsia" w:ascii="仿宋_GB2312"/>
          <w:color w:val="auto"/>
          <w:szCs w:val="28"/>
          <w:highlight w:val="none"/>
        </w:rPr>
        <w:t>分，实际得分</w:t>
      </w:r>
      <w:r>
        <w:rPr>
          <w:rFonts w:hint="eastAsia" w:ascii="仿宋_GB2312"/>
          <w:color w:val="auto"/>
          <w:szCs w:val="28"/>
          <w:highlight w:val="none"/>
          <w:lang w:val="en-US" w:eastAsia="zh-CN"/>
        </w:rPr>
        <w:t>40</w:t>
      </w:r>
      <w:r>
        <w:rPr>
          <w:rFonts w:hint="eastAsia" w:ascii="仿宋_GB2312"/>
          <w:color w:val="auto"/>
          <w:szCs w:val="28"/>
          <w:highlight w:val="none"/>
        </w:rPr>
        <w:t>分。</w:t>
      </w:r>
    </w:p>
    <w:p w14:paraId="0571FB40">
      <w:pPr>
        <w:pStyle w:val="5"/>
        <w:ind w:firstLine="643"/>
        <w:rPr>
          <w:color w:val="auto"/>
          <w:highlight w:val="none"/>
        </w:rPr>
      </w:pPr>
      <w:bookmarkStart w:id="46" w:name="_Toc196487561"/>
      <w:r>
        <w:rPr>
          <w:rFonts w:hint="eastAsia"/>
          <w:color w:val="auto"/>
          <w:highlight w:val="none"/>
        </w:rPr>
        <w:t>1</w:t>
      </w:r>
      <w:r>
        <w:rPr>
          <w:color w:val="auto"/>
          <w:highlight w:val="none"/>
        </w:rPr>
        <w:t>.</w:t>
      </w:r>
      <w:r>
        <w:rPr>
          <w:rFonts w:hint="eastAsia"/>
          <w:color w:val="auto"/>
          <w:highlight w:val="none"/>
        </w:rPr>
        <w:t>产出数量</w:t>
      </w:r>
      <w:bookmarkEnd w:id="46"/>
    </w:p>
    <w:p w14:paraId="730022D2">
      <w:pPr>
        <w:spacing w:line="360" w:lineRule="auto"/>
        <w:ind w:firstLine="560"/>
        <w:rPr>
          <w:rFonts w:ascii="仿宋_GB2312"/>
          <w:color w:val="auto"/>
          <w:szCs w:val="28"/>
          <w:highlight w:val="none"/>
        </w:rPr>
      </w:pPr>
      <w:r>
        <w:rPr>
          <w:rFonts w:hint="eastAsia" w:ascii="仿宋_GB2312"/>
          <w:bCs/>
          <w:color w:val="auto"/>
          <w:szCs w:val="28"/>
          <w:highlight w:val="none"/>
        </w:rPr>
        <w:t>数量指标 无军籍</w:t>
      </w:r>
      <w:r>
        <w:rPr>
          <w:rFonts w:hint="eastAsia" w:ascii="仿宋_GB2312"/>
          <w:bCs/>
          <w:color w:val="auto"/>
          <w:szCs w:val="28"/>
          <w:highlight w:val="none"/>
          <w:lang w:eastAsia="zh-CN"/>
        </w:rPr>
        <w:t>退休退职</w:t>
      </w:r>
      <w:r>
        <w:rPr>
          <w:rFonts w:hint="eastAsia" w:ascii="仿宋_GB2312"/>
          <w:bCs/>
          <w:color w:val="auto"/>
          <w:szCs w:val="28"/>
          <w:highlight w:val="none"/>
        </w:rPr>
        <w:t>工津</w:t>
      </w:r>
      <w:r>
        <w:rPr>
          <w:rFonts w:hint="eastAsia" w:ascii="仿宋_GB2312"/>
          <w:bCs/>
          <w:color w:val="auto"/>
          <w:szCs w:val="28"/>
          <w:highlight w:val="none"/>
          <w:lang w:eastAsia="zh-CN"/>
        </w:rPr>
        <w:t>贴</w:t>
      </w:r>
      <w:r>
        <w:rPr>
          <w:rFonts w:hint="eastAsia" w:ascii="仿宋_GB2312"/>
          <w:bCs/>
          <w:color w:val="auto"/>
          <w:szCs w:val="28"/>
          <w:highlight w:val="none"/>
        </w:rPr>
        <w:t>补贴待遇落实人数的目标值是</w:t>
      </w:r>
      <w:r>
        <w:rPr>
          <w:rFonts w:hint="eastAsia" w:ascii="仿宋_GB2312"/>
          <w:bCs/>
          <w:color w:val="auto"/>
          <w:szCs w:val="28"/>
          <w:highlight w:val="none"/>
          <w:lang w:val="en-US" w:eastAsia="zh-CN"/>
        </w:rPr>
        <w:t>295人</w:t>
      </w:r>
      <w:r>
        <w:rPr>
          <w:rFonts w:hint="eastAsia" w:ascii="仿宋_GB2312"/>
          <w:bCs/>
          <w:color w:val="auto"/>
          <w:szCs w:val="28"/>
          <w:highlight w:val="none"/>
        </w:rPr>
        <w:t>，2024</w:t>
      </w:r>
      <w:r>
        <w:rPr>
          <w:rFonts w:ascii="仿宋_GB2312"/>
          <w:bCs/>
          <w:color w:val="auto"/>
          <w:szCs w:val="28"/>
          <w:highlight w:val="none"/>
        </w:rPr>
        <w:t>年度我单位实际完成</w:t>
      </w:r>
      <w:r>
        <w:rPr>
          <w:rFonts w:hint="eastAsia" w:ascii="仿宋_GB2312"/>
          <w:bCs/>
          <w:color w:val="auto"/>
          <w:szCs w:val="28"/>
          <w:highlight w:val="none"/>
          <w:lang w:val="en-US" w:eastAsia="zh-CN"/>
        </w:rPr>
        <w:t>295</w:t>
      </w:r>
      <w:r>
        <w:rPr>
          <w:rFonts w:hint="eastAsia" w:ascii="仿宋_GB2312"/>
          <w:bCs/>
          <w:color w:val="auto"/>
          <w:szCs w:val="28"/>
          <w:highlight w:val="none"/>
        </w:rPr>
        <w:t>个，原因是</w:t>
      </w:r>
      <w:r>
        <w:rPr>
          <w:rFonts w:hint="eastAsia" w:ascii="仿宋_GB2312"/>
          <w:bCs/>
          <w:color w:val="auto"/>
          <w:szCs w:val="28"/>
          <w:highlight w:val="none"/>
          <w:lang w:eastAsia="zh-CN"/>
        </w:rPr>
        <w:t>每月足额发放津贴</w:t>
      </w:r>
      <w:r>
        <w:rPr>
          <w:rFonts w:hint="eastAsia" w:ascii="仿宋_GB2312"/>
          <w:bCs/>
          <w:color w:val="auto"/>
          <w:szCs w:val="28"/>
          <w:highlight w:val="none"/>
        </w:rPr>
        <w:t>，</w:t>
      </w:r>
      <w:r>
        <w:rPr>
          <w:rFonts w:hint="eastAsia" w:ascii="仿宋_GB2312"/>
          <w:b/>
          <w:bCs/>
          <w:color w:val="auto"/>
          <w:szCs w:val="28"/>
          <w:highlight w:val="none"/>
        </w:rPr>
        <w:t>实际完成率：</w:t>
      </w:r>
      <w:r>
        <w:rPr>
          <w:rFonts w:hint="eastAsia" w:ascii="仿宋_GB2312"/>
          <w:b/>
          <w:bCs/>
          <w:color w:val="auto"/>
          <w:szCs w:val="28"/>
          <w:highlight w:val="none"/>
          <w:lang w:val="en-US" w:eastAsia="zh-CN"/>
        </w:rPr>
        <w:t>100%</w:t>
      </w:r>
      <w:r>
        <w:rPr>
          <w:rFonts w:hint="eastAsia" w:ascii="仿宋_GB2312"/>
          <w:color w:val="auto"/>
          <w:szCs w:val="28"/>
          <w:highlight w:val="none"/>
        </w:rPr>
        <w:t>故实际完成率得分为</w:t>
      </w:r>
      <w:r>
        <w:rPr>
          <w:rFonts w:hint="eastAsia" w:ascii="仿宋_GB2312"/>
          <w:color w:val="auto"/>
          <w:szCs w:val="28"/>
          <w:highlight w:val="none"/>
          <w:lang w:val="en-US" w:eastAsia="zh-CN"/>
        </w:rPr>
        <w:t>10</w:t>
      </w:r>
      <w:r>
        <w:rPr>
          <w:rFonts w:hint="eastAsia" w:ascii="仿宋_GB2312"/>
          <w:color w:val="auto"/>
          <w:szCs w:val="28"/>
          <w:highlight w:val="none"/>
        </w:rPr>
        <w:t>分。故实际完成率得分为</w:t>
      </w:r>
      <w:r>
        <w:rPr>
          <w:rFonts w:hint="eastAsia" w:ascii="仿宋_GB2312"/>
          <w:color w:val="auto"/>
          <w:szCs w:val="28"/>
          <w:highlight w:val="none"/>
          <w:lang w:val="en-US" w:eastAsia="zh-CN"/>
        </w:rPr>
        <w:t>10</w:t>
      </w:r>
      <w:r>
        <w:rPr>
          <w:rFonts w:hint="eastAsia" w:ascii="仿宋_GB2312"/>
          <w:color w:val="auto"/>
          <w:szCs w:val="28"/>
          <w:highlight w:val="none"/>
        </w:rPr>
        <w:t>分。</w:t>
      </w:r>
    </w:p>
    <w:p w14:paraId="08BD7E49">
      <w:pPr>
        <w:pStyle w:val="5"/>
        <w:ind w:firstLine="643"/>
        <w:rPr>
          <w:color w:val="auto"/>
          <w:highlight w:val="none"/>
        </w:rPr>
      </w:pPr>
      <w:bookmarkStart w:id="47" w:name="_Toc196487562"/>
      <w:r>
        <w:rPr>
          <w:rFonts w:hint="eastAsia"/>
          <w:color w:val="auto"/>
          <w:highlight w:val="none"/>
        </w:rPr>
        <w:t>2</w:t>
      </w:r>
      <w:r>
        <w:rPr>
          <w:color w:val="auto"/>
          <w:highlight w:val="none"/>
        </w:rPr>
        <w:t>.</w:t>
      </w:r>
      <w:r>
        <w:rPr>
          <w:rFonts w:hint="eastAsia"/>
          <w:color w:val="auto"/>
          <w:highlight w:val="none"/>
        </w:rPr>
        <w:t>产出质量</w:t>
      </w:r>
      <w:bookmarkEnd w:id="47"/>
    </w:p>
    <w:p w14:paraId="6C05860D">
      <w:pPr>
        <w:spacing w:line="360" w:lineRule="auto"/>
        <w:ind w:firstLine="560"/>
        <w:rPr>
          <w:rFonts w:hint="default" w:ascii="仿宋_GB2312"/>
          <w:color w:val="auto"/>
          <w:szCs w:val="28"/>
          <w:highlight w:val="none"/>
          <w:lang w:val="en-US" w:eastAsia="zh-CN"/>
        </w:rPr>
      </w:pPr>
      <w:r>
        <w:rPr>
          <w:rFonts w:hint="eastAsia" w:ascii="仿宋_GB2312"/>
          <w:b/>
          <w:bCs/>
          <w:color w:val="auto"/>
          <w:szCs w:val="28"/>
          <w:highlight w:val="none"/>
        </w:rPr>
        <w:t>工程验收率：</w:t>
      </w:r>
      <w:r>
        <w:rPr>
          <w:rFonts w:hint="eastAsia" w:ascii="仿宋_GB2312"/>
          <w:color w:val="auto"/>
          <w:szCs w:val="28"/>
          <w:highlight w:val="none"/>
        </w:rPr>
        <w:t>无军籍</w:t>
      </w:r>
      <w:r>
        <w:rPr>
          <w:rFonts w:hint="eastAsia" w:ascii="仿宋_GB2312"/>
          <w:color w:val="auto"/>
          <w:szCs w:val="28"/>
          <w:highlight w:val="none"/>
          <w:lang w:eastAsia="zh-CN"/>
        </w:rPr>
        <w:t>退休退职</w:t>
      </w:r>
      <w:r>
        <w:rPr>
          <w:rFonts w:hint="eastAsia" w:ascii="仿宋_GB2312"/>
          <w:color w:val="auto"/>
          <w:szCs w:val="28"/>
          <w:highlight w:val="none"/>
        </w:rPr>
        <w:t>工津</w:t>
      </w:r>
      <w:r>
        <w:rPr>
          <w:rFonts w:hint="eastAsia" w:ascii="仿宋_GB2312"/>
          <w:color w:val="auto"/>
          <w:szCs w:val="28"/>
          <w:highlight w:val="none"/>
          <w:lang w:eastAsia="zh-CN"/>
        </w:rPr>
        <w:t>贴</w:t>
      </w:r>
      <w:r>
        <w:rPr>
          <w:rFonts w:hint="eastAsia" w:ascii="仿宋_GB2312"/>
          <w:color w:val="auto"/>
          <w:szCs w:val="28"/>
          <w:highlight w:val="none"/>
        </w:rPr>
        <w:t>补贴发放到位率</w:t>
      </w:r>
      <w:r>
        <w:rPr>
          <w:rFonts w:hint="eastAsia" w:ascii="仿宋_GB2312"/>
          <w:color w:val="auto"/>
          <w:szCs w:val="28"/>
          <w:highlight w:val="none"/>
          <w:lang w:val="en-US" w:eastAsia="zh-CN"/>
        </w:rPr>
        <w:t>100%</w:t>
      </w:r>
    </w:p>
    <w:p w14:paraId="047E1644">
      <w:pPr>
        <w:spacing w:line="360" w:lineRule="auto"/>
        <w:ind w:firstLine="560"/>
        <w:rPr>
          <w:rFonts w:hint="eastAsia" w:ascii="仿宋_GB2312"/>
          <w:color w:val="auto"/>
          <w:szCs w:val="28"/>
          <w:highlight w:val="none"/>
        </w:rPr>
      </w:pPr>
      <w:r>
        <w:rPr>
          <w:rFonts w:hint="eastAsia" w:ascii="仿宋_GB2312"/>
          <w:color w:val="auto"/>
          <w:szCs w:val="28"/>
          <w:highlight w:val="none"/>
        </w:rPr>
        <w:t>质量达标率得分为</w:t>
      </w:r>
      <w:r>
        <w:rPr>
          <w:rFonts w:hint="eastAsia" w:ascii="仿宋_GB2312"/>
          <w:color w:val="auto"/>
          <w:szCs w:val="28"/>
          <w:highlight w:val="none"/>
          <w:lang w:val="en-US" w:eastAsia="zh-CN"/>
        </w:rPr>
        <w:t>10</w:t>
      </w:r>
      <w:r>
        <w:rPr>
          <w:rFonts w:hint="eastAsia" w:ascii="仿宋_GB2312"/>
          <w:color w:val="auto"/>
          <w:szCs w:val="28"/>
          <w:highlight w:val="none"/>
        </w:rPr>
        <w:t>分。</w:t>
      </w:r>
    </w:p>
    <w:p w14:paraId="78FD7FEC">
      <w:pPr>
        <w:pStyle w:val="5"/>
        <w:ind w:firstLine="643"/>
        <w:rPr>
          <w:color w:val="auto"/>
          <w:highlight w:val="none"/>
        </w:rPr>
      </w:pPr>
      <w:bookmarkStart w:id="48" w:name="_Toc196487563"/>
      <w:r>
        <w:rPr>
          <w:rFonts w:hint="eastAsia"/>
          <w:color w:val="auto"/>
          <w:highlight w:val="none"/>
        </w:rPr>
        <w:t>3</w:t>
      </w:r>
      <w:r>
        <w:rPr>
          <w:color w:val="auto"/>
          <w:highlight w:val="none"/>
        </w:rPr>
        <w:t>.</w:t>
      </w:r>
      <w:r>
        <w:rPr>
          <w:rFonts w:hint="eastAsia"/>
          <w:color w:val="auto"/>
          <w:highlight w:val="none"/>
        </w:rPr>
        <w:t>产出时效</w:t>
      </w:r>
      <w:bookmarkEnd w:id="48"/>
    </w:p>
    <w:p w14:paraId="53E97753">
      <w:pPr>
        <w:spacing w:line="360" w:lineRule="auto"/>
        <w:ind w:firstLine="560"/>
        <w:rPr>
          <w:rFonts w:hint="default" w:ascii="仿宋_GB2312"/>
          <w:color w:val="auto"/>
          <w:szCs w:val="28"/>
          <w:highlight w:val="none"/>
          <w:lang w:val="en-US" w:eastAsia="zh-CN"/>
        </w:rPr>
      </w:pPr>
      <w:r>
        <w:rPr>
          <w:rFonts w:hint="eastAsia" w:ascii="仿宋_GB2312"/>
          <w:b/>
          <w:bCs/>
          <w:color w:val="auto"/>
          <w:szCs w:val="28"/>
          <w:highlight w:val="none"/>
        </w:rPr>
        <w:t>完成及时性：</w:t>
      </w:r>
      <w:r>
        <w:rPr>
          <w:rFonts w:hint="eastAsia" w:ascii="仿宋_GB2312"/>
          <w:color w:val="auto"/>
          <w:szCs w:val="28"/>
          <w:highlight w:val="none"/>
        </w:rPr>
        <w:t>无军籍</w:t>
      </w:r>
      <w:r>
        <w:rPr>
          <w:rFonts w:hint="eastAsia" w:ascii="仿宋_GB2312"/>
          <w:color w:val="auto"/>
          <w:szCs w:val="28"/>
          <w:highlight w:val="none"/>
          <w:lang w:eastAsia="zh-CN"/>
        </w:rPr>
        <w:t>退休退职</w:t>
      </w:r>
      <w:r>
        <w:rPr>
          <w:rFonts w:hint="eastAsia" w:ascii="仿宋_GB2312"/>
          <w:color w:val="auto"/>
          <w:szCs w:val="28"/>
          <w:highlight w:val="none"/>
        </w:rPr>
        <w:t>工津</w:t>
      </w:r>
      <w:r>
        <w:rPr>
          <w:rFonts w:hint="eastAsia" w:ascii="仿宋_GB2312"/>
          <w:color w:val="auto"/>
          <w:szCs w:val="28"/>
          <w:highlight w:val="none"/>
          <w:lang w:eastAsia="zh-CN"/>
        </w:rPr>
        <w:t>贴</w:t>
      </w:r>
      <w:r>
        <w:rPr>
          <w:rFonts w:hint="eastAsia" w:ascii="仿宋_GB2312"/>
          <w:color w:val="auto"/>
          <w:szCs w:val="28"/>
          <w:highlight w:val="none"/>
        </w:rPr>
        <w:t>补贴发放及时率</w:t>
      </w:r>
      <w:r>
        <w:rPr>
          <w:rFonts w:hint="eastAsia" w:ascii="仿宋_GB2312"/>
          <w:color w:val="auto"/>
          <w:szCs w:val="28"/>
          <w:highlight w:val="none"/>
          <w:lang w:val="en-US" w:eastAsia="zh-CN"/>
        </w:rPr>
        <w:t>100%</w:t>
      </w:r>
    </w:p>
    <w:p w14:paraId="6000E344">
      <w:pPr>
        <w:spacing w:line="360" w:lineRule="auto"/>
        <w:ind w:firstLine="560"/>
        <w:rPr>
          <w:rFonts w:hint="eastAsia" w:ascii="仿宋_GB2312"/>
          <w:color w:val="auto"/>
          <w:szCs w:val="28"/>
          <w:highlight w:val="none"/>
        </w:rPr>
      </w:pPr>
      <w:r>
        <w:rPr>
          <w:rFonts w:hint="eastAsia" w:ascii="仿宋_GB2312"/>
          <w:color w:val="auto"/>
          <w:szCs w:val="28"/>
          <w:highlight w:val="none"/>
        </w:rPr>
        <w:t>其中，建设工程开工及时率：</w:t>
      </w:r>
    </w:p>
    <w:p w14:paraId="13CE2D3C">
      <w:pPr>
        <w:spacing w:line="360" w:lineRule="auto"/>
        <w:ind w:firstLine="560"/>
        <w:rPr>
          <w:rFonts w:hint="eastAsia" w:ascii="仿宋_GB2312"/>
          <w:color w:val="auto"/>
          <w:szCs w:val="28"/>
          <w:highlight w:val="none"/>
        </w:rPr>
      </w:pPr>
      <w:r>
        <w:rPr>
          <w:rFonts w:hint="eastAsia" w:ascii="仿宋_GB2312"/>
          <w:color w:val="auto"/>
          <w:szCs w:val="28"/>
          <w:highlight w:val="none"/>
        </w:rPr>
        <w:t>其次，建设工程完工及时率：</w:t>
      </w:r>
    </w:p>
    <w:p w14:paraId="0273F2EA">
      <w:pPr>
        <w:spacing w:line="360" w:lineRule="auto"/>
        <w:ind w:firstLine="560"/>
        <w:rPr>
          <w:rFonts w:hint="eastAsia" w:ascii="仿宋_GB2312"/>
          <w:color w:val="auto"/>
          <w:szCs w:val="28"/>
          <w:highlight w:val="none"/>
        </w:rPr>
      </w:pPr>
      <w:r>
        <w:rPr>
          <w:rFonts w:hint="eastAsia" w:ascii="仿宋_GB2312"/>
          <w:color w:val="auto"/>
          <w:szCs w:val="28"/>
          <w:highlight w:val="none"/>
        </w:rPr>
        <w:t>故完成及时性得分为</w:t>
      </w:r>
      <w:r>
        <w:rPr>
          <w:rFonts w:hint="eastAsia" w:ascii="仿宋_GB2312"/>
          <w:color w:val="auto"/>
          <w:szCs w:val="28"/>
          <w:highlight w:val="none"/>
          <w:lang w:val="en-US" w:eastAsia="zh-CN"/>
        </w:rPr>
        <w:t>10</w:t>
      </w:r>
      <w:r>
        <w:rPr>
          <w:rFonts w:hint="eastAsia" w:ascii="仿宋_GB2312"/>
          <w:color w:val="auto"/>
          <w:szCs w:val="28"/>
          <w:highlight w:val="none"/>
        </w:rPr>
        <w:t>分。</w:t>
      </w:r>
    </w:p>
    <w:p w14:paraId="43C937AA">
      <w:pPr>
        <w:spacing w:line="360" w:lineRule="auto"/>
        <w:ind w:firstLine="560"/>
        <w:rPr>
          <w:rFonts w:hint="eastAsia" w:ascii="仿宋_GB2312"/>
          <w:color w:val="auto"/>
          <w:szCs w:val="28"/>
          <w:highlight w:val="none"/>
        </w:rPr>
      </w:pPr>
      <w:bookmarkStart w:id="49" w:name="_Toc196487564"/>
      <w:bookmarkStart w:id="50" w:name="_Toc67911615"/>
      <w:r>
        <w:rPr>
          <w:rFonts w:hint="eastAsia" w:ascii="仿宋_GB2312"/>
          <w:color w:val="auto"/>
          <w:szCs w:val="28"/>
          <w:highlight w:val="none"/>
        </w:rPr>
        <w:t>4.产出成本</w:t>
      </w:r>
      <w:bookmarkEnd w:id="49"/>
      <w:bookmarkEnd w:id="50"/>
    </w:p>
    <w:p w14:paraId="70888619">
      <w:pPr>
        <w:spacing w:line="360" w:lineRule="auto"/>
        <w:ind w:firstLine="560"/>
        <w:rPr>
          <w:rFonts w:hint="eastAsia" w:ascii="仿宋_GB2312"/>
          <w:color w:val="auto"/>
          <w:szCs w:val="28"/>
          <w:highlight w:val="none"/>
          <w:lang w:eastAsia="zh-CN"/>
        </w:rPr>
      </w:pPr>
      <w:r>
        <w:rPr>
          <w:rFonts w:hint="eastAsia" w:ascii="仿宋_GB2312"/>
          <w:color w:val="auto"/>
          <w:szCs w:val="28"/>
          <w:highlight w:val="none"/>
        </w:rPr>
        <w:t>经济成本：项目预算控制率：无军籍</w:t>
      </w:r>
      <w:r>
        <w:rPr>
          <w:rFonts w:hint="eastAsia" w:ascii="仿宋_GB2312"/>
          <w:color w:val="auto"/>
          <w:szCs w:val="28"/>
          <w:highlight w:val="none"/>
          <w:lang w:eastAsia="zh-CN"/>
        </w:rPr>
        <w:t>退休退职</w:t>
      </w:r>
      <w:r>
        <w:rPr>
          <w:rFonts w:hint="eastAsia" w:ascii="仿宋_GB2312"/>
          <w:color w:val="auto"/>
          <w:szCs w:val="28"/>
          <w:highlight w:val="none"/>
        </w:rPr>
        <w:t>工津</w:t>
      </w:r>
      <w:r>
        <w:rPr>
          <w:rFonts w:hint="eastAsia" w:ascii="仿宋_GB2312"/>
          <w:color w:val="auto"/>
          <w:szCs w:val="28"/>
          <w:highlight w:val="none"/>
          <w:lang w:eastAsia="zh-CN"/>
        </w:rPr>
        <w:t>贴</w:t>
      </w:r>
      <w:r>
        <w:rPr>
          <w:rFonts w:hint="eastAsia" w:ascii="仿宋_GB2312"/>
          <w:color w:val="auto"/>
          <w:szCs w:val="28"/>
          <w:highlight w:val="none"/>
        </w:rPr>
        <w:t>补贴</w:t>
      </w:r>
      <w:r>
        <w:rPr>
          <w:rFonts w:hint="eastAsia" w:ascii="仿宋_GB2312"/>
          <w:color w:val="auto"/>
          <w:szCs w:val="28"/>
          <w:highlight w:val="none"/>
          <w:lang w:eastAsia="zh-CN"/>
        </w:rPr>
        <w:t>人均标准</w:t>
      </w:r>
      <w:r>
        <w:rPr>
          <w:rFonts w:hint="eastAsia" w:ascii="仿宋_GB2312"/>
          <w:color w:val="auto"/>
          <w:szCs w:val="28"/>
          <w:highlight w:val="none"/>
        </w:rPr>
        <w:t xml:space="preserve">指标值： </w:t>
      </w:r>
      <w:r>
        <w:rPr>
          <w:rFonts w:hint="eastAsia" w:ascii="仿宋_GB2312"/>
          <w:color w:val="auto"/>
          <w:szCs w:val="28"/>
          <w:highlight w:val="none"/>
          <w:lang w:val="en-US" w:eastAsia="zh-CN"/>
        </w:rPr>
        <w:t>5.585万元</w:t>
      </w:r>
      <w:r>
        <w:rPr>
          <w:rFonts w:hint="eastAsia" w:ascii="仿宋_GB2312"/>
          <w:color w:val="auto"/>
          <w:szCs w:val="28"/>
          <w:highlight w:val="none"/>
        </w:rPr>
        <w:t xml:space="preserve">实际完成值：   </w:t>
      </w:r>
      <w:r>
        <w:rPr>
          <w:rFonts w:hint="eastAsia" w:ascii="仿宋_GB2312"/>
          <w:color w:val="auto"/>
          <w:szCs w:val="28"/>
          <w:highlight w:val="none"/>
          <w:lang w:val="en-US" w:eastAsia="zh-CN"/>
        </w:rPr>
        <w:t>4.627万元</w:t>
      </w:r>
      <w:r>
        <w:rPr>
          <w:rFonts w:hint="eastAsia" w:ascii="仿宋_GB2312"/>
          <w:color w:val="auto"/>
          <w:szCs w:val="28"/>
          <w:highlight w:val="none"/>
        </w:rPr>
        <w:t xml:space="preserve">，指标完成率  </w:t>
      </w:r>
      <w:r>
        <w:rPr>
          <w:rFonts w:hint="eastAsia" w:ascii="仿宋_GB2312"/>
          <w:color w:val="auto"/>
          <w:szCs w:val="28"/>
          <w:highlight w:val="none"/>
          <w:lang w:val="en-US" w:eastAsia="zh-CN"/>
        </w:rPr>
        <w:t>82.85</w:t>
      </w:r>
      <w:r>
        <w:rPr>
          <w:rFonts w:hint="eastAsia" w:ascii="仿宋_GB2312"/>
          <w:color w:val="auto"/>
          <w:szCs w:val="28"/>
          <w:highlight w:val="none"/>
        </w:rPr>
        <w:t xml:space="preserve"> %。</w:t>
      </w:r>
      <w:r>
        <w:rPr>
          <w:rFonts w:hint="eastAsia" w:ascii="仿宋_GB2312"/>
          <w:color w:val="auto"/>
          <w:szCs w:val="28"/>
          <w:highlight w:val="none"/>
          <w:lang w:eastAsia="zh-CN"/>
        </w:rPr>
        <w:t>偏差原因：因为此项资金包含无军籍职工开展各项活动及定期开展教育培训，但因财政资金有困难，无法实施，导致有偏差。</w:t>
      </w:r>
    </w:p>
    <w:p w14:paraId="1178EC3C">
      <w:pPr>
        <w:spacing w:line="360" w:lineRule="auto"/>
        <w:ind w:firstLine="560"/>
        <w:rPr>
          <w:rFonts w:hint="eastAsia" w:ascii="仿宋_GB2312"/>
          <w:color w:val="auto"/>
          <w:szCs w:val="28"/>
          <w:highlight w:val="none"/>
        </w:rPr>
      </w:pPr>
      <w:r>
        <w:rPr>
          <w:rFonts w:hint="eastAsia" w:ascii="仿宋_GB2312"/>
          <w:color w:val="auto"/>
          <w:szCs w:val="28"/>
          <w:highlight w:val="none"/>
        </w:rPr>
        <w:t>情况，项目资金全部完成，得分为</w:t>
      </w:r>
      <w:r>
        <w:rPr>
          <w:rFonts w:hint="eastAsia" w:ascii="仿宋_GB2312"/>
          <w:color w:val="auto"/>
          <w:szCs w:val="28"/>
          <w:highlight w:val="none"/>
          <w:lang w:val="en-US" w:eastAsia="zh-CN"/>
        </w:rPr>
        <w:t>100分</w:t>
      </w:r>
      <w:r>
        <w:rPr>
          <w:rFonts w:hint="eastAsia" w:ascii="仿宋_GB2312"/>
          <w:color w:val="auto"/>
          <w:szCs w:val="28"/>
          <w:highlight w:val="none"/>
        </w:rPr>
        <w:t>。</w:t>
      </w:r>
    </w:p>
    <w:p w14:paraId="7595FFF0">
      <w:pPr>
        <w:pStyle w:val="4"/>
        <w:ind w:firstLine="643"/>
        <w:rPr>
          <w:rFonts w:ascii="仿宋" w:hAnsi="仿宋" w:eastAsia="仿宋"/>
          <w:color w:val="auto"/>
          <w:highlight w:val="none"/>
          <w:lang w:bidi="en-US"/>
        </w:rPr>
      </w:pPr>
      <w:bookmarkStart w:id="51" w:name="_Toc196487565"/>
      <w:r>
        <w:rPr>
          <w:rFonts w:ascii="仿宋" w:hAnsi="仿宋" w:eastAsia="仿宋"/>
          <w:color w:val="auto"/>
          <w:highlight w:val="none"/>
          <w:lang w:bidi="en-US"/>
        </w:rPr>
        <w:t>（四）项目效益</w:t>
      </w:r>
      <w:bookmarkEnd w:id="51"/>
    </w:p>
    <w:p w14:paraId="3BCEE282">
      <w:pPr>
        <w:spacing w:line="360" w:lineRule="auto"/>
        <w:ind w:firstLine="560"/>
        <w:rPr>
          <w:rFonts w:ascii="仿宋_GB2312"/>
          <w:color w:val="auto"/>
          <w:szCs w:val="28"/>
          <w:highlight w:val="none"/>
        </w:rPr>
      </w:pPr>
      <w:r>
        <w:rPr>
          <w:rFonts w:hint="eastAsia" w:ascii="仿宋_GB2312"/>
          <w:color w:val="auto"/>
          <w:szCs w:val="28"/>
          <w:highlight w:val="none"/>
        </w:rPr>
        <w:t>项目效益指标由</w:t>
      </w:r>
      <w:r>
        <w:rPr>
          <w:rFonts w:ascii="仿宋_GB2312"/>
          <w:color w:val="auto"/>
          <w:szCs w:val="28"/>
          <w:highlight w:val="none"/>
        </w:rPr>
        <w:t>1</w:t>
      </w:r>
      <w:r>
        <w:rPr>
          <w:rFonts w:hint="eastAsia" w:ascii="仿宋_GB2312"/>
          <w:color w:val="auto"/>
          <w:szCs w:val="28"/>
          <w:highlight w:val="none"/>
        </w:rPr>
        <w:t>个二级指标和</w:t>
      </w:r>
      <w:r>
        <w:rPr>
          <w:rFonts w:ascii="仿宋_GB2312"/>
          <w:color w:val="auto"/>
          <w:szCs w:val="28"/>
          <w:highlight w:val="none"/>
        </w:rPr>
        <w:t>2</w:t>
      </w:r>
      <w:r>
        <w:rPr>
          <w:rFonts w:hint="eastAsia" w:ascii="仿宋_GB2312"/>
          <w:color w:val="auto"/>
          <w:szCs w:val="28"/>
          <w:highlight w:val="none"/>
        </w:rPr>
        <w:t>个三级指标构成，权重为</w:t>
      </w:r>
      <w:r>
        <w:rPr>
          <w:rFonts w:ascii="仿宋_GB2312"/>
          <w:color w:val="auto"/>
          <w:szCs w:val="28"/>
          <w:highlight w:val="none"/>
        </w:rPr>
        <w:t>20</w:t>
      </w:r>
      <w:r>
        <w:rPr>
          <w:rFonts w:hint="eastAsia" w:ascii="仿宋_GB2312"/>
          <w:color w:val="auto"/>
          <w:szCs w:val="28"/>
          <w:highlight w:val="none"/>
        </w:rPr>
        <w:t>分，实际得分</w:t>
      </w:r>
      <w:r>
        <w:rPr>
          <w:rFonts w:hint="eastAsia" w:ascii="仿宋_GB2312"/>
          <w:color w:val="auto"/>
          <w:szCs w:val="28"/>
          <w:highlight w:val="none"/>
          <w:lang w:val="en-US" w:eastAsia="zh-CN"/>
        </w:rPr>
        <w:t>20</w:t>
      </w:r>
      <w:r>
        <w:rPr>
          <w:rFonts w:hint="eastAsia" w:ascii="仿宋_GB2312"/>
          <w:color w:val="auto"/>
          <w:szCs w:val="28"/>
          <w:highlight w:val="none"/>
        </w:rPr>
        <w:t>分。</w:t>
      </w:r>
      <w:r>
        <w:rPr>
          <w:rFonts w:ascii="仿宋_GB2312"/>
          <w:color w:val="auto"/>
          <w:szCs w:val="28"/>
          <w:highlight w:val="none"/>
        </w:rPr>
        <w:t xml:space="preserve"> </w:t>
      </w:r>
    </w:p>
    <w:p w14:paraId="73734B3E">
      <w:pPr>
        <w:spacing w:line="360" w:lineRule="auto"/>
        <w:ind w:firstLine="562"/>
        <w:rPr>
          <w:rFonts w:ascii="仿宋_GB2312"/>
          <w:b/>
          <w:bCs/>
          <w:color w:val="auto"/>
          <w:szCs w:val="28"/>
          <w:highlight w:val="none"/>
        </w:rPr>
      </w:pPr>
      <w:r>
        <w:rPr>
          <w:rFonts w:hint="eastAsia" w:ascii="仿宋_GB2312"/>
          <w:b/>
          <w:bCs/>
          <w:color w:val="auto"/>
          <w:szCs w:val="28"/>
          <w:highlight w:val="none"/>
        </w:rPr>
        <w:t>（1）实施效益</w:t>
      </w:r>
    </w:p>
    <w:p w14:paraId="02BD50B5">
      <w:pPr>
        <w:spacing w:line="360" w:lineRule="auto"/>
        <w:ind w:firstLine="562"/>
        <w:rPr>
          <w:rFonts w:ascii="仿宋_GB2312"/>
          <w:color w:val="auto"/>
          <w:szCs w:val="28"/>
          <w:highlight w:val="none"/>
        </w:rPr>
      </w:pPr>
      <w:r>
        <w:rPr>
          <w:rFonts w:hint="eastAsia" w:ascii="仿宋_GB2312"/>
          <w:b/>
          <w:bCs/>
          <w:color w:val="auto"/>
          <w:szCs w:val="28"/>
          <w:highlight w:val="none"/>
        </w:rPr>
        <w:t>经济效益指标：</w:t>
      </w:r>
      <w:r>
        <w:rPr>
          <w:rFonts w:hint="eastAsia" w:ascii="仿宋_GB2312"/>
          <w:color w:val="auto"/>
          <w:szCs w:val="28"/>
          <w:highlight w:val="none"/>
        </w:rPr>
        <w:t>不适用。</w:t>
      </w:r>
      <w:r>
        <w:rPr>
          <w:rFonts w:ascii="仿宋_GB2312"/>
          <w:color w:val="auto"/>
          <w:szCs w:val="28"/>
          <w:highlight w:val="none"/>
        </w:rPr>
        <w:t xml:space="preserve"> </w:t>
      </w:r>
    </w:p>
    <w:p w14:paraId="26653455">
      <w:pPr>
        <w:spacing w:line="600" w:lineRule="exact"/>
        <w:ind w:firstLine="562" w:firstLineChars="200"/>
        <w:outlineLvl w:val="0"/>
        <w:rPr>
          <w:rFonts w:hint="eastAsia" w:ascii="仿宋_GB2312"/>
          <w:color w:val="auto"/>
          <w:szCs w:val="28"/>
          <w:highlight w:val="none"/>
        </w:rPr>
      </w:pPr>
      <w:r>
        <w:rPr>
          <w:rFonts w:hint="eastAsia" w:ascii="仿宋_GB2312"/>
          <w:b/>
          <w:bCs/>
          <w:color w:val="auto"/>
          <w:szCs w:val="28"/>
          <w:highlight w:val="none"/>
        </w:rPr>
        <w:t>社会效益指标</w:t>
      </w:r>
      <w:r>
        <w:rPr>
          <w:rFonts w:hint="eastAsia" w:ascii="仿宋_GB2312"/>
          <w:color w:val="auto"/>
          <w:szCs w:val="28"/>
          <w:highlight w:val="none"/>
        </w:rPr>
        <w:t>：评价指标提高无军籍离退休人员荣誉感和社会地位</w:t>
      </w:r>
    </w:p>
    <w:p w14:paraId="1D34F959">
      <w:pPr>
        <w:spacing w:line="360" w:lineRule="auto"/>
        <w:ind w:firstLine="562"/>
        <w:rPr>
          <w:rFonts w:ascii="仿宋_GB2312"/>
          <w:color w:val="auto"/>
          <w:szCs w:val="28"/>
          <w:highlight w:val="none"/>
        </w:rPr>
      </w:pPr>
      <w:r>
        <w:rPr>
          <w:rFonts w:hint="eastAsia" w:ascii="仿宋_GB2312"/>
          <w:color w:val="auto"/>
          <w:szCs w:val="28"/>
          <w:highlight w:val="none"/>
        </w:rPr>
        <w:t>指标值：</w:t>
      </w:r>
      <w:r>
        <w:rPr>
          <w:rFonts w:hint="eastAsia" w:ascii="仿宋_GB2312"/>
          <w:color w:val="auto"/>
          <w:szCs w:val="28"/>
          <w:highlight w:val="none"/>
          <w:lang w:eastAsia="zh-CN"/>
        </w:rPr>
        <w:t>有效提高</w:t>
      </w:r>
      <w:r>
        <w:rPr>
          <w:rFonts w:hint="eastAsia" w:ascii="仿宋_GB2312"/>
          <w:color w:val="auto"/>
          <w:szCs w:val="28"/>
          <w:highlight w:val="none"/>
        </w:rPr>
        <w:t xml:space="preserve"> ，实际完成值：达成年度指标。本项目的实施***</w:t>
      </w:r>
    </w:p>
    <w:p w14:paraId="4C055BD0">
      <w:pPr>
        <w:spacing w:line="360" w:lineRule="auto"/>
        <w:ind w:firstLine="562"/>
        <w:rPr>
          <w:rFonts w:ascii="仿宋_GB2312"/>
          <w:color w:val="auto"/>
          <w:szCs w:val="28"/>
          <w:highlight w:val="none"/>
        </w:rPr>
      </w:pPr>
      <w:r>
        <w:rPr>
          <w:rFonts w:hint="eastAsia" w:ascii="仿宋_GB2312"/>
          <w:b/>
          <w:bCs/>
          <w:color w:val="auto"/>
          <w:szCs w:val="28"/>
          <w:highlight w:val="none"/>
        </w:rPr>
        <w:t>生态效益指标</w:t>
      </w:r>
      <w:r>
        <w:rPr>
          <w:rFonts w:hint="eastAsia" w:ascii="仿宋_GB2312"/>
          <w:color w:val="auto"/>
          <w:szCs w:val="28"/>
          <w:highlight w:val="none"/>
        </w:rPr>
        <w:t>：不适用。</w:t>
      </w:r>
    </w:p>
    <w:p w14:paraId="75627354">
      <w:pPr>
        <w:autoSpaceDE w:val="0"/>
        <w:spacing w:line="600" w:lineRule="exact"/>
        <w:ind w:firstLine="562"/>
        <w:rPr>
          <w:rFonts w:ascii="仿宋_GB2312" w:hAnsi="仿宋" w:cs="宋体"/>
          <w:b/>
          <w:color w:val="auto"/>
          <w:kern w:val="0"/>
          <w:szCs w:val="28"/>
          <w:highlight w:val="none"/>
        </w:rPr>
      </w:pPr>
      <w:r>
        <w:rPr>
          <w:rFonts w:hint="eastAsia" w:ascii="仿宋_GB2312" w:hAnsi="仿宋" w:cs="宋体"/>
          <w:b/>
          <w:color w:val="auto"/>
          <w:kern w:val="0"/>
          <w:szCs w:val="28"/>
          <w:highlight w:val="none"/>
        </w:rPr>
        <w:t>综上，该指标满分</w:t>
      </w:r>
      <w:r>
        <w:rPr>
          <w:rFonts w:ascii="仿宋_GB2312" w:hAnsi="仿宋" w:cs="宋体"/>
          <w:b/>
          <w:color w:val="auto"/>
          <w:kern w:val="0"/>
          <w:szCs w:val="28"/>
          <w:highlight w:val="none"/>
        </w:rPr>
        <w:t>10</w:t>
      </w:r>
      <w:r>
        <w:rPr>
          <w:rFonts w:hint="eastAsia" w:ascii="仿宋_GB2312" w:hAnsi="仿宋" w:cs="宋体"/>
          <w:b/>
          <w:color w:val="auto"/>
          <w:kern w:val="0"/>
          <w:szCs w:val="28"/>
          <w:highlight w:val="none"/>
        </w:rPr>
        <w:t>分，得分</w:t>
      </w:r>
      <w:r>
        <w:rPr>
          <w:rFonts w:hint="eastAsia" w:ascii="仿宋_GB2312" w:hAnsi="仿宋" w:cs="宋体"/>
          <w:b/>
          <w:color w:val="auto"/>
          <w:kern w:val="0"/>
          <w:szCs w:val="28"/>
          <w:highlight w:val="none"/>
          <w:lang w:val="en-US" w:eastAsia="zh-CN"/>
        </w:rPr>
        <w:t>10</w:t>
      </w:r>
      <w:r>
        <w:rPr>
          <w:rFonts w:hint="eastAsia" w:ascii="仿宋_GB2312" w:hAnsi="仿宋" w:cs="宋体"/>
          <w:b/>
          <w:color w:val="auto"/>
          <w:kern w:val="0"/>
          <w:szCs w:val="28"/>
          <w:highlight w:val="none"/>
        </w:rPr>
        <w:t>分。</w:t>
      </w:r>
    </w:p>
    <w:p w14:paraId="37BA4483">
      <w:pPr>
        <w:pStyle w:val="4"/>
        <w:ind w:firstLine="643"/>
        <w:rPr>
          <w:rFonts w:ascii="仿宋" w:hAnsi="仿宋" w:eastAsia="仿宋"/>
          <w:color w:val="auto"/>
          <w:highlight w:val="none"/>
          <w:lang w:bidi="en-US"/>
        </w:rPr>
      </w:pPr>
      <w:bookmarkStart w:id="52" w:name="_Toc196487566"/>
      <w:r>
        <w:rPr>
          <w:rFonts w:hint="eastAsia" w:ascii="仿宋" w:hAnsi="仿宋" w:eastAsia="仿宋"/>
          <w:color w:val="auto"/>
          <w:highlight w:val="none"/>
          <w:lang w:bidi="en-US"/>
        </w:rPr>
        <w:t>（五）</w:t>
      </w:r>
      <w:r>
        <w:rPr>
          <w:rFonts w:ascii="仿宋" w:hAnsi="仿宋" w:eastAsia="仿宋"/>
          <w:color w:val="auto"/>
          <w:highlight w:val="none"/>
          <w:lang w:bidi="en-US"/>
        </w:rPr>
        <w:t>满意度指标完成情况分析</w:t>
      </w:r>
      <w:bookmarkEnd w:id="52"/>
    </w:p>
    <w:p w14:paraId="2F0AF648">
      <w:pPr>
        <w:spacing w:line="360" w:lineRule="auto"/>
        <w:ind w:firstLine="562"/>
        <w:rPr>
          <w:rFonts w:ascii="仿宋_GB2312"/>
          <w:b/>
          <w:bCs/>
          <w:color w:val="auto"/>
          <w:szCs w:val="28"/>
          <w:highlight w:val="none"/>
        </w:rPr>
      </w:pPr>
      <w:r>
        <w:rPr>
          <w:rFonts w:hint="eastAsia" w:ascii="仿宋_GB2312"/>
          <w:b/>
          <w:bCs/>
          <w:color w:val="auto"/>
          <w:szCs w:val="28"/>
          <w:highlight w:val="none"/>
        </w:rPr>
        <w:t>（</w:t>
      </w:r>
      <w:r>
        <w:rPr>
          <w:rFonts w:ascii="仿宋_GB2312"/>
          <w:b/>
          <w:bCs/>
          <w:color w:val="auto"/>
          <w:szCs w:val="28"/>
          <w:highlight w:val="none"/>
        </w:rPr>
        <w:t>1</w:t>
      </w:r>
      <w:r>
        <w:rPr>
          <w:rFonts w:hint="eastAsia" w:ascii="仿宋_GB2312"/>
          <w:b/>
          <w:bCs/>
          <w:color w:val="auto"/>
          <w:szCs w:val="28"/>
          <w:highlight w:val="none"/>
        </w:rPr>
        <w:t>）满意度指标</w:t>
      </w:r>
      <w:r>
        <w:rPr>
          <w:rFonts w:hint="eastAsia" w:ascii="仿宋_GB2312"/>
          <w:color w:val="auto"/>
          <w:szCs w:val="28"/>
          <w:highlight w:val="none"/>
        </w:rPr>
        <w:t>无军籍离退休人员满意度</w:t>
      </w:r>
    </w:p>
    <w:p w14:paraId="29F21B57">
      <w:pPr>
        <w:spacing w:line="360" w:lineRule="auto"/>
        <w:ind w:firstLine="562"/>
        <w:rPr>
          <w:rFonts w:ascii="仿宋_GB2312"/>
          <w:color w:val="auto"/>
          <w:szCs w:val="28"/>
          <w:highlight w:val="none"/>
        </w:rPr>
      </w:pPr>
      <w:r>
        <w:rPr>
          <w:rFonts w:hint="eastAsia" w:ascii="仿宋_GB2312"/>
          <w:b/>
          <w:bCs/>
          <w:color w:val="auto"/>
          <w:szCs w:val="28"/>
          <w:highlight w:val="none"/>
        </w:rPr>
        <w:t>群众满意度：</w:t>
      </w:r>
      <w:r>
        <w:rPr>
          <w:rFonts w:hint="eastAsia" w:ascii="仿宋_GB2312"/>
          <w:color w:val="auto"/>
          <w:szCs w:val="28"/>
          <w:highlight w:val="none"/>
        </w:rPr>
        <w:t>评价指标“无军籍离退休人员满意度”，指标值：</w:t>
      </w:r>
      <w:r>
        <w:rPr>
          <w:rFonts w:hint="eastAsia" w:ascii="华文宋体" w:hAnsi="华文宋体" w:eastAsia="华文宋体"/>
          <w:color w:val="auto"/>
          <w:szCs w:val="28"/>
          <w:highlight w:val="none"/>
        </w:rPr>
        <w:t>≥</w:t>
      </w:r>
      <w:r>
        <w:rPr>
          <w:rFonts w:hint="eastAsia" w:ascii="华文宋体" w:hAnsi="华文宋体" w:eastAsia="华文宋体"/>
          <w:color w:val="auto"/>
          <w:szCs w:val="28"/>
          <w:highlight w:val="none"/>
          <w:lang w:val="en-US" w:eastAsia="zh-CN"/>
        </w:rPr>
        <w:t>95</w:t>
      </w:r>
      <w:r>
        <w:rPr>
          <w:rFonts w:hint="eastAsia" w:ascii="仿宋_GB2312"/>
          <w:color w:val="auto"/>
          <w:szCs w:val="28"/>
          <w:highlight w:val="none"/>
        </w:rPr>
        <w:t>%，实际完成值：</w:t>
      </w:r>
      <w:r>
        <w:rPr>
          <w:rFonts w:hint="eastAsia" w:ascii="华文宋体" w:hAnsi="华文宋体" w:eastAsia="华文宋体"/>
          <w:color w:val="auto"/>
          <w:szCs w:val="28"/>
          <w:highlight w:val="none"/>
        </w:rPr>
        <w:t>≥</w:t>
      </w:r>
      <w:r>
        <w:rPr>
          <w:rFonts w:hint="eastAsia" w:ascii="华文宋体" w:hAnsi="华文宋体" w:eastAsia="华文宋体"/>
          <w:color w:val="auto"/>
          <w:szCs w:val="28"/>
          <w:highlight w:val="none"/>
          <w:lang w:val="en-US" w:eastAsia="zh-CN"/>
        </w:rPr>
        <w:t>100</w:t>
      </w:r>
      <w:r>
        <w:rPr>
          <w:rFonts w:hint="eastAsia" w:ascii="仿宋_GB2312"/>
          <w:color w:val="auto"/>
          <w:szCs w:val="28"/>
          <w:highlight w:val="none"/>
        </w:rPr>
        <w:t>%。通过设置问卷调查的方式进行考评评价，共计调查样本总量为</w:t>
      </w:r>
      <w:r>
        <w:rPr>
          <w:rFonts w:hint="eastAsia" w:ascii="仿宋_GB2312"/>
          <w:color w:val="auto"/>
          <w:szCs w:val="28"/>
          <w:highlight w:val="none"/>
          <w:lang w:val="en-US" w:eastAsia="zh-CN"/>
        </w:rPr>
        <w:t>20</w:t>
      </w:r>
      <w:r>
        <w:rPr>
          <w:rFonts w:hint="eastAsia" w:ascii="仿宋_GB2312"/>
          <w:color w:val="auto"/>
          <w:szCs w:val="28"/>
          <w:highlight w:val="none"/>
        </w:rPr>
        <w:t>个样本，有效调查问卷</w:t>
      </w:r>
      <w:r>
        <w:rPr>
          <w:rFonts w:hint="eastAsia" w:ascii="仿宋_GB2312"/>
          <w:color w:val="auto"/>
          <w:szCs w:val="28"/>
          <w:highlight w:val="none"/>
          <w:lang w:val="en-US" w:eastAsia="zh-CN"/>
        </w:rPr>
        <w:t>20</w:t>
      </w:r>
      <w:r>
        <w:rPr>
          <w:rFonts w:hint="eastAsia" w:ascii="仿宋_GB2312"/>
          <w:color w:val="auto"/>
          <w:szCs w:val="28"/>
          <w:highlight w:val="none"/>
        </w:rPr>
        <w:t>份。其中，统计“</w:t>
      </w:r>
      <w:r>
        <w:rPr>
          <w:rFonts w:hint="eastAsia" w:ascii="仿宋_GB2312"/>
          <w:color w:val="auto"/>
          <w:szCs w:val="28"/>
          <w:highlight w:val="none"/>
          <w:lang w:val="en-US" w:eastAsia="zh-CN"/>
        </w:rPr>
        <w:t>20</w:t>
      </w:r>
      <w:r>
        <w:rPr>
          <w:rFonts w:hint="eastAsia" w:ascii="仿宋_GB2312"/>
          <w:color w:val="auto"/>
          <w:szCs w:val="28"/>
          <w:highlight w:val="none"/>
        </w:rPr>
        <w:t>”的平均值为</w:t>
      </w:r>
      <w:r>
        <w:rPr>
          <w:rFonts w:hint="eastAsia" w:ascii="仿宋_GB2312"/>
          <w:color w:val="auto"/>
          <w:szCs w:val="28"/>
          <w:highlight w:val="none"/>
          <w:lang w:val="en-US" w:eastAsia="zh-CN"/>
        </w:rPr>
        <w:t>100</w:t>
      </w:r>
      <w:r>
        <w:rPr>
          <w:rFonts w:hint="eastAsia" w:ascii="仿宋_GB2312"/>
          <w:color w:val="auto"/>
          <w:szCs w:val="28"/>
          <w:highlight w:val="none"/>
        </w:rPr>
        <w:t>%。故满意度指标得分为</w:t>
      </w:r>
      <w:r>
        <w:rPr>
          <w:rFonts w:hint="eastAsia" w:ascii="仿宋_GB2312"/>
          <w:color w:val="auto"/>
          <w:szCs w:val="28"/>
          <w:highlight w:val="none"/>
          <w:lang w:val="en-US" w:eastAsia="zh-CN"/>
        </w:rPr>
        <w:t>10</w:t>
      </w:r>
      <w:r>
        <w:rPr>
          <w:rFonts w:hint="eastAsia" w:ascii="仿宋_GB2312"/>
          <w:color w:val="auto"/>
          <w:szCs w:val="28"/>
          <w:highlight w:val="none"/>
        </w:rPr>
        <w:t>分。</w:t>
      </w:r>
    </w:p>
    <w:p w14:paraId="6773FC2F">
      <w:pPr>
        <w:autoSpaceDE w:val="0"/>
        <w:spacing w:line="600" w:lineRule="exact"/>
        <w:ind w:firstLine="562"/>
        <w:rPr>
          <w:rFonts w:ascii="仿宋_GB2312" w:hAnsi="仿宋" w:cs="宋体"/>
          <w:b/>
          <w:color w:val="auto"/>
          <w:kern w:val="0"/>
          <w:szCs w:val="28"/>
          <w:highlight w:val="none"/>
        </w:rPr>
      </w:pPr>
      <w:r>
        <w:rPr>
          <w:rFonts w:hint="eastAsia" w:ascii="仿宋_GB2312" w:hAnsi="仿宋" w:cs="宋体"/>
          <w:b/>
          <w:color w:val="auto"/>
          <w:kern w:val="0"/>
          <w:szCs w:val="28"/>
          <w:highlight w:val="none"/>
        </w:rPr>
        <w:t>综上，该指标满分</w:t>
      </w:r>
      <w:r>
        <w:rPr>
          <w:rFonts w:ascii="仿宋_GB2312" w:hAnsi="仿宋" w:cs="宋体"/>
          <w:b/>
          <w:color w:val="auto"/>
          <w:kern w:val="0"/>
          <w:szCs w:val="28"/>
          <w:highlight w:val="none"/>
        </w:rPr>
        <w:t>10</w:t>
      </w:r>
      <w:r>
        <w:rPr>
          <w:rFonts w:hint="eastAsia" w:ascii="仿宋_GB2312" w:hAnsi="仿宋" w:cs="宋体"/>
          <w:b/>
          <w:color w:val="auto"/>
          <w:kern w:val="0"/>
          <w:szCs w:val="28"/>
          <w:highlight w:val="none"/>
        </w:rPr>
        <w:t>分，得分</w:t>
      </w:r>
      <w:r>
        <w:rPr>
          <w:rFonts w:hint="eastAsia" w:ascii="仿宋_GB2312" w:hAnsi="仿宋" w:cs="宋体"/>
          <w:b/>
          <w:color w:val="auto"/>
          <w:kern w:val="0"/>
          <w:szCs w:val="28"/>
          <w:highlight w:val="none"/>
          <w:lang w:val="en-US" w:eastAsia="zh-CN"/>
        </w:rPr>
        <w:t>10</w:t>
      </w:r>
      <w:r>
        <w:rPr>
          <w:rFonts w:hint="eastAsia" w:ascii="仿宋_GB2312" w:hAnsi="仿宋" w:cs="宋体"/>
          <w:b/>
          <w:color w:val="auto"/>
          <w:kern w:val="0"/>
          <w:szCs w:val="28"/>
          <w:highlight w:val="none"/>
        </w:rPr>
        <w:t>分。</w:t>
      </w:r>
    </w:p>
    <w:p w14:paraId="5E380571">
      <w:pPr>
        <w:pStyle w:val="3"/>
        <w:ind w:firstLine="0" w:firstLineChars="0"/>
        <w:jc w:val="left"/>
        <w:rPr>
          <w:rFonts w:ascii="仿宋" w:hAnsi="仿宋" w:eastAsia="仿宋"/>
          <w:color w:val="auto"/>
          <w:sz w:val="36"/>
          <w:szCs w:val="36"/>
          <w:highlight w:val="none"/>
          <w:lang w:bidi="en-US"/>
        </w:rPr>
      </w:pPr>
      <w:bookmarkStart w:id="53" w:name="_Toc67911617"/>
      <w:bookmarkStart w:id="54" w:name="_Toc196487567"/>
      <w:r>
        <w:rPr>
          <w:rFonts w:hint="eastAsia" w:ascii="仿宋" w:hAnsi="仿宋" w:eastAsia="仿宋"/>
          <w:color w:val="auto"/>
          <w:sz w:val="36"/>
          <w:szCs w:val="36"/>
          <w:highlight w:val="none"/>
          <w:lang w:bidi="en-US"/>
        </w:rPr>
        <w:t>五、主要经验及做法、存在的问题及原因分析</w:t>
      </w:r>
      <w:bookmarkEnd w:id="53"/>
      <w:bookmarkEnd w:id="54"/>
    </w:p>
    <w:p w14:paraId="4271BEA9">
      <w:pPr>
        <w:pStyle w:val="4"/>
        <w:ind w:firstLine="643"/>
        <w:rPr>
          <w:rFonts w:ascii="仿宋" w:hAnsi="仿宋" w:eastAsia="仿宋"/>
          <w:color w:val="auto"/>
          <w:highlight w:val="none"/>
          <w:lang w:bidi="en-US"/>
        </w:rPr>
      </w:pPr>
      <w:bookmarkStart w:id="55" w:name="_Toc67911618"/>
      <w:bookmarkStart w:id="56" w:name="_Toc196487568"/>
      <w:r>
        <w:rPr>
          <w:rFonts w:hint="eastAsia" w:ascii="仿宋" w:hAnsi="仿宋" w:eastAsia="仿宋"/>
          <w:color w:val="auto"/>
          <w:highlight w:val="none"/>
          <w:lang w:bidi="en-US"/>
        </w:rPr>
        <w:t>（一）主要经验及做法</w:t>
      </w:r>
      <w:bookmarkEnd w:id="55"/>
      <w:bookmarkEnd w:id="56"/>
    </w:p>
    <w:p w14:paraId="4E93CF97">
      <w:pPr>
        <w:spacing w:line="360" w:lineRule="auto"/>
        <w:ind w:firstLine="562"/>
        <w:rPr>
          <w:rFonts w:hint="eastAsia" w:ascii="仿宋_GB2312"/>
          <w:color w:val="auto"/>
          <w:szCs w:val="28"/>
          <w:highlight w:val="none"/>
        </w:rPr>
      </w:pPr>
      <w:r>
        <w:rPr>
          <w:rFonts w:hint="eastAsia" w:ascii="仿宋_GB2312" w:hAnsi="仿宋" w:cs="宋体"/>
          <w:b/>
          <w:color w:val="auto"/>
          <w:kern w:val="0"/>
          <w:szCs w:val="28"/>
          <w:highlight w:val="none"/>
        </w:rPr>
        <w:t>1.</w:t>
      </w:r>
      <w:r>
        <w:rPr>
          <w:rFonts w:eastAsia="仿宋_GB2312"/>
          <w:color w:val="auto"/>
          <w:sz w:val="32"/>
          <w:szCs w:val="32"/>
          <w:highlight w:val="none"/>
        </w:rPr>
        <w:t>为</w:t>
      </w:r>
      <w:r>
        <w:rPr>
          <w:rFonts w:hint="eastAsia" w:ascii="仿宋_GB2312"/>
          <w:color w:val="auto"/>
          <w:szCs w:val="28"/>
          <w:highlight w:val="none"/>
        </w:rPr>
        <w:t>确保项目顺利进行，提前做好项目规划，将所列计划再三审核。在项目实施过程中做好定期监督检查，严格按照项目管理规范进行，在项目资金使用过程中，严格落实把关，按照项目资金使用范围做好审核工作，让项目资金落于实处。在项目完成后，做好受益群众民意调查及项目防范工作。</w:t>
      </w:r>
    </w:p>
    <w:p w14:paraId="376FEF6D">
      <w:pPr>
        <w:spacing w:line="360" w:lineRule="auto"/>
        <w:ind w:firstLine="562"/>
        <w:rPr>
          <w:rFonts w:hint="eastAsia" w:ascii="仿宋_GB2312"/>
          <w:color w:val="auto"/>
          <w:szCs w:val="28"/>
          <w:highlight w:val="none"/>
        </w:rPr>
      </w:pPr>
      <w:r>
        <w:rPr>
          <w:rFonts w:hint="eastAsia" w:ascii="仿宋_GB2312"/>
          <w:color w:val="auto"/>
          <w:szCs w:val="28"/>
          <w:highlight w:val="none"/>
        </w:rPr>
        <w:t>严格坚持先做事、再拨付的原则，基本杜绝了资金被挤占和挪用现象的发生，跟踪检查到位。财政、纪检、监察等职能部门全面参与专项资金事前、事中和事后全过程的监管。在监督环节上，实行关口前移，从事后监督管理转向事前审核，事中监督和事后检查稽核相结合的监督制度上来，形成多环节全过程的监督管理格局，尽量早发现问题，早解决问题。</w:t>
      </w:r>
    </w:p>
    <w:p w14:paraId="657715BD">
      <w:pPr>
        <w:spacing w:line="360" w:lineRule="auto"/>
        <w:ind w:firstLine="562"/>
        <w:rPr>
          <w:rFonts w:hint="eastAsia" w:ascii="仿宋_GB2312"/>
          <w:color w:val="auto"/>
          <w:szCs w:val="28"/>
          <w:highlight w:val="none"/>
        </w:rPr>
      </w:pPr>
      <w:r>
        <w:rPr>
          <w:rFonts w:hint="eastAsia" w:ascii="仿宋_GB2312"/>
          <w:color w:val="auto"/>
          <w:szCs w:val="28"/>
          <w:highlight w:val="none"/>
        </w:rPr>
        <w:t>阐述该项目在本年度执行中有哪些特色，是为了什么做，怎么做的，以及得到的感悟、启发和总结的规律，据实修改。</w:t>
      </w:r>
    </w:p>
    <w:p w14:paraId="2D31CA81">
      <w:pPr>
        <w:spacing w:line="360" w:lineRule="auto"/>
        <w:ind w:firstLine="562"/>
        <w:rPr>
          <w:rFonts w:hint="eastAsia" w:ascii="仿宋_GB2312"/>
          <w:color w:val="auto"/>
          <w:szCs w:val="28"/>
          <w:highlight w:val="none"/>
        </w:rPr>
      </w:pPr>
      <w:bookmarkStart w:id="57" w:name="_Toc196487569"/>
      <w:r>
        <w:rPr>
          <w:rFonts w:hint="eastAsia" w:ascii="仿宋_GB2312"/>
          <w:color w:val="auto"/>
          <w:szCs w:val="28"/>
          <w:highlight w:val="none"/>
        </w:rPr>
        <w:t>（二）存在的问题及原因分析</w:t>
      </w:r>
      <w:bookmarkEnd w:id="57"/>
    </w:p>
    <w:p w14:paraId="58A44637">
      <w:pPr>
        <w:spacing w:line="360" w:lineRule="auto"/>
        <w:ind w:firstLine="562"/>
        <w:rPr>
          <w:rFonts w:hint="eastAsia" w:ascii="仿宋_GB2312"/>
          <w:color w:val="auto"/>
          <w:szCs w:val="28"/>
          <w:highlight w:val="none"/>
        </w:rPr>
      </w:pPr>
      <w:r>
        <w:rPr>
          <w:rFonts w:hint="eastAsia" w:ascii="仿宋_GB2312"/>
          <w:color w:val="auto"/>
          <w:szCs w:val="28"/>
          <w:highlight w:val="none"/>
        </w:rPr>
        <w:t>1.1.相关绩效管理方面专业知识的系统性学习有待加强。各项指标的设置要进一步优化、完善，主要在细化、量化上改进。在绩效自评过程中，</w:t>
      </w:r>
      <w:r>
        <w:rPr>
          <w:rFonts w:hint="eastAsia" w:ascii="仿宋_GB2312"/>
          <w:color w:val="auto"/>
          <w:sz w:val="28"/>
          <w:szCs w:val="28"/>
          <w:highlight w:val="none"/>
          <w:lang w:val="en-US" w:eastAsia="zh-CN"/>
        </w:rPr>
        <w:t>由于部分人员</w:t>
      </w:r>
      <w:r>
        <w:rPr>
          <w:rFonts w:hint="eastAsia" w:ascii="仿宋_GB2312"/>
          <w:color w:val="auto"/>
          <w:szCs w:val="28"/>
          <w:highlight w:val="none"/>
        </w:rPr>
        <w:t>缺乏相关绩效管理专业知识，自评价工作还存在自我审定的局限性，影响评价质量。</w:t>
      </w:r>
    </w:p>
    <w:p w14:paraId="570A0EED">
      <w:pPr>
        <w:spacing w:line="360" w:lineRule="auto"/>
        <w:ind w:firstLine="562"/>
        <w:rPr>
          <w:rFonts w:hint="eastAsia" w:ascii="仿宋_GB2312"/>
          <w:color w:val="auto"/>
          <w:szCs w:val="28"/>
          <w:highlight w:val="none"/>
        </w:rPr>
      </w:pPr>
      <w:r>
        <w:rPr>
          <w:rFonts w:hint="eastAsia" w:ascii="仿宋_GB2312"/>
          <w:color w:val="auto"/>
          <w:szCs w:val="28"/>
          <w:highlight w:val="none"/>
        </w:rPr>
        <w:t>2.因轮岗、调动、等因素使我单位绩效工作人员流动频繁，造成了工作衔接不到位的情况。</w:t>
      </w:r>
    </w:p>
    <w:p w14:paraId="749B8C2D">
      <w:pPr>
        <w:spacing w:line="360" w:lineRule="auto"/>
        <w:ind w:firstLine="562"/>
        <w:rPr>
          <w:rFonts w:hint="eastAsia" w:ascii="仿宋_GB2312"/>
          <w:color w:val="auto"/>
          <w:szCs w:val="28"/>
          <w:highlight w:val="none"/>
        </w:rPr>
      </w:pPr>
    </w:p>
    <w:p w14:paraId="401FFDF6">
      <w:pPr>
        <w:spacing w:line="360" w:lineRule="auto"/>
        <w:ind w:firstLine="562"/>
        <w:rPr>
          <w:rFonts w:hint="eastAsia" w:ascii="仿宋_GB2312"/>
          <w:color w:val="auto"/>
          <w:szCs w:val="28"/>
          <w:highlight w:val="none"/>
        </w:rPr>
      </w:pPr>
      <w:r>
        <w:rPr>
          <w:rFonts w:hint="eastAsia" w:ascii="仿宋_GB2312"/>
          <w:color w:val="auto"/>
          <w:szCs w:val="28"/>
          <w:highlight w:val="none"/>
        </w:rPr>
        <w:t>突出问题导向，在项目执行过程中遇到的目标设定较高或者较低；项目实施的监督管理力度不够；管理制度不健全，遇到的问题无法解决等，据实修改。</w:t>
      </w:r>
    </w:p>
    <w:p w14:paraId="07B60BE4">
      <w:pPr>
        <w:spacing w:line="360" w:lineRule="auto"/>
        <w:ind w:firstLine="562"/>
        <w:rPr>
          <w:rFonts w:hint="eastAsia" w:ascii="仿宋_GB2312"/>
          <w:color w:val="auto"/>
          <w:szCs w:val="28"/>
          <w:highlight w:val="none"/>
        </w:rPr>
      </w:pPr>
      <w:bookmarkStart w:id="58" w:name="_Toc67911620"/>
      <w:bookmarkStart w:id="59" w:name="_Toc196487570"/>
      <w:bookmarkStart w:id="60" w:name="_Toc67911619"/>
      <w:r>
        <w:rPr>
          <w:rFonts w:hint="eastAsia" w:ascii="仿宋_GB2312"/>
          <w:color w:val="auto"/>
          <w:szCs w:val="28"/>
          <w:highlight w:val="none"/>
        </w:rPr>
        <w:t>六、有关建议</w:t>
      </w:r>
      <w:bookmarkEnd w:id="58"/>
      <w:r>
        <w:rPr>
          <w:rFonts w:hint="eastAsia" w:ascii="仿宋_GB2312"/>
          <w:color w:val="auto"/>
          <w:szCs w:val="28"/>
          <w:highlight w:val="none"/>
        </w:rPr>
        <w:t>1.多进行有关绩效管理工作方面的培训。积极组织第三方开展绩效管理工作培训，进一步夯实业务基础，提高我单位绩效人员水平。</w:t>
      </w:r>
    </w:p>
    <w:p w14:paraId="0BC9AC88">
      <w:pPr>
        <w:spacing w:line="360" w:lineRule="auto"/>
        <w:ind w:firstLine="562"/>
        <w:rPr>
          <w:rFonts w:hint="eastAsia" w:ascii="仿宋_GB2312"/>
          <w:color w:val="auto"/>
          <w:szCs w:val="28"/>
          <w:highlight w:val="none"/>
        </w:rPr>
      </w:pPr>
      <w:r>
        <w:rPr>
          <w:rFonts w:hint="eastAsia" w:ascii="仿宋_GB2312"/>
          <w:color w:val="auto"/>
          <w:szCs w:val="28"/>
          <w:highlight w:val="none"/>
        </w:rPr>
        <w:t>2.专门设定对绩效工作人员定职、定岗、定责等相关制度措施，进一步提升我单位绩效管理工作业务水平，扎实做好绩效管理工作。</w:t>
      </w:r>
    </w:p>
    <w:p w14:paraId="352A2C9C">
      <w:pPr>
        <w:spacing w:line="360" w:lineRule="auto"/>
        <w:ind w:firstLine="562"/>
        <w:rPr>
          <w:rFonts w:hint="eastAsia" w:ascii="仿宋_GB2312"/>
          <w:color w:val="auto"/>
          <w:szCs w:val="28"/>
          <w:highlight w:val="none"/>
        </w:rPr>
      </w:pPr>
      <w:r>
        <w:rPr>
          <w:rFonts w:hint="eastAsia" w:ascii="仿宋_GB2312"/>
          <w:color w:val="auto"/>
          <w:szCs w:val="28"/>
          <w:highlight w:val="none"/>
        </w:rPr>
        <w:t>3.进一步规范项目建设的程序。项目前期做好可行性研究报告，更加细化实施方案，严格执行资金管理办法和财政资金管理制度，严格按照项目实施方案、招投标管理办法等稳步推进工作，各部门单位根据自己项目的特点进行总结。</w:t>
      </w:r>
    </w:p>
    <w:p w14:paraId="5180B8E5">
      <w:pPr>
        <w:spacing w:line="360" w:lineRule="auto"/>
        <w:ind w:firstLine="562"/>
        <w:rPr>
          <w:rFonts w:hint="eastAsia" w:ascii="仿宋_GB2312"/>
          <w:color w:val="auto"/>
          <w:szCs w:val="28"/>
          <w:highlight w:val="none"/>
        </w:rPr>
      </w:pPr>
      <w:r>
        <w:rPr>
          <w:rFonts w:hint="eastAsia" w:ascii="仿宋_GB2312"/>
          <w:color w:val="auto"/>
          <w:szCs w:val="28"/>
          <w:highlight w:val="none"/>
        </w:rPr>
        <w:t>4.进一步完善项目评价过程中有关数据和资料的收集、整理、审核及分析。项目启动时同步做好档案的归纳与整理，及时整理、收集、汇总，健全档案资料。项目后续管理有待进一步加强和跟踪。</w:t>
      </w:r>
    </w:p>
    <w:p w14:paraId="3F665925">
      <w:pPr>
        <w:spacing w:line="360" w:lineRule="auto"/>
        <w:ind w:firstLine="562"/>
        <w:rPr>
          <w:rFonts w:hint="eastAsia" w:ascii="仿宋_GB2312"/>
          <w:color w:val="auto"/>
          <w:szCs w:val="28"/>
          <w:highlight w:val="none"/>
        </w:rPr>
      </w:pPr>
      <w:r>
        <w:rPr>
          <w:rFonts w:hint="eastAsia" w:ascii="仿宋_GB2312"/>
          <w:color w:val="auto"/>
          <w:szCs w:val="28"/>
          <w:highlight w:val="none"/>
        </w:rPr>
        <w:t>5.进一步加强对绩效管理工作的组织领导，提高对预算绩效管理工作重要性的认识，总结经验查找问题，抓紧研究制定更全面更完善的绩效评价管理办法。结合食品安全考核建立绩效工作考核制度，加大全局对全面实施预算绩效管理和绩效管理工作的学习力度，让“花钱必问效，无效必问责”的理念深入工作每个环节。</w:t>
      </w:r>
    </w:p>
    <w:p w14:paraId="182D05E8">
      <w:pPr>
        <w:spacing w:line="360" w:lineRule="auto"/>
        <w:ind w:firstLine="562"/>
        <w:rPr>
          <w:rFonts w:hint="eastAsia" w:ascii="仿宋_GB2312"/>
          <w:color w:val="auto"/>
          <w:szCs w:val="28"/>
          <w:highlight w:val="none"/>
        </w:rPr>
      </w:pPr>
      <w:r>
        <w:rPr>
          <w:color w:val="auto"/>
          <w:highlight w:val="none"/>
        </w:rPr>
        <w:br w:type="page"/>
      </w:r>
      <w:bookmarkEnd w:id="59"/>
    </w:p>
    <w:p w14:paraId="780A02A7">
      <w:pPr>
        <w:spacing w:line="360" w:lineRule="auto"/>
        <w:ind w:firstLine="562"/>
        <w:rPr>
          <w:rFonts w:hint="eastAsia" w:ascii="仿宋_GB2312"/>
          <w:color w:val="auto"/>
          <w:szCs w:val="28"/>
          <w:highlight w:val="none"/>
        </w:rPr>
      </w:pPr>
    </w:p>
    <w:p w14:paraId="0C08CD4D">
      <w:pPr>
        <w:pStyle w:val="3"/>
        <w:ind w:firstLine="0" w:firstLineChars="0"/>
        <w:jc w:val="left"/>
        <w:rPr>
          <w:rFonts w:ascii="仿宋" w:hAnsi="仿宋" w:eastAsia="仿宋"/>
          <w:color w:val="auto"/>
          <w:sz w:val="36"/>
          <w:szCs w:val="36"/>
          <w:highlight w:val="none"/>
          <w:lang w:bidi="en-US"/>
        </w:rPr>
      </w:pPr>
      <w:bookmarkStart w:id="61" w:name="_Toc196487571"/>
      <w:r>
        <w:rPr>
          <w:rFonts w:hint="eastAsia" w:ascii="仿宋" w:hAnsi="仿宋" w:eastAsia="仿宋"/>
          <w:color w:val="auto"/>
          <w:sz w:val="36"/>
          <w:szCs w:val="36"/>
          <w:highlight w:val="none"/>
          <w:lang w:bidi="en-US"/>
        </w:rPr>
        <w:t>七、其他需要说明的问题</w:t>
      </w:r>
      <w:bookmarkEnd w:id="60"/>
      <w:bookmarkEnd w:id="61"/>
    </w:p>
    <w:p w14:paraId="74DA1FE2">
      <w:pPr>
        <w:spacing w:line="360" w:lineRule="auto"/>
        <w:ind w:firstLine="560"/>
        <w:rPr>
          <w:rFonts w:ascii="仿宋_GB2312"/>
          <w:color w:val="auto"/>
          <w:szCs w:val="28"/>
          <w:highlight w:val="none"/>
        </w:rPr>
      </w:pPr>
      <w:r>
        <w:rPr>
          <w:rFonts w:hint="eastAsia" w:ascii="仿宋_GB2312"/>
          <w:color w:val="auto"/>
          <w:szCs w:val="28"/>
          <w:highlight w:val="none"/>
        </w:rPr>
        <w:t>1</w:t>
      </w:r>
      <w:r>
        <w:rPr>
          <w:rFonts w:ascii="仿宋_GB2312"/>
          <w:color w:val="auto"/>
          <w:szCs w:val="28"/>
          <w:highlight w:val="none"/>
        </w:rPr>
        <w:t>.</w:t>
      </w:r>
      <w:r>
        <w:rPr>
          <w:rFonts w:hint="eastAsia" w:ascii="仿宋_GB2312"/>
          <w:color w:val="auto"/>
          <w:szCs w:val="28"/>
          <w:highlight w:val="none"/>
        </w:rPr>
        <w:t>项目支出政策和路径设计科学，符合实际需要；</w:t>
      </w:r>
    </w:p>
    <w:p w14:paraId="2548837B">
      <w:pPr>
        <w:spacing w:line="360" w:lineRule="auto"/>
        <w:ind w:firstLine="560"/>
        <w:rPr>
          <w:rFonts w:ascii="仿宋_GB2312"/>
          <w:color w:val="auto"/>
          <w:szCs w:val="28"/>
          <w:highlight w:val="none"/>
        </w:rPr>
      </w:pPr>
      <w:r>
        <w:rPr>
          <w:rFonts w:ascii="仿宋_GB2312"/>
          <w:color w:val="auto"/>
          <w:szCs w:val="28"/>
          <w:highlight w:val="none"/>
        </w:rPr>
        <w:t>2.</w:t>
      </w:r>
      <w:r>
        <w:rPr>
          <w:rFonts w:hint="eastAsia" w:ascii="仿宋_GB2312"/>
          <w:color w:val="auto"/>
          <w:szCs w:val="28"/>
          <w:highlight w:val="none"/>
        </w:rPr>
        <w:t>项目安排准确，未发现背离项目立项初衷的情况；</w:t>
      </w:r>
    </w:p>
    <w:p w14:paraId="76DAA070">
      <w:pPr>
        <w:spacing w:line="360" w:lineRule="auto"/>
        <w:ind w:firstLine="560"/>
        <w:rPr>
          <w:rFonts w:ascii="仿宋_GB2312"/>
          <w:color w:val="auto"/>
          <w:szCs w:val="28"/>
          <w:highlight w:val="none"/>
        </w:rPr>
      </w:pPr>
      <w:r>
        <w:rPr>
          <w:rFonts w:ascii="仿宋_GB2312"/>
          <w:color w:val="auto"/>
          <w:szCs w:val="28"/>
          <w:highlight w:val="none"/>
        </w:rPr>
        <w:t>3.</w:t>
      </w:r>
      <w:r>
        <w:rPr>
          <w:rFonts w:hint="eastAsia" w:ascii="仿宋_GB2312"/>
          <w:color w:val="auto"/>
          <w:szCs w:val="28"/>
          <w:highlight w:val="none"/>
        </w:rPr>
        <w:t>项目的申报、审核机制完善；</w:t>
      </w:r>
    </w:p>
    <w:p w14:paraId="224C05AB">
      <w:pPr>
        <w:spacing w:line="360" w:lineRule="auto"/>
        <w:ind w:firstLine="560"/>
        <w:rPr>
          <w:rFonts w:ascii="仿宋_GB2312"/>
          <w:color w:val="auto"/>
          <w:szCs w:val="28"/>
          <w:highlight w:val="none"/>
        </w:rPr>
      </w:pPr>
      <w:r>
        <w:rPr>
          <w:rFonts w:ascii="仿宋_GB2312"/>
          <w:color w:val="auto"/>
          <w:szCs w:val="28"/>
          <w:highlight w:val="none"/>
        </w:rPr>
        <w:t>4.</w:t>
      </w:r>
      <w:r>
        <w:rPr>
          <w:rFonts w:hint="eastAsia" w:ascii="仿宋_GB2312"/>
          <w:color w:val="auto"/>
          <w:szCs w:val="28"/>
          <w:highlight w:val="none"/>
        </w:rPr>
        <w:t>未发现虚假行为和骗取财政资金的问题。</w:t>
      </w:r>
    </w:p>
    <w:p w14:paraId="211D419D">
      <w:pPr>
        <w:spacing w:line="360" w:lineRule="auto"/>
        <w:ind w:firstLine="560"/>
        <w:rPr>
          <w:rFonts w:ascii="仿宋_GB2312"/>
          <w:color w:val="auto"/>
          <w:szCs w:val="28"/>
          <w:highlight w:val="none"/>
        </w:rPr>
      </w:pPr>
    </w:p>
    <w:sectPr>
      <w:headerReference r:id="rId13" w:type="default"/>
      <w:footerReference r:id="rId14" w:type="default"/>
      <w:footnotePr>
        <w:numFmt w:val="decimalEnclosedCircleChinese"/>
        <w:numRestart w:val="eachPage"/>
      </w:footnotePr>
      <w:type w:val="continuous"/>
      <w:pgSz w:w="11906" w:h="16838"/>
      <w:pgMar w:top="1440" w:right="1800" w:bottom="1440" w:left="1800" w:header="992" w:footer="992" w:gutter="0"/>
      <w:cols w:space="425" w:num="1"/>
      <w:docGrid w:type="lines" w:linePitch="381"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ind w:firstLine="560"/>
      </w:pPr>
      <w:r>
        <w:separator/>
      </w:r>
    </w:p>
  </w:endnote>
  <w:endnote w:type="continuationSeparator" w:id="1">
    <w:p>
      <w:pPr>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0F28C7EC-E4E8-4658-B200-423CE3D71E0E}"/>
  </w:font>
  <w:font w:name="黑体">
    <w:panose1 w:val="02010609060101010101"/>
    <w:charset w:val="86"/>
    <w:family w:val="auto"/>
    <w:pitch w:val="default"/>
    <w:sig w:usb0="800002BF" w:usb1="38CF7CFA" w:usb2="00000016" w:usb3="00000000" w:csb0="00040001" w:csb1="00000000"/>
    <w:embedRegular r:id="rId2" w:fontKey="{92185B7A-FD3B-402B-9C1E-40A2E788991E}"/>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3" w:fontKey="{23E20C1E-B819-42C9-BA5A-ABFD09547D2D}"/>
  </w:font>
  <w:font w:name="仿宋_GB2312">
    <w:altName w:val="仿宋"/>
    <w:panose1 w:val="02010609030101010101"/>
    <w:charset w:val="86"/>
    <w:family w:val="modern"/>
    <w:pitch w:val="default"/>
    <w:sig w:usb0="00000000" w:usb1="00000000" w:usb2="00000000" w:usb3="00000000" w:csb0="00040000" w:csb1="00000000"/>
    <w:embedRegular r:id="rId4" w:fontKey="{53D48E38-96B7-459C-B5F3-E9B2FA620905}"/>
  </w:font>
  <w:font w:name="等线 Light">
    <w:panose1 w:val="02010600030101010101"/>
    <w:charset w:val="86"/>
    <w:family w:val="auto"/>
    <w:pitch w:val="default"/>
    <w:sig w:usb0="A00002BF" w:usb1="38CF7CFA" w:usb2="00000016" w:usb3="00000000" w:csb0="0004000F" w:csb1="00000000"/>
  </w:font>
  <w:font w:name="等线">
    <w:panose1 w:val="02010600030101010101"/>
    <w:charset w:val="86"/>
    <w:family w:val="auto"/>
    <w:pitch w:val="default"/>
    <w:sig w:usb0="A00002BF" w:usb1="38CF7CFA" w:usb2="00000016" w:usb3="00000000" w:csb0="0004000F" w:csb1="00000000"/>
    <w:embedRegular r:id="rId5" w:fontKey="{08AC6248-0C0F-40F6-9EF1-DD945C100D87}"/>
  </w:font>
  <w:font w:name="方正黑体_GBK">
    <w:panose1 w:val="02010600010101010101"/>
    <w:charset w:val="86"/>
    <w:family w:val="auto"/>
    <w:pitch w:val="default"/>
    <w:sig w:usb0="00000001" w:usb1="080E0000" w:usb2="00000000" w:usb3="00000000" w:csb0="00040000" w:csb1="00000000"/>
    <w:embedRegular r:id="rId6" w:fontKey="{B4FE1718-6677-4005-B36B-3EF130E6FE39}"/>
  </w:font>
  <w:font w:name="仿宋">
    <w:panose1 w:val="02010609060101010101"/>
    <w:charset w:val="86"/>
    <w:family w:val="modern"/>
    <w:pitch w:val="default"/>
    <w:sig w:usb0="800002BF" w:usb1="38CF7CFA" w:usb2="00000016" w:usb3="00000000" w:csb0="00040001" w:csb1="00000000"/>
    <w:embedRegular r:id="rId7" w:fontKey="{9EF6F476-081C-412E-8FAB-F33CA3E475C6}"/>
  </w:font>
  <w:font w:name="sans-serif">
    <w:altName w:val="Segoe Print"/>
    <w:panose1 w:val="00000000000000000000"/>
    <w:charset w:val="00"/>
    <w:family w:val="auto"/>
    <w:pitch w:val="default"/>
    <w:sig w:usb0="00000000" w:usb1="00000000" w:usb2="00000000" w:usb3="00000000" w:csb0="00000000" w:csb1="00000000"/>
    <w:embedRegular r:id="rId8" w:fontKey="{C4B48A14-894A-486F-B19E-E235CCF9EF77}"/>
  </w:font>
  <w:font w:name="Segoe Print">
    <w:panose1 w:val="02000600000000000000"/>
    <w:charset w:val="00"/>
    <w:family w:val="auto"/>
    <w:pitch w:val="default"/>
    <w:sig w:usb0="0000028F" w:usb1="00000000" w:usb2="00000000" w:usb3="00000000" w:csb0="2000009F" w:csb1="47010000"/>
  </w:font>
  <w:font w:name="Gungsuh">
    <w:altName w:val="Malgun Gothic"/>
    <w:panose1 w:val="02030600000101010101"/>
    <w:charset w:val="81"/>
    <w:family w:val="roman"/>
    <w:pitch w:val="default"/>
    <w:sig w:usb0="00000000" w:usb1="00000000" w:usb2="00000030" w:usb3="00000000" w:csb0="4008009F" w:csb1="DFD70000"/>
    <w:embedRegular r:id="rId9" w:fontKey="{513028C9-B732-4132-BDAE-42F9F8B64317}"/>
  </w:font>
  <w:font w:name="Malgun Gothic">
    <w:panose1 w:val="020B0503020000020004"/>
    <w:charset w:val="81"/>
    <w:family w:val="auto"/>
    <w:pitch w:val="default"/>
    <w:sig w:usb0="9000002F" w:usb1="29D77CFB" w:usb2="00000012" w:usb3="00000000" w:csb0="00080001" w:csb1="00000000"/>
  </w:font>
  <w:font w:name="华文宋体">
    <w:altName w:val="华文宋体"/>
    <w:panose1 w:val="02010600040101010101"/>
    <w:charset w:val="86"/>
    <w:family w:val="auto"/>
    <w:pitch w:val="default"/>
    <w:sig w:usb0="00000287" w:usb1="080F0000" w:usb2="00000000" w:usb3="00000000" w:csb0="0004009F" w:csb1="DFD70000"/>
    <w:embedRegular r:id="rId10" w:fontKey="{3A310EEF-C146-44AA-9ADB-570FA6ABF57E}"/>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Arial">
    <w:panose1 w:val="020B0604020202020204"/>
    <w:charset w:val="00"/>
    <w:family w:val="auto"/>
    <w:pitch w:val="default"/>
    <w:sig w:usb0="E0002EFF" w:usb1="C000785B" w:usb2="00000009" w:usb3="00000000" w:csb0="400001FF" w:csb1="FFFF0000"/>
    <w:embedRegular r:id="rId11" w:fontKey="{D77DA901-2B96-429D-8EFA-21902A4B4FA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72C0B7">
    <w:pPr>
      <w:pStyle w:val="1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0A84A8E">
    <w:pPr>
      <w:pStyle w:val="1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09389D">
    <w:pPr>
      <w:pStyle w:val="1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76182009"/>
      <w:docPartObj>
        <w:docPartGallery w:val="autotext"/>
      </w:docPartObj>
    </w:sdtPr>
    <w:sdtEndPr>
      <w:rPr>
        <w:rFonts w:hint="eastAsia" w:ascii="仿宋_GB2312" w:eastAsia="仿宋_GB2312"/>
        <w:sz w:val="21"/>
        <w:szCs w:val="21"/>
      </w:rPr>
    </w:sdtEndPr>
    <w:sdtContent>
      <w:p w14:paraId="5D4E04CC">
        <w:pPr>
          <w:pStyle w:val="10"/>
          <w:ind w:firstLine="560"/>
          <w:jc w:val="center"/>
          <w:rPr>
            <w:rFonts w:ascii="仿宋_GB2312" w:eastAsia="仿宋_GB2312"/>
            <w:sz w:val="21"/>
            <w:szCs w:val="21"/>
          </w:rPr>
        </w:pPr>
        <w:r>
          <w:rPr>
            <w:rFonts w:hint="eastAsia" w:ascii="仿宋_GB2312" w:eastAsia="仿宋_GB2312"/>
            <w:sz w:val="21"/>
            <w:szCs w:val="21"/>
          </w:rPr>
          <w:fldChar w:fldCharType="begin"/>
        </w:r>
        <w:r>
          <w:rPr>
            <w:rFonts w:hint="eastAsia" w:ascii="仿宋_GB2312" w:eastAsia="仿宋_GB2312"/>
            <w:sz w:val="21"/>
            <w:szCs w:val="21"/>
          </w:rPr>
          <w:instrText xml:space="preserve">PAGE   \* MERGEFORMAT</w:instrText>
        </w:r>
        <w:r>
          <w:rPr>
            <w:rFonts w:hint="eastAsia" w:ascii="仿宋_GB2312" w:eastAsia="仿宋_GB2312"/>
            <w:sz w:val="21"/>
            <w:szCs w:val="21"/>
          </w:rPr>
          <w:fldChar w:fldCharType="separate"/>
        </w:r>
        <w:r>
          <w:rPr>
            <w:rFonts w:ascii="仿宋_GB2312" w:eastAsia="仿宋_GB2312"/>
            <w:sz w:val="21"/>
            <w:szCs w:val="21"/>
            <w:lang w:val="zh-CN"/>
          </w:rPr>
          <w:t>1</w:t>
        </w:r>
        <w:r>
          <w:rPr>
            <w:rFonts w:hint="eastAsia" w:ascii="仿宋_GB2312" w:eastAsia="仿宋_GB2312"/>
            <w:sz w:val="21"/>
            <w:szCs w:val="21"/>
          </w:rPr>
          <w:fldChar w:fldCharType="end"/>
        </w:r>
      </w:p>
    </w:sdtContent>
  </w:sdt>
  <w:p w14:paraId="15F1C33C">
    <w:pPr>
      <w:pStyle w:val="10"/>
      <w:rPr>
        <w:rFonts w:ascii="仿宋_GB2312" w:eastAsia="仿宋_GB2312"/>
        <w:sz w:val="21"/>
        <w:szCs w:val="21"/>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691836155"/>
      <w:docPartObj>
        <w:docPartGallery w:val="autotext"/>
      </w:docPartObj>
    </w:sdtPr>
    <w:sdtEndPr>
      <w:rPr>
        <w:rFonts w:hint="eastAsia" w:ascii="仿宋_GB2312" w:eastAsia="仿宋_GB2312"/>
        <w:sz w:val="21"/>
        <w:szCs w:val="21"/>
      </w:rPr>
    </w:sdtEndPr>
    <w:sdtContent>
      <w:p w14:paraId="4CCF09B9">
        <w:pPr>
          <w:pStyle w:val="10"/>
          <w:ind w:firstLine="560"/>
          <w:jc w:val="center"/>
          <w:rPr>
            <w:rFonts w:ascii="仿宋_GB2312" w:eastAsia="仿宋_GB2312"/>
            <w:sz w:val="21"/>
            <w:szCs w:val="21"/>
          </w:rPr>
        </w:pPr>
        <w:r>
          <w:rPr>
            <w:rFonts w:hint="eastAsia" w:ascii="仿宋_GB2312" w:eastAsia="仿宋_GB2312"/>
            <w:sz w:val="21"/>
            <w:szCs w:val="21"/>
          </w:rPr>
          <w:fldChar w:fldCharType="begin"/>
        </w:r>
        <w:r>
          <w:rPr>
            <w:rFonts w:hint="eastAsia" w:ascii="仿宋_GB2312" w:eastAsia="仿宋_GB2312"/>
            <w:sz w:val="21"/>
            <w:szCs w:val="21"/>
          </w:rPr>
          <w:instrText xml:space="preserve">PAGE   \* MERGEFORMAT</w:instrText>
        </w:r>
        <w:r>
          <w:rPr>
            <w:rFonts w:hint="eastAsia" w:ascii="仿宋_GB2312" w:eastAsia="仿宋_GB2312"/>
            <w:sz w:val="21"/>
            <w:szCs w:val="21"/>
          </w:rPr>
          <w:fldChar w:fldCharType="separate"/>
        </w:r>
        <w:r>
          <w:rPr>
            <w:rFonts w:ascii="仿宋_GB2312" w:eastAsia="仿宋_GB2312"/>
            <w:sz w:val="21"/>
            <w:szCs w:val="21"/>
            <w:lang w:val="zh-CN"/>
          </w:rPr>
          <w:t>18</w:t>
        </w:r>
        <w:r>
          <w:rPr>
            <w:rFonts w:hint="eastAsia" w:ascii="仿宋_GB2312" w:eastAsia="仿宋_GB2312"/>
            <w:sz w:val="21"/>
            <w:szCs w:val="21"/>
          </w:rPr>
          <w:fldChar w:fldCharType="end"/>
        </w:r>
      </w:p>
    </w:sdtContent>
  </w:sdt>
  <w:p w14:paraId="6867F6A1">
    <w:pPr>
      <w:pStyle w:val="10"/>
      <w:rPr>
        <w:rFonts w:ascii="仿宋_GB2312" w:eastAsia="仿宋_GB2312"/>
        <w:sz w:val="21"/>
        <w:szCs w:val="21"/>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2">
    <w:p>
      <w:pPr>
        <w:ind w:firstLine="560"/>
      </w:pPr>
      <w:r>
        <w:separator/>
      </w:r>
    </w:p>
  </w:footnote>
  <w:footnote w:type="continuationSeparator" w:id="3">
    <w:p>
      <w:pPr>
        <w:ind w:firstLine="560"/>
      </w:pPr>
      <w:r>
        <w:continuationSeparator/>
      </w:r>
    </w:p>
  </w:footnote>
  <w:footnote w:id="0">
    <w:p w14:paraId="1BD82F94">
      <w:pPr>
        <w:pStyle w:val="13"/>
        <w:ind w:firstLine="0" w:firstLineChars="0"/>
        <w:jc w:val="both"/>
        <w:rPr>
          <w:rFonts w:ascii="仿宋_GB2312"/>
        </w:rPr>
      </w:pPr>
      <w:r>
        <w:rPr>
          <w:rStyle w:val="19"/>
          <w:rFonts w:hint="eastAsia" w:ascii="仿宋_GB2312"/>
        </w:rPr>
        <w:footnoteRef/>
      </w:r>
      <w:r>
        <w:rPr>
          <w:rFonts w:hint="eastAsia" w:ascii="仿宋_GB2312"/>
        </w:rPr>
        <w:t xml:space="preserve"> 前期准备主要包括实地调研和认真研读相关文件，根据绩效评价的基本原理、原则和项目特点，结合项目绩效目标，项目绩效评组制定了评价指标体系、评分标准、评价方法和相关的工作程序及步骤，形成评价初步方案。</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F7CC72">
    <w:pPr>
      <w:ind w:firstLine="0" w:firstLineChars="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1E4F5B">
    <w:pPr>
      <w:pStyle w:val="11"/>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242648">
    <w:pPr>
      <w:pStyle w:val="11"/>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924F46">
    <w:pPr>
      <w:pStyle w:val="11"/>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4A61F6">
    <w:pPr>
      <w:pStyle w:val="11"/>
      <w:ind w:firstLine="560"/>
      <w:jc w:val="right"/>
      <w:rPr>
        <w:rFonts w:ascii="仿宋_GB2312" w:eastAsia="仿宋_GB2312"/>
        <w:sz w:val="21"/>
        <w:szCs w:val="21"/>
      </w:rPr>
    </w:pPr>
    <w:r>
      <w:rPr>
        <w:rFonts w:hint="eastAsia" w:ascii="仿宋_GB2312" w:eastAsia="仿宋_GB2312"/>
        <w:sz w:val="21"/>
        <w:szCs w:val="21"/>
      </w:rPr>
      <w:t>部门项目报告模板</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doNotTrackMoves/>
  <w:documentProtection w:enforcement="0"/>
  <w:defaultTabStop w:val="420"/>
  <w:drawingGridHorizontalSpacing w:val="140"/>
  <w:drawingGridVerticalSpacing w:val="381"/>
  <w:noPunctuationKerning w:val="1"/>
  <w:characterSpacingControl w:val="compressPunctuation"/>
  <w:footnotePr>
    <w:footnote w:id="2"/>
    <w:footnote w:id="3"/>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ljY2FiZWIzMTE4MTc4ZjBhOTdmNTczNWUzN2NjMTkifQ=="/>
  </w:docVars>
  <w:rsids>
    <w:rsidRoot w:val="00000000"/>
    <w:rsid w:val="2CDC08A2"/>
    <w:rsid w:val="388E25E0"/>
    <w:rsid w:val="606F3051"/>
  </w:rsids>
  <m:mathPr>
    <m:mathFont m:val="Cambria Math"/>
    <m:brkBin m:val="before"/>
    <m:brkBinSub m:val="--"/>
    <m:smallFrac m:val="0"/>
    <m:dispDef/>
    <m:lMargin m:val="0"/>
    <m:rMargin m:val="0"/>
    <m:defJc m:val="centerGroup"/>
    <m:preSp m:val="0"/>
    <m:postSp m:val="0"/>
    <m:interSp m:val="0"/>
    <m:intraSp m:val="0"/>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iPriority="99" w:name="footnote text"/>
    <w:lsdException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ind w:firstLine="600" w:firstLineChars="200"/>
      <w:jc w:val="both"/>
    </w:pPr>
    <w:rPr>
      <w:rFonts w:ascii="Calibri" w:hAnsi="Calibri" w:eastAsia="仿宋_GB2312" w:cs="黑体"/>
      <w:kern w:val="2"/>
      <w:sz w:val="28"/>
      <w:szCs w:val="22"/>
      <w:lang w:val="en-US" w:eastAsia="zh-CN" w:bidi="ar-SA"/>
    </w:rPr>
  </w:style>
  <w:style w:type="paragraph" w:styleId="3">
    <w:name w:val="heading 1"/>
    <w:basedOn w:val="1"/>
    <w:next w:val="1"/>
    <w:link w:val="30"/>
    <w:qFormat/>
    <w:uiPriority w:val="9"/>
    <w:pPr>
      <w:keepNext/>
      <w:keepLines/>
      <w:spacing w:before="340" w:after="330" w:line="578" w:lineRule="auto"/>
      <w:outlineLvl w:val="0"/>
    </w:pPr>
    <w:rPr>
      <w:b/>
      <w:bCs/>
      <w:kern w:val="44"/>
      <w:sz w:val="44"/>
      <w:szCs w:val="44"/>
    </w:rPr>
  </w:style>
  <w:style w:type="paragraph" w:styleId="4">
    <w:name w:val="heading 2"/>
    <w:basedOn w:val="1"/>
    <w:next w:val="1"/>
    <w:link w:val="26"/>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5">
    <w:name w:val="heading 3"/>
    <w:basedOn w:val="1"/>
    <w:next w:val="1"/>
    <w:link w:val="35"/>
    <w:unhideWhenUsed/>
    <w:qFormat/>
    <w:uiPriority w:val="9"/>
    <w:pPr>
      <w:keepNext/>
      <w:keepLines/>
      <w:spacing w:before="260" w:after="260" w:line="416" w:lineRule="auto"/>
      <w:outlineLvl w:val="2"/>
    </w:pPr>
    <w:rPr>
      <w:b/>
      <w:bCs/>
      <w:sz w:val="32"/>
      <w:szCs w:val="32"/>
    </w:rPr>
  </w:style>
  <w:style w:type="paragraph" w:styleId="6">
    <w:name w:val="heading 4"/>
    <w:basedOn w:val="1"/>
    <w:next w:val="1"/>
    <w:semiHidden/>
    <w:unhideWhenUsed/>
    <w:qFormat/>
    <w:uiPriority w:val="9"/>
    <w:pPr>
      <w:spacing w:before="0" w:beforeAutospacing="1" w:after="0" w:afterAutospacing="1"/>
      <w:jc w:val="left"/>
    </w:pPr>
    <w:rPr>
      <w:rFonts w:hint="eastAsia" w:ascii="宋体" w:hAnsi="宋体" w:eastAsia="宋体" w:cs="宋体"/>
      <w:b/>
      <w:bCs/>
      <w:kern w:val="0"/>
      <w:sz w:val="24"/>
      <w:szCs w:val="24"/>
      <w:lang w:val="en-US" w:eastAsia="zh-CN"/>
    </w:rPr>
  </w:style>
  <w:style w:type="character" w:default="1" w:styleId="17">
    <w:name w:val="Default Paragraph Font"/>
    <w:semiHidden/>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2">
    <w:name w:val="Title"/>
    <w:basedOn w:val="1"/>
    <w:next w:val="1"/>
    <w:qFormat/>
    <w:uiPriority w:val="10"/>
    <w:pPr>
      <w:widowControl/>
      <w:spacing w:before="240" w:after="60"/>
      <w:jc w:val="center"/>
      <w:outlineLvl w:val="0"/>
    </w:pPr>
    <w:rPr>
      <w:rFonts w:asciiTheme="majorHAnsi" w:hAnsiTheme="majorHAnsi" w:eastAsiaTheme="majorEastAsia"/>
      <w:b/>
      <w:bCs/>
      <w:kern w:val="28"/>
      <w:sz w:val="32"/>
      <w:szCs w:val="32"/>
    </w:rPr>
  </w:style>
  <w:style w:type="paragraph" w:styleId="7">
    <w:name w:val="toc 3"/>
    <w:basedOn w:val="1"/>
    <w:next w:val="1"/>
    <w:unhideWhenUsed/>
    <w:qFormat/>
    <w:uiPriority w:val="39"/>
    <w:pPr>
      <w:ind w:left="840" w:leftChars="400"/>
    </w:pPr>
  </w:style>
  <w:style w:type="paragraph" w:styleId="8">
    <w:name w:val="Date"/>
    <w:basedOn w:val="1"/>
    <w:next w:val="1"/>
    <w:link w:val="25"/>
    <w:semiHidden/>
    <w:unhideWhenUsed/>
    <w:qFormat/>
    <w:uiPriority w:val="99"/>
    <w:pPr>
      <w:ind w:left="100" w:leftChars="2500"/>
    </w:pPr>
  </w:style>
  <w:style w:type="paragraph" w:styleId="9">
    <w:name w:val="Balloon Text"/>
    <w:basedOn w:val="1"/>
    <w:link w:val="34"/>
    <w:semiHidden/>
    <w:unhideWhenUsed/>
    <w:qFormat/>
    <w:uiPriority w:val="99"/>
    <w:rPr>
      <w:sz w:val="18"/>
      <w:szCs w:val="18"/>
    </w:rPr>
  </w:style>
  <w:style w:type="paragraph" w:styleId="10">
    <w:name w:val="footer"/>
    <w:basedOn w:val="1"/>
    <w:link w:val="24"/>
    <w:unhideWhenUsed/>
    <w:qFormat/>
    <w:uiPriority w:val="99"/>
    <w:pPr>
      <w:tabs>
        <w:tab w:val="center" w:pos="4153"/>
        <w:tab w:val="right" w:pos="8306"/>
      </w:tabs>
      <w:snapToGrid w:val="0"/>
      <w:ind w:firstLine="0" w:firstLineChars="0"/>
      <w:jc w:val="left"/>
    </w:pPr>
    <w:rPr>
      <w:rFonts w:asciiTheme="minorHAnsi" w:hAnsiTheme="minorHAnsi" w:eastAsiaTheme="minorEastAsia" w:cstheme="minorBidi"/>
      <w:sz w:val="18"/>
      <w:szCs w:val="18"/>
    </w:rPr>
  </w:style>
  <w:style w:type="paragraph" w:styleId="11">
    <w:name w:val="header"/>
    <w:basedOn w:val="1"/>
    <w:link w:val="23"/>
    <w:unhideWhenUsed/>
    <w:qFormat/>
    <w:uiPriority w:val="99"/>
    <w:pPr>
      <w:pBdr>
        <w:bottom w:val="single" w:color="auto" w:sz="6" w:space="1"/>
      </w:pBdr>
      <w:tabs>
        <w:tab w:val="center" w:pos="4153"/>
        <w:tab w:val="right" w:pos="8306"/>
      </w:tabs>
      <w:snapToGrid w:val="0"/>
      <w:ind w:firstLine="0" w:firstLineChars="0"/>
      <w:jc w:val="center"/>
    </w:pPr>
    <w:rPr>
      <w:rFonts w:asciiTheme="minorHAnsi" w:hAnsiTheme="minorHAnsi" w:eastAsiaTheme="minorEastAsia" w:cstheme="minorBidi"/>
      <w:sz w:val="18"/>
      <w:szCs w:val="18"/>
    </w:rPr>
  </w:style>
  <w:style w:type="paragraph" w:styleId="12">
    <w:name w:val="toc 1"/>
    <w:basedOn w:val="1"/>
    <w:next w:val="1"/>
    <w:unhideWhenUsed/>
    <w:qFormat/>
    <w:uiPriority w:val="39"/>
  </w:style>
  <w:style w:type="paragraph" w:styleId="13">
    <w:name w:val="footnote text"/>
    <w:basedOn w:val="1"/>
    <w:link w:val="27"/>
    <w:semiHidden/>
    <w:unhideWhenUsed/>
    <w:qFormat/>
    <w:uiPriority w:val="99"/>
    <w:pPr>
      <w:snapToGrid w:val="0"/>
      <w:jc w:val="left"/>
    </w:pPr>
    <w:rPr>
      <w:sz w:val="18"/>
      <w:szCs w:val="18"/>
    </w:rPr>
  </w:style>
  <w:style w:type="paragraph" w:styleId="14">
    <w:name w:val="toc 2"/>
    <w:basedOn w:val="1"/>
    <w:next w:val="1"/>
    <w:unhideWhenUsed/>
    <w:qFormat/>
    <w:uiPriority w:val="39"/>
    <w:pPr>
      <w:ind w:left="420" w:leftChars="200"/>
    </w:pPr>
  </w:style>
  <w:style w:type="table" w:styleId="16">
    <w:name w:val="Table Grid"/>
    <w:basedOn w:val="15"/>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8">
    <w:name w:val="Hyperlink"/>
    <w:basedOn w:val="17"/>
    <w:unhideWhenUsed/>
    <w:qFormat/>
    <w:uiPriority w:val="99"/>
    <w:rPr>
      <w:color w:val="0563C1" w:themeColor="hyperlink"/>
      <w:u w:val="single"/>
      <w14:textFill>
        <w14:solidFill>
          <w14:schemeClr w14:val="hlink"/>
        </w14:solidFill>
      </w14:textFill>
    </w:rPr>
  </w:style>
  <w:style w:type="character" w:styleId="19">
    <w:name w:val="footnote reference"/>
    <w:basedOn w:val="17"/>
    <w:semiHidden/>
    <w:unhideWhenUsed/>
    <w:qFormat/>
    <w:uiPriority w:val="99"/>
    <w:rPr>
      <w:vertAlign w:val="superscript"/>
    </w:rPr>
  </w:style>
  <w:style w:type="paragraph" w:customStyle="1" w:styleId="20">
    <w:name w:val="Comment Text"/>
    <w:basedOn w:val="1"/>
    <w:link w:val="32"/>
    <w:unhideWhenUsed/>
    <w:uiPriority w:val="99"/>
    <w:pPr>
      <w:jc w:val="left"/>
    </w:pPr>
  </w:style>
  <w:style w:type="paragraph" w:customStyle="1" w:styleId="21">
    <w:name w:val="Comment Subject"/>
    <w:basedOn w:val="20"/>
    <w:next w:val="20"/>
    <w:link w:val="33"/>
    <w:semiHidden/>
    <w:unhideWhenUsed/>
    <w:qFormat/>
    <w:uiPriority w:val="99"/>
    <w:rPr>
      <w:b/>
      <w:bCs/>
    </w:rPr>
  </w:style>
  <w:style w:type="character" w:customStyle="1" w:styleId="22">
    <w:name w:val="Comment Reference"/>
    <w:basedOn w:val="17"/>
    <w:semiHidden/>
    <w:unhideWhenUsed/>
    <w:qFormat/>
    <w:uiPriority w:val="99"/>
    <w:rPr>
      <w:sz w:val="21"/>
      <w:szCs w:val="21"/>
    </w:rPr>
  </w:style>
  <w:style w:type="character" w:customStyle="1" w:styleId="23">
    <w:name w:val="页眉 Char"/>
    <w:basedOn w:val="17"/>
    <w:link w:val="11"/>
    <w:qFormat/>
    <w:uiPriority w:val="99"/>
    <w:rPr>
      <w:sz w:val="18"/>
      <w:szCs w:val="18"/>
    </w:rPr>
  </w:style>
  <w:style w:type="character" w:customStyle="1" w:styleId="24">
    <w:name w:val="页脚 Char"/>
    <w:basedOn w:val="17"/>
    <w:link w:val="10"/>
    <w:qFormat/>
    <w:uiPriority w:val="99"/>
    <w:rPr>
      <w:sz w:val="18"/>
      <w:szCs w:val="18"/>
    </w:rPr>
  </w:style>
  <w:style w:type="character" w:customStyle="1" w:styleId="25">
    <w:name w:val="日期 Char"/>
    <w:basedOn w:val="17"/>
    <w:link w:val="8"/>
    <w:semiHidden/>
    <w:uiPriority w:val="99"/>
    <w:rPr>
      <w:rFonts w:ascii="Calibri" w:hAnsi="Calibri" w:eastAsia="仿宋_GB2312" w:cs="黑体"/>
      <w:sz w:val="28"/>
    </w:rPr>
  </w:style>
  <w:style w:type="character" w:customStyle="1" w:styleId="26">
    <w:name w:val="标题 2 Char"/>
    <w:basedOn w:val="17"/>
    <w:link w:val="4"/>
    <w:qFormat/>
    <w:uiPriority w:val="9"/>
    <w:rPr>
      <w:rFonts w:asciiTheme="majorHAnsi" w:hAnsiTheme="majorHAnsi" w:eastAsiaTheme="majorEastAsia" w:cstheme="majorBidi"/>
      <w:b/>
      <w:bCs/>
      <w:sz w:val="32"/>
      <w:szCs w:val="32"/>
    </w:rPr>
  </w:style>
  <w:style w:type="character" w:customStyle="1" w:styleId="27">
    <w:name w:val="脚注文本 Char"/>
    <w:basedOn w:val="17"/>
    <w:link w:val="13"/>
    <w:semiHidden/>
    <w:qFormat/>
    <w:uiPriority w:val="99"/>
    <w:rPr>
      <w:rFonts w:ascii="Calibri" w:hAnsi="Calibri" w:eastAsia="仿宋_GB2312" w:cs="黑体"/>
      <w:sz w:val="18"/>
      <w:szCs w:val="18"/>
    </w:rPr>
  </w:style>
  <w:style w:type="paragraph" w:styleId="28">
    <w:name w:val="List Paragraph"/>
    <w:basedOn w:val="1"/>
    <w:qFormat/>
    <w:uiPriority w:val="34"/>
    <w:pPr>
      <w:ind w:firstLine="420"/>
    </w:pPr>
  </w:style>
  <w:style w:type="table" w:customStyle="1" w:styleId="29">
    <w:name w:val="网格型1"/>
    <w:basedOn w:val="15"/>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30">
    <w:name w:val="标题 1 Char"/>
    <w:basedOn w:val="17"/>
    <w:link w:val="3"/>
    <w:qFormat/>
    <w:uiPriority w:val="9"/>
    <w:rPr>
      <w:rFonts w:ascii="Calibri" w:hAnsi="Calibri" w:eastAsia="仿宋_GB2312" w:cs="黑体"/>
      <w:b/>
      <w:bCs/>
      <w:kern w:val="44"/>
      <w:sz w:val="44"/>
      <w:szCs w:val="44"/>
    </w:rPr>
  </w:style>
  <w:style w:type="paragraph" w:customStyle="1" w:styleId="31">
    <w:name w:val="TOC Heading"/>
    <w:basedOn w:val="3"/>
    <w:next w:val="1"/>
    <w:unhideWhenUsed/>
    <w:qFormat/>
    <w:uiPriority w:val="39"/>
    <w:pPr>
      <w:widowControl/>
      <w:spacing w:before="240" w:after="0" w:line="259" w:lineRule="auto"/>
      <w:ind w:firstLine="0" w:firstLineChars="0"/>
      <w:jc w:val="left"/>
      <w:outlineLvl w:val="9"/>
    </w:pPr>
    <w:rPr>
      <w:rFonts w:asciiTheme="majorHAnsi" w:hAnsiTheme="majorHAnsi" w:eastAsiaTheme="majorEastAsia" w:cstheme="majorBidi"/>
      <w:b w:val="0"/>
      <w:bCs w:val="0"/>
      <w:color w:val="2F5597" w:themeColor="accent1" w:themeShade="BF"/>
      <w:kern w:val="0"/>
      <w:sz w:val="32"/>
      <w:szCs w:val="32"/>
    </w:rPr>
  </w:style>
  <w:style w:type="character" w:customStyle="1" w:styleId="32">
    <w:name w:val="批注文字 Char"/>
    <w:basedOn w:val="17"/>
    <w:link w:val="20"/>
    <w:uiPriority w:val="99"/>
    <w:rPr>
      <w:rFonts w:ascii="Calibri" w:hAnsi="Calibri" w:eastAsia="仿宋_GB2312" w:cs="黑体"/>
      <w:sz w:val="28"/>
    </w:rPr>
  </w:style>
  <w:style w:type="character" w:customStyle="1" w:styleId="33">
    <w:name w:val="批注主题 Char"/>
    <w:basedOn w:val="32"/>
    <w:link w:val="21"/>
    <w:semiHidden/>
    <w:qFormat/>
    <w:uiPriority w:val="99"/>
    <w:rPr>
      <w:rFonts w:ascii="Calibri" w:hAnsi="Calibri" w:eastAsia="仿宋_GB2312" w:cs="黑体"/>
      <w:b/>
      <w:bCs/>
      <w:sz w:val="28"/>
    </w:rPr>
  </w:style>
  <w:style w:type="character" w:customStyle="1" w:styleId="34">
    <w:name w:val="批注框文本 Char"/>
    <w:basedOn w:val="17"/>
    <w:link w:val="9"/>
    <w:semiHidden/>
    <w:qFormat/>
    <w:uiPriority w:val="99"/>
    <w:rPr>
      <w:rFonts w:ascii="Calibri" w:hAnsi="Calibri" w:eastAsia="仿宋_GB2312" w:cs="黑体"/>
      <w:sz w:val="18"/>
      <w:szCs w:val="18"/>
    </w:rPr>
  </w:style>
  <w:style w:type="character" w:customStyle="1" w:styleId="35">
    <w:name w:val="标题 3 Char"/>
    <w:basedOn w:val="17"/>
    <w:link w:val="5"/>
    <w:qFormat/>
    <w:uiPriority w:val="9"/>
    <w:rPr>
      <w:rFonts w:ascii="Calibri" w:hAnsi="Calibri" w:eastAsia="仿宋_GB2312" w:cs="黑体"/>
      <w:b/>
      <w:bCs/>
      <w:sz w:val="32"/>
      <w:szCs w:val="32"/>
    </w:rPr>
  </w:style>
  <w:style w:type="paragraph" w:customStyle="1" w:styleId="36">
    <w:name w:val="闻政-正文段落文字"/>
    <w:basedOn w:val="1"/>
    <w:qFormat/>
    <w:uiPriority w:val="3"/>
    <w:pPr>
      <w:spacing w:line="500" w:lineRule="exact"/>
      <w:ind w:firstLine="200"/>
    </w:pPr>
    <w:rPr>
      <w:kern w:val="0"/>
      <w:szCs w:val="28"/>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2.xml"/><Relationship Id="rId16" Type="http://schemas.openxmlformats.org/officeDocument/2006/relationships/customXml" Target="../customXml/item1.xml"/><Relationship Id="rId15" Type="http://schemas.openxmlformats.org/officeDocument/2006/relationships/theme" Target="theme/theme1.xml"/><Relationship Id="rId14" Type="http://schemas.openxmlformats.org/officeDocument/2006/relationships/footer" Target="footer5.xml"/><Relationship Id="rId13" Type="http://schemas.openxmlformats.org/officeDocument/2006/relationships/header" Target="header5.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B05D3D2370AC4A539D505E3BA62A827A_12</vt:lpwstr>
  </property>
</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6be187-6237-4460-b3b0-dc76f0362e0a}">
  <ds:schemaRefs/>
</ds:datastoreItem>
</file>

<file path=customXml/itemProps2.xml><?xml version="1.0" encoding="utf-8"?>
<ds:datastoreItem xmlns:ds="http://schemas.openxmlformats.org/officeDocument/2006/customXml" ds:itemID="{1AF72445-BB0D-49D7-8B19-4B216F245C12}">
  <ds:schemaRefs/>
</ds:datastoreItem>
</file>

<file path=docProps/app.xml><?xml version="1.0" encoding="utf-8"?>
<Properties xmlns="http://schemas.openxmlformats.org/officeDocument/2006/extended-properties" xmlns:vt="http://schemas.openxmlformats.org/officeDocument/2006/docPropsVTypes">
  <Template>Normal</Template>
  <Pages>26</Pages>
  <Words>693</Words>
  <Characters>755</Characters>
  <Lines>81</Lines>
  <Paragraphs>23</Paragraphs>
  <TotalTime>31</TotalTime>
  <ScaleCrop>false</ScaleCrop>
  <LinksUpToDate>false</LinksUpToDate>
  <CharactersWithSpaces>796</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2025-04-25T07:26:00Z</dcterms:created>
  <dc:creator>张 宇</dc:creator>
  <cp:lastModifiedBy>周丽君</cp:lastModifiedBy>
  <cp:lastPrinted>2025-09-16T08:43:00Z</cp:lastPrinted>
  <dcterms:modified xsi:type="dcterms:W3CDTF">2025-11-06T02:51:31Z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B05D3D2370AC4A539D505E3BA62A827A_12</vt:lpwstr>
  </property>
  <property fmtid="{D5CDD505-2E9C-101B-9397-08002B2CF9AE}" pid="4" name="KSOTemplateDocerSaveRecord">
    <vt:lpwstr>eyJoZGlkIjoiMjEwMjVmNmU3OTQwZDBjNjI0ZTM3MTBmNDI0OGIzYzIiLCJ1c2VySWQiOiIyMDM3MTI1NTkifQ==</vt:lpwstr>
  </property>
</Properties>
</file>