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553C7F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乌鲁木齐市水磨沟区归国华侨联合会</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605B2CD">
      <w:r>
        <w:br w:type="page"/>
      </w:r>
    </w:p>
    <w:p w14:paraId="236FCC22">
      <w:pPr>
        <w:spacing w:line="640" w:lineRule="exact"/>
        <w:jc w:val="center"/>
        <w:outlineLvl w:val="1"/>
      </w:pPr>
      <w:r>
        <w:rPr>
          <w:rFonts w:ascii="黑体" w:hAnsi="黑体" w:eastAsia="黑体"/>
          <w:sz w:val="32"/>
        </w:rPr>
        <w:t>第一部分 单位概况</w:t>
      </w:r>
    </w:p>
    <w:p w14:paraId="49877E9D">
      <w:pPr>
        <w:spacing w:line="640" w:lineRule="exact"/>
        <w:ind w:firstLine="640"/>
        <w:jc w:val="both"/>
        <w:outlineLvl w:val="2"/>
      </w:pPr>
      <w:r>
        <w:rPr>
          <w:rFonts w:ascii="黑体" w:hAnsi="黑体" w:eastAsia="黑体"/>
          <w:sz w:val="32"/>
        </w:rPr>
        <w:t>一、主要职能</w:t>
      </w:r>
    </w:p>
    <w:p w14:paraId="5F5DAEDC">
      <w:pPr>
        <w:spacing w:line="580" w:lineRule="exact"/>
        <w:ind w:firstLine="640"/>
        <w:jc w:val="both"/>
      </w:pPr>
      <w:r>
        <w:rPr>
          <w:rFonts w:ascii="仿宋_GB2312" w:hAnsi="仿宋_GB2312" w:eastAsia="仿宋_GB2312"/>
          <w:sz w:val="32"/>
        </w:rPr>
        <w:t>（一）宣传贯彻党和国家关于侨务工作的方针、政策和</w:t>
      </w:r>
      <w:r>
        <w:rPr>
          <w:rFonts w:hint="eastAsia" w:ascii="仿宋_GB2312" w:hAnsi="仿宋_GB2312" w:eastAsia="仿宋_GB2312"/>
          <w:sz w:val="32"/>
          <w:lang w:eastAsia="zh-CN"/>
        </w:rPr>
        <w:t>法律法规</w:t>
      </w:r>
      <w:r>
        <w:rPr>
          <w:rFonts w:ascii="仿宋_GB2312" w:hAnsi="仿宋_GB2312" w:eastAsia="仿宋_GB2312"/>
          <w:sz w:val="32"/>
        </w:rPr>
        <w:t>；研究拟订区侨联工作计划、发展规划；组织实施全区归侨、侨眷代表大会、委员会、常务委员会的决议、决定。</w:t>
      </w:r>
    </w:p>
    <w:p w14:paraId="7EEF4354">
      <w:pPr>
        <w:spacing w:line="580" w:lineRule="exact"/>
        <w:ind w:firstLine="640"/>
        <w:jc w:val="both"/>
      </w:pPr>
      <w:r>
        <w:rPr>
          <w:rFonts w:ascii="仿宋_GB2312" w:hAnsi="仿宋_GB2312" w:eastAsia="仿宋_GB2312"/>
          <w:sz w:val="32"/>
        </w:rPr>
        <w:t>（二）加强对归侨、侨眷和海外侨胞的思想政治引领；团结动员我区归侨、侨眷和海外侨胞积极参与和支持祖（籍）国经济建设，服务国家、自治区“一带一路”建设，服务我区改革发展稳定大局。</w:t>
      </w:r>
    </w:p>
    <w:p w14:paraId="154EB0E2">
      <w:pPr>
        <w:spacing w:line="580" w:lineRule="exact"/>
        <w:ind w:firstLine="640"/>
        <w:jc w:val="both"/>
      </w:pPr>
      <w:r>
        <w:rPr>
          <w:rFonts w:ascii="仿宋_GB2312" w:hAnsi="仿宋_GB2312" w:eastAsia="仿宋_GB2312"/>
          <w:sz w:val="32"/>
        </w:rPr>
        <w:t>（三）做好海外引才引智工作，为侨胞来我区创新创业搭建平台，促进侨胞与我区进行经济合作和科技交流；为侨胞回国工作生活提供服务。</w:t>
      </w:r>
    </w:p>
    <w:p w14:paraId="20A35721">
      <w:pPr>
        <w:spacing w:line="580" w:lineRule="exact"/>
        <w:ind w:firstLine="640"/>
        <w:jc w:val="both"/>
      </w:pPr>
      <w:r>
        <w:rPr>
          <w:rFonts w:ascii="仿宋_GB2312" w:hAnsi="仿宋_GB2312" w:eastAsia="仿宋_GB2312"/>
          <w:sz w:val="32"/>
        </w:rPr>
        <w:t>（四）配合有关主管部门做好推荐区人大、政协中的归侨、侨眷代表、委员的人事安排工作，为他们履行参政议政和民主监督职能提供服务；组织归侨、侨眷积极参与城乡社区治理；为归侨、侨眷和海外侨胞参与各类公益慈善事业提供服务。</w:t>
      </w:r>
    </w:p>
    <w:p w14:paraId="2335BD1C">
      <w:pPr>
        <w:spacing w:line="580" w:lineRule="exact"/>
        <w:ind w:firstLine="640"/>
        <w:jc w:val="both"/>
      </w:pPr>
      <w:r>
        <w:rPr>
          <w:rFonts w:ascii="仿宋_GB2312" w:hAnsi="仿宋_GB2312" w:eastAsia="仿宋_GB2312"/>
          <w:sz w:val="32"/>
        </w:rPr>
        <w:t>（五）负责指导、开展对华人华侨及其社团的联谊和服务工作，推动海内外民间交流与合作，增进相互了解和友谊；深入开展涉侨文化品牌项目建设。</w:t>
      </w:r>
    </w:p>
    <w:p w14:paraId="4C9B62AF">
      <w:pPr>
        <w:spacing w:line="580" w:lineRule="exact"/>
        <w:ind w:firstLine="640"/>
        <w:jc w:val="both"/>
      </w:pPr>
      <w:r>
        <w:rPr>
          <w:rFonts w:ascii="仿宋_GB2312" w:hAnsi="仿宋_GB2312" w:eastAsia="仿宋_GB2312"/>
          <w:sz w:val="32"/>
        </w:rPr>
        <w:t>（六）依法维护归侨、侨眷的合法权益和海外侨胞在国内的正当权益，协调配合有关部门处理好损害归侨、侨眷和海外侨胞国内权益的突出问题；建立健全涉侨矛盾多元化解机制和困难归侨、侨眷帮扶机制；参与起草有关法律法规草案，并监督、协助有关部门贯彻落实；为归侨、侨眷和海外侨胞提供法律咨询和服务。</w:t>
      </w:r>
    </w:p>
    <w:p w14:paraId="6791A0A4">
      <w:pPr>
        <w:spacing w:line="580" w:lineRule="exact"/>
        <w:ind w:firstLine="640"/>
        <w:jc w:val="both"/>
      </w:pPr>
      <w:r>
        <w:rPr>
          <w:rFonts w:ascii="仿宋_GB2312" w:hAnsi="仿宋_GB2312" w:eastAsia="仿宋_GB2312"/>
          <w:sz w:val="32"/>
        </w:rPr>
        <w:t>（七）加强侨联自身建设；参与归侨、侨眷干部的培养和推荐选拔工作。</w:t>
      </w:r>
    </w:p>
    <w:p w14:paraId="28021707">
      <w:pPr>
        <w:spacing w:line="580" w:lineRule="exact"/>
        <w:ind w:firstLine="640"/>
        <w:jc w:val="both"/>
      </w:pPr>
      <w:r>
        <w:rPr>
          <w:rFonts w:ascii="仿宋_GB2312" w:hAnsi="仿宋_GB2312" w:eastAsia="仿宋_GB2312"/>
          <w:sz w:val="32"/>
        </w:rPr>
        <w:t>（八）承办区委、区人民政府交办的其他事项。</w:t>
      </w:r>
    </w:p>
    <w:p w14:paraId="5D61AE00">
      <w:pPr>
        <w:spacing w:line="640" w:lineRule="exact"/>
        <w:ind w:firstLine="640"/>
        <w:jc w:val="both"/>
        <w:outlineLvl w:val="2"/>
      </w:pPr>
      <w:r>
        <w:rPr>
          <w:rFonts w:ascii="黑体" w:hAnsi="黑体" w:eastAsia="黑体"/>
          <w:sz w:val="32"/>
        </w:rPr>
        <w:t>二、机构设置及人员情况</w:t>
      </w:r>
    </w:p>
    <w:p w14:paraId="500F7C28">
      <w:pPr>
        <w:spacing w:line="580" w:lineRule="exact"/>
        <w:ind w:firstLine="640"/>
        <w:jc w:val="both"/>
      </w:pPr>
      <w:r>
        <w:rPr>
          <w:rFonts w:ascii="仿宋_GB2312" w:hAnsi="仿宋_GB2312" w:eastAsia="仿宋_GB2312"/>
          <w:sz w:val="32"/>
        </w:rPr>
        <w:t>乌鲁木齐市水磨沟区归国华侨联合会2024年度，实有人数2人，其中：在职人员2人，减少1人；离休人员0人，增加0人；退休人员0人,增加0人。</w:t>
      </w:r>
    </w:p>
    <w:p w14:paraId="41F0A964">
      <w:pPr>
        <w:spacing w:line="580" w:lineRule="exact"/>
        <w:ind w:firstLine="640"/>
        <w:jc w:val="both"/>
      </w:pPr>
      <w:r>
        <w:rPr>
          <w:rFonts w:ascii="仿宋_GB2312" w:hAnsi="仿宋_GB2312" w:eastAsia="仿宋_GB2312"/>
          <w:sz w:val="32"/>
        </w:rPr>
        <w:t>乌鲁木齐市水磨沟区归国华侨联合会无下属预算单位，下设1个科室，分别是：侨联办公室。</w:t>
      </w:r>
    </w:p>
    <w:p w14:paraId="72A00571">
      <w:r>
        <w:br w:type="page"/>
      </w:r>
    </w:p>
    <w:p w14:paraId="33EC519F">
      <w:pPr>
        <w:spacing w:line="240" w:lineRule="auto"/>
        <w:jc w:val="center"/>
        <w:outlineLvl w:val="1"/>
      </w:pPr>
      <w:r>
        <w:rPr>
          <w:rFonts w:ascii="黑体" w:hAnsi="黑体" w:eastAsia="黑体"/>
          <w:sz w:val="32"/>
        </w:rPr>
        <w:t>第二部分 部门决算情况说明</w:t>
      </w:r>
    </w:p>
    <w:p w14:paraId="0F13FD4A">
      <w:pPr>
        <w:spacing w:line="640" w:lineRule="exact"/>
        <w:ind w:firstLine="640"/>
        <w:jc w:val="both"/>
        <w:outlineLvl w:val="2"/>
      </w:pPr>
      <w:r>
        <w:rPr>
          <w:rFonts w:ascii="黑体" w:hAnsi="黑体" w:eastAsia="黑体"/>
          <w:sz w:val="32"/>
        </w:rPr>
        <w:t>一、收入支出决算总体情况说明</w:t>
      </w:r>
    </w:p>
    <w:p w14:paraId="22C2B587">
      <w:pPr>
        <w:spacing w:line="580" w:lineRule="exact"/>
        <w:ind w:firstLine="640"/>
        <w:jc w:val="both"/>
      </w:pPr>
      <w:r>
        <w:rPr>
          <w:rFonts w:ascii="仿宋_GB2312" w:hAnsi="仿宋_GB2312" w:eastAsia="仿宋_GB2312"/>
          <w:b/>
          <w:sz w:val="32"/>
        </w:rPr>
        <w:t>2024年度收入总计56.08万元，</w:t>
      </w:r>
      <w:r>
        <w:rPr>
          <w:rFonts w:ascii="仿宋_GB2312" w:hAnsi="仿宋_GB2312" w:eastAsia="仿宋_GB2312"/>
          <w:b w:val="0"/>
          <w:sz w:val="32"/>
        </w:rPr>
        <w:t>其中：本年收入合计56.08万元，使用非财政拨款结余（含专用结余）0.00万元，年初结转和结余0.00万元。</w:t>
      </w:r>
    </w:p>
    <w:p w14:paraId="7DCC2472">
      <w:pPr>
        <w:spacing w:line="580" w:lineRule="exact"/>
        <w:ind w:firstLine="640"/>
        <w:jc w:val="both"/>
      </w:pPr>
      <w:r>
        <w:rPr>
          <w:rFonts w:ascii="仿宋_GB2312" w:hAnsi="仿宋_GB2312" w:eastAsia="仿宋_GB2312"/>
          <w:b/>
          <w:sz w:val="32"/>
        </w:rPr>
        <w:t>2024年度支出总计56.08万元，</w:t>
      </w:r>
      <w:r>
        <w:rPr>
          <w:rFonts w:ascii="仿宋_GB2312" w:hAnsi="仿宋_GB2312" w:eastAsia="仿宋_GB2312"/>
          <w:b w:val="0"/>
          <w:sz w:val="32"/>
        </w:rPr>
        <w:t>其中：本年支出合计53.18万元，结余分配0.00万元，年末结转和结余2.90万元。</w:t>
      </w:r>
    </w:p>
    <w:p w14:paraId="31B9D8E6">
      <w:pPr>
        <w:spacing w:line="580" w:lineRule="exact"/>
        <w:ind w:firstLine="640"/>
        <w:jc w:val="both"/>
      </w:pPr>
      <w:r>
        <w:rPr>
          <w:rFonts w:ascii="仿宋_GB2312" w:hAnsi="仿宋_GB2312" w:eastAsia="仿宋_GB2312"/>
          <w:b w:val="0"/>
          <w:sz w:val="32"/>
        </w:rPr>
        <w:t>收入支出总体与上年相比，减少4.11万元，下降6.83%，主要原因是：本年在职人员减少，相关人员经费较上年减少。</w:t>
      </w:r>
    </w:p>
    <w:p w14:paraId="053C4D0E">
      <w:pPr>
        <w:spacing w:line="640" w:lineRule="exact"/>
        <w:ind w:firstLine="640"/>
        <w:jc w:val="both"/>
        <w:outlineLvl w:val="2"/>
      </w:pPr>
      <w:r>
        <w:rPr>
          <w:rFonts w:ascii="黑体" w:hAnsi="黑体" w:eastAsia="黑体"/>
          <w:sz w:val="32"/>
        </w:rPr>
        <w:t>二、收入决算情况说明</w:t>
      </w:r>
    </w:p>
    <w:p w14:paraId="131DC362">
      <w:pPr>
        <w:spacing w:line="580" w:lineRule="exact"/>
        <w:ind w:firstLine="640"/>
        <w:jc w:val="both"/>
      </w:pPr>
      <w:r>
        <w:rPr>
          <w:rFonts w:ascii="仿宋_GB2312" w:hAnsi="仿宋_GB2312" w:eastAsia="仿宋_GB2312"/>
          <w:b/>
          <w:sz w:val="32"/>
        </w:rPr>
        <w:t>本年收入56.08万元，</w:t>
      </w:r>
      <w:r>
        <w:rPr>
          <w:rFonts w:ascii="仿宋_GB2312" w:hAnsi="仿宋_GB2312" w:eastAsia="仿宋_GB2312"/>
          <w:b w:val="0"/>
          <w:sz w:val="32"/>
        </w:rPr>
        <w:t>其中：财政拨款收入56.08万元，占100.00%；上级补助收入0.00万元，占0.00%；事业收入0.00万元，占0.00%；经营收入0.00万元，占0.00%；附属单位上缴收入0.00万元，占0.00%；其他收入0.00万元，占0.00%。</w:t>
      </w:r>
    </w:p>
    <w:p w14:paraId="6D2BAA08">
      <w:pPr>
        <w:spacing w:line="640" w:lineRule="exact"/>
        <w:ind w:firstLine="640"/>
        <w:jc w:val="both"/>
        <w:outlineLvl w:val="2"/>
      </w:pPr>
      <w:r>
        <w:rPr>
          <w:rFonts w:ascii="黑体" w:hAnsi="黑体" w:eastAsia="黑体"/>
          <w:sz w:val="32"/>
        </w:rPr>
        <w:t>三、支出决算情况说明</w:t>
      </w:r>
    </w:p>
    <w:p w14:paraId="4EED9E73">
      <w:pPr>
        <w:spacing w:line="580" w:lineRule="exact"/>
        <w:ind w:firstLine="640"/>
        <w:jc w:val="both"/>
      </w:pPr>
      <w:r>
        <w:rPr>
          <w:rFonts w:ascii="仿宋_GB2312" w:hAnsi="仿宋_GB2312" w:eastAsia="仿宋_GB2312"/>
          <w:b/>
          <w:sz w:val="32"/>
        </w:rPr>
        <w:t>本年支出53.18万元，</w:t>
      </w:r>
      <w:r>
        <w:rPr>
          <w:rFonts w:ascii="仿宋_GB2312" w:hAnsi="仿宋_GB2312" w:eastAsia="仿宋_GB2312"/>
          <w:b w:val="0"/>
          <w:sz w:val="32"/>
        </w:rPr>
        <w:t>其中：基本支出53.18万元，占100.00%；项目支出0.00万元，占0.00%；上缴上级支出0.00万元，占0.00%；经营支出0.00万元，占0.00%；对附属单位补助支出0.00万元，占0.00%。</w:t>
      </w:r>
    </w:p>
    <w:p w14:paraId="60E7A4E6">
      <w:pPr>
        <w:spacing w:line="640" w:lineRule="exact"/>
        <w:ind w:firstLine="640"/>
        <w:jc w:val="both"/>
        <w:outlineLvl w:val="2"/>
      </w:pPr>
      <w:r>
        <w:rPr>
          <w:rFonts w:ascii="黑体" w:hAnsi="黑体" w:eastAsia="黑体"/>
          <w:sz w:val="32"/>
        </w:rPr>
        <w:t>四、财政拨款收入支出决算总体情况说明</w:t>
      </w:r>
    </w:p>
    <w:p w14:paraId="5DCCB1F5">
      <w:pPr>
        <w:spacing w:line="580" w:lineRule="exact"/>
        <w:ind w:firstLine="640"/>
        <w:jc w:val="both"/>
      </w:pPr>
      <w:r>
        <w:rPr>
          <w:rFonts w:ascii="仿宋_GB2312" w:hAnsi="仿宋_GB2312" w:eastAsia="仿宋_GB2312"/>
          <w:b/>
          <w:sz w:val="32"/>
        </w:rPr>
        <w:t>2024年度财政拨款收入总计56.08万元，</w:t>
      </w:r>
      <w:r>
        <w:rPr>
          <w:rFonts w:ascii="仿宋_GB2312" w:hAnsi="仿宋_GB2312" w:eastAsia="仿宋_GB2312"/>
          <w:b w:val="0"/>
          <w:sz w:val="32"/>
        </w:rPr>
        <w:t>其中：年初财政拨款结转和结余0.00万元，本年财政拨款收入56.08万元。</w:t>
      </w:r>
      <w:r>
        <w:rPr>
          <w:rFonts w:ascii="仿宋_GB2312" w:hAnsi="仿宋_GB2312" w:eastAsia="仿宋_GB2312"/>
          <w:b/>
          <w:sz w:val="32"/>
        </w:rPr>
        <w:t>财政拨款支出总计56.08万元，</w:t>
      </w:r>
      <w:r>
        <w:rPr>
          <w:rFonts w:ascii="仿宋_GB2312" w:hAnsi="仿宋_GB2312" w:eastAsia="仿宋_GB2312"/>
          <w:b w:val="0"/>
          <w:sz w:val="32"/>
        </w:rPr>
        <w:t>其中：年末财政拨款结转和结余2.90万元，本年财政拨款支出53.18万元。</w:t>
      </w:r>
    </w:p>
    <w:p w14:paraId="143E4E6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减少4.03万元，下降6.70%，主要原因是：本年在职人员减少，相关人员经费较上年减少。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年初预算数61.59万元，决算数56.08万元，预决算差异率-8.95%，主要原因是：本年在职人员减少，年中调减人员经费，导致预决算存在差异。</w:t>
      </w:r>
    </w:p>
    <w:p w14:paraId="69A4EA4F">
      <w:pPr>
        <w:spacing w:line="640" w:lineRule="exact"/>
        <w:ind w:firstLine="640"/>
        <w:jc w:val="both"/>
        <w:outlineLvl w:val="2"/>
      </w:pPr>
      <w:r>
        <w:rPr>
          <w:rFonts w:ascii="黑体" w:hAnsi="黑体" w:eastAsia="黑体"/>
          <w:sz w:val="32"/>
        </w:rPr>
        <w:t>五、一般公共预算财政拨款支出决算情况说明</w:t>
      </w:r>
    </w:p>
    <w:p w14:paraId="3D107924">
      <w:pPr>
        <w:spacing w:line="640" w:lineRule="exact"/>
        <w:ind w:firstLine="640"/>
        <w:jc w:val="both"/>
        <w:outlineLvl w:val="3"/>
      </w:pPr>
      <w:r>
        <w:rPr>
          <w:rFonts w:ascii="楷体_GB2312" w:hAnsi="楷体_GB2312" w:eastAsia="楷体_GB2312"/>
          <w:b/>
          <w:sz w:val="32"/>
        </w:rPr>
        <w:t>（一）一般公共预算财政拨款支出决算总体情况</w:t>
      </w:r>
    </w:p>
    <w:p w14:paraId="34269A6D">
      <w:pPr>
        <w:spacing w:line="580" w:lineRule="exact"/>
        <w:ind w:firstLine="640"/>
        <w:jc w:val="both"/>
      </w:pPr>
      <w:r>
        <w:rPr>
          <w:rFonts w:ascii="仿宋_GB2312" w:hAnsi="仿宋_GB2312" w:eastAsia="仿宋_GB2312"/>
          <w:b/>
          <w:sz w:val="32"/>
        </w:rPr>
        <w:t>2024年度一般公共预算财政拨款支出53.18万元，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减少6.15万元，下降10.37%，主要原因是：本年在职人员减少，相关人员经费较上年减少。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年初预算数61.59万元，决算数53.18万元，预决算差异率-13.65%，主要原因是：本年在职人员减少，年中调减人员经费，导致预决算存在差异。</w:t>
      </w:r>
    </w:p>
    <w:p w14:paraId="119086D4">
      <w:pPr>
        <w:spacing w:line="640" w:lineRule="exact"/>
        <w:ind w:firstLine="640"/>
        <w:jc w:val="both"/>
        <w:outlineLvl w:val="3"/>
      </w:pPr>
      <w:r>
        <w:rPr>
          <w:rFonts w:ascii="楷体_GB2312" w:hAnsi="楷体_GB2312" w:eastAsia="楷体_GB2312"/>
          <w:b/>
          <w:sz w:val="32"/>
        </w:rPr>
        <w:t>（二）一般公共预算财政拨款支出决算结构情况</w:t>
      </w:r>
    </w:p>
    <w:p w14:paraId="4C4173CD">
      <w:pPr>
        <w:spacing w:line="580" w:lineRule="exact"/>
        <w:ind w:firstLine="640"/>
        <w:jc w:val="both"/>
      </w:pPr>
      <w:r>
        <w:rPr>
          <w:rFonts w:ascii="仿宋_GB2312" w:hAnsi="仿宋_GB2312" w:eastAsia="仿宋_GB2312"/>
          <w:b w:val="0"/>
          <w:sz w:val="32"/>
        </w:rPr>
        <w:t>1.一般公共服务支出(类)40.73万元,占76.59%。</w:t>
      </w:r>
    </w:p>
    <w:p w14:paraId="4C4CEF6B">
      <w:pPr>
        <w:spacing w:line="580" w:lineRule="exact"/>
        <w:ind w:firstLine="640"/>
        <w:jc w:val="both"/>
      </w:pPr>
      <w:r>
        <w:rPr>
          <w:rFonts w:ascii="仿宋_GB2312" w:hAnsi="仿宋_GB2312" w:eastAsia="仿宋_GB2312"/>
          <w:b w:val="0"/>
          <w:sz w:val="32"/>
        </w:rPr>
        <w:t>2.社会保障和就业支出(类)12.45万元,占23.41%。</w:t>
      </w:r>
    </w:p>
    <w:p w14:paraId="07BEF79E">
      <w:pPr>
        <w:spacing w:line="640" w:lineRule="exact"/>
        <w:ind w:firstLine="640"/>
        <w:jc w:val="both"/>
        <w:outlineLvl w:val="3"/>
      </w:pPr>
      <w:r>
        <w:rPr>
          <w:rFonts w:ascii="楷体_GB2312" w:hAnsi="楷体_GB2312" w:eastAsia="楷体_GB2312"/>
          <w:b/>
          <w:sz w:val="32"/>
        </w:rPr>
        <w:t>（三）一般公共预算财政拨款支出决算具体情况</w:t>
      </w:r>
    </w:p>
    <w:p w14:paraId="4B3FEF5C">
      <w:pPr>
        <w:spacing w:line="580" w:lineRule="exact"/>
        <w:ind w:firstLine="640"/>
        <w:jc w:val="both"/>
      </w:pPr>
      <w:r>
        <w:rPr>
          <w:rFonts w:ascii="仿宋_GB2312" w:hAnsi="仿宋_GB2312" w:eastAsia="仿宋_GB2312"/>
          <w:b w:val="0"/>
          <w:sz w:val="32"/>
        </w:rPr>
        <w:t>1.一般公共服务支出(类)统战事务(款)华侨事务(项):支出决算数为40.73万元，比上年决算减少13.59万元，下降25.02%,主要原因是：本年在职人员减少，相关人员经费较上年减少。</w:t>
      </w:r>
    </w:p>
    <w:p w14:paraId="345B72C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5.03万元，比上年决算增加0.01万元，增长0.20%,主要原因是：本年在职人员工资基数调增，养老缴费基数上涨，相应支出增加。</w:t>
      </w:r>
    </w:p>
    <w:p w14:paraId="3DE7846B">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7.42万元，比上年决算增加7.42万元，增长100.00%,主要原因是：本年补发以前年度退休人员职业年金，职业年金缴费支出增加。</w:t>
      </w:r>
    </w:p>
    <w:p w14:paraId="060DDAB8">
      <w:pPr>
        <w:spacing w:line="640" w:lineRule="exact"/>
        <w:ind w:firstLine="640"/>
        <w:jc w:val="both"/>
        <w:outlineLvl w:val="2"/>
      </w:pPr>
      <w:r>
        <w:rPr>
          <w:rFonts w:ascii="黑体" w:hAnsi="黑体" w:eastAsia="黑体"/>
          <w:sz w:val="32"/>
        </w:rPr>
        <w:t>六、一般公共预算财政拨款基本支出决算情况说明</w:t>
      </w:r>
    </w:p>
    <w:p w14:paraId="336157F4">
      <w:pPr>
        <w:spacing w:line="580" w:lineRule="exact"/>
        <w:ind w:firstLine="640"/>
        <w:jc w:val="both"/>
      </w:pPr>
      <w:r>
        <w:rPr>
          <w:rFonts w:ascii="仿宋_GB2312" w:hAnsi="仿宋_GB2312" w:eastAsia="仿宋_GB2312"/>
          <w:b w:val="0"/>
          <w:sz w:val="32"/>
        </w:rPr>
        <w:t>2024年度一般公共预算财政拨款基本支出53.18万元，其中：</w:t>
      </w:r>
      <w:r>
        <w:rPr>
          <w:rFonts w:ascii="仿宋_GB2312" w:hAnsi="仿宋_GB2312" w:eastAsia="仿宋_GB2312"/>
          <w:b/>
          <w:sz w:val="32"/>
        </w:rPr>
        <w:t>人员经费52.39万元，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w:t>
      </w:r>
    </w:p>
    <w:p w14:paraId="3809085F">
      <w:pPr>
        <w:spacing w:line="580" w:lineRule="exact"/>
        <w:ind w:firstLine="640"/>
        <w:jc w:val="both"/>
      </w:pPr>
      <w:r>
        <w:rPr>
          <w:rFonts w:ascii="仿宋_GB2312" w:hAnsi="仿宋_GB2312" w:eastAsia="仿宋_GB2312"/>
          <w:b/>
          <w:sz w:val="32"/>
        </w:rPr>
        <w:t>公用经费0.79万元，</w:t>
      </w:r>
      <w:r>
        <w:rPr>
          <w:rFonts w:ascii="仿宋_GB2312" w:hAnsi="仿宋_GB2312" w:eastAsia="仿宋_GB2312"/>
          <w:b w:val="0"/>
          <w:sz w:val="32"/>
        </w:rPr>
        <w:t>包括：办公费、邮电费、培训费、工会经费、其他交通费用。</w:t>
      </w:r>
    </w:p>
    <w:p w14:paraId="19CCDE23">
      <w:pPr>
        <w:spacing w:line="640" w:lineRule="exact"/>
        <w:ind w:firstLine="640"/>
        <w:jc w:val="both"/>
        <w:outlineLvl w:val="2"/>
      </w:pPr>
      <w:r>
        <w:rPr>
          <w:rFonts w:ascii="黑体" w:hAnsi="黑体" w:eastAsia="黑体"/>
          <w:sz w:val="32"/>
        </w:rPr>
        <w:t>七、政府性基金预算财政拨款收入支出决算情况说明</w:t>
      </w:r>
    </w:p>
    <w:p w14:paraId="01CE0C2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8AF6580">
      <w:pPr>
        <w:spacing w:line="640" w:lineRule="exact"/>
        <w:ind w:firstLine="640"/>
        <w:jc w:val="both"/>
        <w:outlineLvl w:val="2"/>
      </w:pPr>
      <w:r>
        <w:rPr>
          <w:rFonts w:ascii="黑体" w:hAnsi="黑体" w:eastAsia="黑体"/>
          <w:sz w:val="32"/>
        </w:rPr>
        <w:t>八、国有资本经营预算财政拨款收入支出决算情况说明</w:t>
      </w:r>
    </w:p>
    <w:p w14:paraId="41FF79F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8231376">
      <w:pPr>
        <w:spacing w:line="640" w:lineRule="exact"/>
        <w:ind w:firstLine="640"/>
        <w:jc w:val="both"/>
        <w:outlineLvl w:val="2"/>
      </w:pPr>
      <w:r>
        <w:rPr>
          <w:rFonts w:ascii="黑体" w:hAnsi="黑体" w:eastAsia="黑体"/>
          <w:sz w:val="32"/>
        </w:rPr>
        <w:t>九、财政拨款“三公”经费支出决算情况说明</w:t>
      </w:r>
    </w:p>
    <w:p w14:paraId="607DF98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44F5F86">
      <w:pPr>
        <w:spacing w:line="580" w:lineRule="exact"/>
        <w:ind w:firstLine="640"/>
        <w:jc w:val="both"/>
      </w:pPr>
      <w:r>
        <w:rPr>
          <w:rFonts w:ascii="仿宋_GB2312" w:hAnsi="仿宋_GB2312" w:eastAsia="仿宋_GB2312"/>
          <w:b/>
          <w:sz w:val="32"/>
        </w:rPr>
        <w:t>具体情况如下：</w:t>
      </w:r>
    </w:p>
    <w:p w14:paraId="0B463F9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73BAA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58F4A9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A72CDA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AF068B8">
      <w:pPr>
        <w:spacing w:line="640" w:lineRule="exact"/>
        <w:ind w:firstLine="640"/>
        <w:jc w:val="both"/>
        <w:outlineLvl w:val="2"/>
      </w:pPr>
      <w:r>
        <w:rPr>
          <w:rFonts w:ascii="黑体" w:hAnsi="黑体" w:eastAsia="黑体"/>
          <w:sz w:val="32"/>
        </w:rPr>
        <w:t>十、其他重要事项的情况说明</w:t>
      </w:r>
    </w:p>
    <w:p w14:paraId="7DF536CA">
      <w:pPr>
        <w:spacing w:line="640" w:lineRule="exact"/>
        <w:ind w:firstLine="640"/>
        <w:jc w:val="both"/>
        <w:outlineLvl w:val="3"/>
      </w:pPr>
      <w:r>
        <w:rPr>
          <w:rFonts w:ascii="楷体_GB2312" w:hAnsi="楷体_GB2312" w:eastAsia="楷体_GB2312"/>
          <w:b/>
          <w:sz w:val="32"/>
        </w:rPr>
        <w:t>（一）机关运行经费及公用经费支出情况</w:t>
      </w:r>
    </w:p>
    <w:p w14:paraId="449B7D66">
      <w:pPr>
        <w:spacing w:line="580" w:lineRule="exact"/>
        <w:ind w:firstLine="640"/>
        <w:jc w:val="both"/>
      </w:pPr>
      <w:r>
        <w:rPr>
          <w:rFonts w:ascii="仿宋_GB2312" w:hAnsi="仿宋_GB2312" w:eastAsia="仿宋_GB2312"/>
          <w:b w:val="0"/>
          <w:sz w:val="32"/>
        </w:rPr>
        <w:t>2024年度乌鲁木齐市水磨沟区归国华侨联合会（行政单位和参照公务员法管理事业单位）机关运行经费支出0.79万元，比上年减少1.29万元，下降62.02%，主要原因是：本年办公费、其他交通费用减少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w:t>
      </w:r>
      <w:r>
        <w:rPr>
          <w:rFonts w:ascii="仿宋_GB2312" w:hAnsi="仿宋_GB2312" w:eastAsia="仿宋_GB2312"/>
          <w:b w:val="0"/>
          <w:sz w:val="32"/>
        </w:rPr>
        <w:t>机关运行经费支出</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2EA995B8">
      <w:pPr>
        <w:spacing w:line="640" w:lineRule="exact"/>
        <w:ind w:firstLine="640"/>
        <w:jc w:val="both"/>
        <w:outlineLvl w:val="3"/>
      </w:pPr>
      <w:r>
        <w:rPr>
          <w:rFonts w:ascii="楷体_GB2312" w:hAnsi="楷体_GB2312" w:eastAsia="楷体_GB2312"/>
          <w:b/>
          <w:sz w:val="32"/>
        </w:rPr>
        <w:t>（二）政府采购情况</w:t>
      </w:r>
    </w:p>
    <w:p w14:paraId="3972FE3D">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54705C8A">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4BDE120F">
      <w:pPr>
        <w:spacing w:line="640" w:lineRule="exact"/>
        <w:ind w:firstLine="640"/>
        <w:jc w:val="both"/>
        <w:outlineLvl w:val="3"/>
      </w:pPr>
      <w:r>
        <w:rPr>
          <w:rFonts w:ascii="楷体_GB2312" w:hAnsi="楷体_GB2312" w:eastAsia="楷体_GB2312"/>
          <w:b/>
          <w:sz w:val="32"/>
        </w:rPr>
        <w:t>（三）国有资产占用情况说明</w:t>
      </w:r>
    </w:p>
    <w:p w14:paraId="35753FDB">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B31B20A">
      <w:pPr>
        <w:spacing w:line="640" w:lineRule="exact"/>
        <w:ind w:firstLine="640"/>
        <w:jc w:val="both"/>
        <w:outlineLvl w:val="2"/>
      </w:pPr>
      <w:r>
        <w:rPr>
          <w:rFonts w:ascii="黑体" w:hAnsi="黑体" w:eastAsia="黑体"/>
          <w:sz w:val="32"/>
        </w:rPr>
        <w:t>十一、预算绩效的情况说明</w:t>
      </w:r>
    </w:p>
    <w:p w14:paraId="6DFA2D8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56.08万元，实际执行总额53.18万元；预算绩效评价项目0个，全年预算数0.00万元，全年执行数0.00万元。预算绩效管理取得的成效：严格按照财政部门预算编制与预算调整的工作要求，在预算编制、分配依据充分的条件下，切实做好“先定目标再编预算”，确保预算分配结果合理。同时按照水磨沟区预决算信息公开工作要求，部门预算及绩效目标在水磨沟区人民政府官网公开，广泛接受社会监督。发现的问题及原因：一是部门职能不明确，个别工作分工不清晰，且人员培训和绩效考核制度不够完善，考核方案部分内容和人员名单更新滞后；二是预算编制科学性的问题。首先预算编制</w:t>
      </w:r>
      <w:bookmarkStart w:id="0" w:name="_GoBack"/>
      <w:bookmarkEnd w:id="0"/>
      <w:r>
        <w:rPr>
          <w:rFonts w:ascii="仿宋_GB2312" w:hAnsi="仿宋_GB2312" w:eastAsia="仿宋_GB2312"/>
          <w:b w:val="0"/>
          <w:sz w:val="32"/>
        </w:rPr>
        <w:t>合理性相对不足，主要表现在预算调整数较大，年度目标与长期规划衔接的紧密程度需要增强。三是部门整体绩效指标应该是反映职责履行的核心指标，而不是反映具体工作内容或产出的指标。应根据部门“三定”方案确定的主要职能，参考事业发展规划的相关核心指标，综合考核要求等，确定部门履职绩效指标。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w:t>
      </w:r>
    </w:p>
    <w:p w14:paraId="5682E0FB">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A0F3930">
        <w:tblPrEx>
          <w:tblCellMar>
            <w:top w:w="0" w:type="dxa"/>
            <w:left w:w="108" w:type="dxa"/>
            <w:bottom w:w="0" w:type="dxa"/>
            <w:right w:w="108" w:type="dxa"/>
          </w:tblCellMar>
        </w:tblPrEx>
        <w:tc>
          <w:tcPr>
            <w:tcW w:w="8840" w:type="dxa"/>
            <w:gridSpan w:val="8"/>
            <w:vAlign w:val="center"/>
          </w:tcPr>
          <w:p w14:paraId="4541EFDD">
            <w:pPr>
              <w:jc w:val="center"/>
            </w:pPr>
            <w:r>
              <w:rPr>
                <w:rFonts w:ascii="宋体" w:hAnsi="宋体" w:eastAsia="宋体"/>
                <w:sz w:val="24"/>
              </w:rPr>
              <w:t>单位整体支出绩效自评表</w:t>
            </w:r>
          </w:p>
        </w:tc>
      </w:tr>
      <w:tr w14:paraId="082B0724">
        <w:tblPrEx>
          <w:tblCellMar>
            <w:top w:w="0" w:type="dxa"/>
            <w:left w:w="108" w:type="dxa"/>
            <w:bottom w:w="0" w:type="dxa"/>
            <w:right w:w="108" w:type="dxa"/>
          </w:tblCellMar>
        </w:tblPrEx>
        <w:tc>
          <w:tcPr>
            <w:tcW w:w="8840" w:type="dxa"/>
            <w:gridSpan w:val="8"/>
            <w:vAlign w:val="center"/>
          </w:tcPr>
          <w:p w14:paraId="7828C8DE">
            <w:pPr>
              <w:jc w:val="center"/>
            </w:pPr>
            <w:r>
              <w:rPr>
                <w:rFonts w:ascii="宋体" w:hAnsi="宋体" w:eastAsia="宋体"/>
                <w:sz w:val="24"/>
              </w:rPr>
              <w:t>（2024年度）</w:t>
            </w:r>
          </w:p>
        </w:tc>
      </w:tr>
      <w:tr w14:paraId="5C639CE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0D42E6">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E93A6E">
            <w:pPr>
              <w:jc w:val="center"/>
            </w:pPr>
            <w:r>
              <w:rPr>
                <w:rFonts w:ascii="宋体" w:hAnsi="宋体" w:eastAsia="宋体"/>
                <w:sz w:val="16"/>
              </w:rPr>
              <w:t>乌鲁木齐市水磨沟区归国华侨联合会</w:t>
            </w:r>
          </w:p>
        </w:tc>
      </w:tr>
      <w:tr w14:paraId="02730F7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37F82">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7E98A8">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D2DE21">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A9DFB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4975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F776B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D50C6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3D200C">
            <w:pPr>
              <w:jc w:val="center"/>
            </w:pPr>
            <w:r>
              <w:rPr>
                <w:rFonts w:ascii="宋体" w:hAnsi="宋体" w:eastAsia="宋体"/>
                <w:sz w:val="16"/>
              </w:rPr>
              <w:t>得分</w:t>
            </w:r>
          </w:p>
        </w:tc>
      </w:tr>
      <w:tr w14:paraId="6305564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9D823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985E4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B12EA6">
            <w:pPr>
              <w:jc w:val="center"/>
            </w:pPr>
            <w:r>
              <w:rPr>
                <w:rFonts w:ascii="宋体" w:hAnsi="宋体" w:eastAsia="宋体"/>
                <w:sz w:val="16"/>
              </w:rPr>
              <w:t>61.58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BBB900">
            <w:pPr>
              <w:jc w:val="center"/>
            </w:pPr>
            <w:r>
              <w:rPr>
                <w:rFonts w:ascii="宋体" w:hAnsi="宋体" w:eastAsia="宋体"/>
                <w:sz w:val="16"/>
              </w:rPr>
              <w:t>56.08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5F1166">
            <w:pPr>
              <w:jc w:val="center"/>
            </w:pPr>
            <w:r>
              <w:rPr>
                <w:rFonts w:ascii="宋体" w:hAnsi="宋体" w:eastAsia="宋体"/>
                <w:sz w:val="16"/>
              </w:rPr>
              <w:t>53.18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9D703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F97FB8">
            <w:pPr>
              <w:jc w:val="center"/>
            </w:pPr>
            <w:r>
              <w:rPr>
                <w:rFonts w:ascii="宋体" w:hAnsi="宋体" w:eastAsia="宋体"/>
                <w:sz w:val="16"/>
              </w:rPr>
              <w:t>94.83%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7953F5">
            <w:pPr>
              <w:jc w:val="center"/>
            </w:pPr>
            <w:r>
              <w:rPr>
                <w:rFonts w:ascii="宋体" w:hAnsi="宋体" w:eastAsia="宋体"/>
                <w:sz w:val="16"/>
              </w:rPr>
              <w:t>9.48</w:t>
            </w:r>
          </w:p>
        </w:tc>
      </w:tr>
      <w:tr w14:paraId="6967B14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06C29A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86031">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F613B4">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A2906F">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FA9326">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D1568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50BEA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F4CAC9">
            <w:pPr>
              <w:jc w:val="center"/>
            </w:pPr>
            <w:r>
              <w:rPr>
                <w:rFonts w:ascii="宋体" w:hAnsi="宋体" w:eastAsia="宋体"/>
                <w:sz w:val="16"/>
              </w:rPr>
              <w:t>-</w:t>
            </w:r>
          </w:p>
        </w:tc>
      </w:tr>
      <w:tr w14:paraId="7923984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8911A8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EFA218">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508F12">
            <w:pPr>
              <w:jc w:val="center"/>
            </w:pPr>
            <w:r>
              <w:rPr>
                <w:rFonts w:ascii="宋体" w:hAnsi="宋体" w:eastAsia="宋体"/>
                <w:sz w:val="16"/>
              </w:rPr>
              <w:t>60.96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E52B4">
            <w:pPr>
              <w:jc w:val="center"/>
            </w:pPr>
            <w:r>
              <w:rPr>
                <w:rFonts w:ascii="宋体" w:hAnsi="宋体" w:eastAsia="宋体"/>
                <w:sz w:val="16"/>
              </w:rPr>
              <w:t>55.46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0F6069">
            <w:pPr>
              <w:jc w:val="center"/>
            </w:pPr>
            <w:r>
              <w:rPr>
                <w:rFonts w:ascii="宋体" w:hAnsi="宋体" w:eastAsia="宋体"/>
                <w:sz w:val="16"/>
              </w:rPr>
              <w:t>52.56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47B95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68A1C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F3842">
            <w:pPr>
              <w:jc w:val="center"/>
            </w:pPr>
            <w:r>
              <w:rPr>
                <w:rFonts w:ascii="宋体" w:hAnsi="宋体" w:eastAsia="宋体"/>
                <w:sz w:val="16"/>
              </w:rPr>
              <w:t>-</w:t>
            </w:r>
          </w:p>
        </w:tc>
      </w:tr>
      <w:tr w14:paraId="2DD9155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4EE5B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B9535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77AEF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9B125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FBD24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34969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85D54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0AB071">
            <w:pPr>
              <w:jc w:val="center"/>
            </w:pPr>
            <w:r>
              <w:rPr>
                <w:rFonts w:ascii="宋体" w:hAnsi="宋体" w:eastAsia="宋体"/>
                <w:sz w:val="16"/>
              </w:rPr>
              <w:t>-</w:t>
            </w:r>
          </w:p>
        </w:tc>
      </w:tr>
      <w:tr w14:paraId="4473E41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764172">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13799C">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2B3684">
            <w:pPr>
              <w:jc w:val="center"/>
            </w:pPr>
            <w:r>
              <w:rPr>
                <w:rFonts w:ascii="宋体" w:hAnsi="宋体" w:eastAsia="宋体"/>
                <w:sz w:val="16"/>
              </w:rPr>
              <w:t>实际完成情况</w:t>
            </w:r>
          </w:p>
        </w:tc>
      </w:tr>
      <w:tr w14:paraId="72DF4BA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79ABB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6A5BF4">
            <w:pPr>
              <w:jc w:val="both"/>
            </w:pPr>
            <w:r>
              <w:rPr>
                <w:rFonts w:ascii="宋体" w:hAnsi="宋体" w:eastAsia="宋体"/>
                <w:sz w:val="16"/>
              </w:rPr>
              <w:t>一、加强思想政治引领，凝聚侨心，把思想政治工作放在更加突出位置，积极开展学习宣讲和培训活动，组织辖区归侨侨眷代表和侨务</w:t>
            </w:r>
            <w:r>
              <w:rPr>
                <w:rFonts w:hint="eastAsia" w:ascii="宋体" w:hAnsi="宋体"/>
                <w:sz w:val="16"/>
                <w:lang w:eastAsia="zh-CN"/>
              </w:rPr>
              <w:t>骨干</w:t>
            </w:r>
            <w:r>
              <w:rPr>
                <w:rFonts w:ascii="宋体" w:hAnsi="宋体" w:eastAsia="宋体"/>
                <w:sz w:val="16"/>
              </w:rPr>
              <w:t>开展</w:t>
            </w:r>
            <w:r>
              <w:rPr>
                <w:rFonts w:hint="eastAsia" w:ascii="宋体" w:hAnsi="宋体"/>
                <w:sz w:val="16"/>
                <w:lang w:eastAsia="zh-CN"/>
              </w:rPr>
              <w:t>党的二十大精神宣讲</w:t>
            </w:r>
            <w:r>
              <w:rPr>
                <w:rFonts w:ascii="宋体" w:hAnsi="宋体" w:eastAsia="宋体"/>
                <w:sz w:val="16"/>
              </w:rPr>
              <w:t>2次，开展学习座谈活动1次。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二、加强联络交往，不断增进友谊，组织侨联委员和辖区归侨侨眷代表开展座谈联谊活动2次；开展对侨界知名人士的走访慰问活动1次。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三、加强法治宣传教育，推动侨务法治建设，按照</w:t>
            </w:r>
            <w:r>
              <w:rPr>
                <w:rFonts w:hint="eastAsia" w:ascii="宋体" w:hAnsi="宋体"/>
                <w:sz w:val="16"/>
                <w:lang w:eastAsia="zh-CN"/>
              </w:rPr>
              <w:t>区委依法治区办</w:t>
            </w:r>
            <w:r>
              <w:rPr>
                <w:rFonts w:ascii="宋体" w:hAnsi="宋体" w:eastAsia="宋体"/>
                <w:sz w:val="16"/>
              </w:rPr>
              <w:t>有关要求，认真开展好法治宣传教育活动，加强《</w:t>
            </w:r>
            <w:r>
              <w:rPr>
                <w:rFonts w:hint="eastAsia" w:ascii="宋体" w:hAnsi="宋体"/>
                <w:sz w:val="16"/>
                <w:lang w:eastAsia="zh-CN"/>
              </w:rPr>
              <w:t>中华人民共和国归侨侨眷权益保护法</w:t>
            </w:r>
            <w:r>
              <w:rPr>
                <w:rFonts w:ascii="宋体" w:hAnsi="宋体" w:eastAsia="宋体"/>
                <w:sz w:val="16"/>
              </w:rPr>
              <w:t>》等涉侨法律法规和政策学习宣传，维护归侨侨眷合法权益，着力营造全社会自觉关心尊重侨众、依法维护侨益的浓厚舆论氛围。</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四、关注侨界民生，强化为侨服务，积极向区财政争取经费，持续开展好 “送温暖、献爱心”活动，积极帮助解决他们的实际困难和问题，让他们切身感受到党和政府的关心和温暖，让改革发展的成果惠及广大侨眷、侨胞。在全年重大节日期间走访慰问老年、贫困归侨侨眷15人次。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五、加强交流学习，加强与市侨联和其他友好区县侨联的学习和联系交流，争取多走出去，学习他们好的工作经验和工作方法，进一步提升工作水平。</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97C1F4">
            <w:pPr>
              <w:jc w:val="both"/>
            </w:pPr>
            <w:r>
              <w:rPr>
                <w:rFonts w:ascii="宋体" w:hAnsi="宋体" w:eastAsia="宋体"/>
                <w:sz w:val="16"/>
              </w:rPr>
              <w:t>一、</w:t>
            </w:r>
            <w:r>
              <w:rPr>
                <w:rFonts w:hint="eastAsia" w:ascii="宋体" w:hAnsi="宋体"/>
                <w:sz w:val="16"/>
                <w:lang w:eastAsia="zh-CN"/>
              </w:rPr>
              <w:t>本单位</w:t>
            </w:r>
            <w:r>
              <w:rPr>
                <w:rFonts w:ascii="宋体" w:hAnsi="宋体" w:eastAsia="宋体"/>
                <w:sz w:val="16"/>
              </w:rPr>
              <w:t>按照《水区侨联2024年工作要点》和区委巡察整改要求把思想政治工作放在更加突出位置，积极开展学习宣讲和培训活动，组织辖区归侨侨眷代表和侨务兼干开展学习宣讲。区侨联积极下沉10个街道举办侨务知识培训班10期，由侨联秘书长亲自授课，讲解了新时代侨务工作指导思想、“侨”的身份认定和涉侨法律法规等侨务知识，提升了社区干部运用法治思维为民服务的能力，累计培训街道、社区干部106人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w:t>
            </w:r>
            <w:r>
              <w:rPr>
                <w:rFonts w:hint="eastAsia" w:ascii="宋体" w:hAnsi="宋体"/>
                <w:sz w:val="16"/>
                <w:lang w:eastAsia="zh-CN"/>
              </w:rPr>
              <w:t>本单位</w:t>
            </w:r>
            <w:r>
              <w:rPr>
                <w:rFonts w:ascii="宋体" w:hAnsi="宋体" w:eastAsia="宋体"/>
                <w:sz w:val="16"/>
              </w:rPr>
              <w:t>4月2日组织召开水区侨联五届三次全会，向第五届侨联委员和各街道办事处分管侨务工作领导传达学习了习近平总书记关于侨务工作的重要论述和自治区侨联八届三次全会精神，总结水区侨联2023年工作情况，研究部署2024年工作任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w:t>
            </w:r>
            <w:r>
              <w:rPr>
                <w:rFonts w:hint="eastAsia" w:ascii="宋体" w:hAnsi="宋体"/>
                <w:sz w:val="16"/>
                <w:lang w:eastAsia="zh-CN"/>
              </w:rPr>
              <w:t>本单位</w:t>
            </w:r>
            <w:r>
              <w:rPr>
                <w:rFonts w:ascii="宋体" w:hAnsi="宋体" w:eastAsia="宋体"/>
                <w:sz w:val="16"/>
              </w:rPr>
              <w:t>2024年资金紧张，积极争取自治区、市侨联的支持帮助。在2024年春节、古尔邦节、中秋节、国庆节前夕，陆续开展了“送温暖、献爱心”活动，对辖区12户老年贫困归侨侨眷进行了走访慰问，为他们送去米面油等慰问品和节日的祝福，并通过他们向海外亲友致以节日的问候，使他们真正感受到党和政府对归侨侨眷的关心和爱护，感受到祖国的温暖。</w:t>
            </w:r>
          </w:p>
        </w:tc>
      </w:tr>
      <w:tr w14:paraId="42FEE08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124E3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A6EEA1">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976B6E">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9BCF01">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B1B7E8">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930081">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CC95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DE1BF6">
            <w:pPr>
              <w:jc w:val="center"/>
            </w:pPr>
            <w:r>
              <w:rPr>
                <w:rFonts w:ascii="宋体" w:hAnsi="宋体" w:eastAsia="宋体"/>
                <w:sz w:val="16"/>
              </w:rPr>
              <w:t>得分</w:t>
            </w:r>
          </w:p>
        </w:tc>
      </w:tr>
      <w:tr w14:paraId="6232DF3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08E3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24D2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C50AA9">
            <w:pPr>
              <w:jc w:val="center"/>
            </w:pPr>
            <w:r>
              <w:rPr>
                <w:rFonts w:ascii="宋体" w:hAnsi="宋体" w:eastAsia="宋体"/>
                <w:sz w:val="16"/>
              </w:rPr>
              <w:t>涉侨法律法规和政策学习宣传次数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BF79E2">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167154">
            <w:pPr>
              <w:jc w:val="center"/>
            </w:pPr>
            <w:r>
              <w:rPr>
                <w:rFonts w:ascii="宋体" w:hAnsi="宋体" w:eastAsia="宋体"/>
                <w:sz w:val="16"/>
              </w:rPr>
              <w:t>基层侨联组织工作条例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EE48F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A3E8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0A221D">
            <w:pPr>
              <w:jc w:val="center"/>
            </w:pPr>
            <w:r>
              <w:rPr>
                <w:rFonts w:ascii="宋体" w:hAnsi="宋体" w:eastAsia="宋体"/>
                <w:sz w:val="16"/>
              </w:rPr>
              <w:t>30</w:t>
            </w:r>
          </w:p>
        </w:tc>
      </w:tr>
      <w:tr w14:paraId="7B5BFE3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FAB13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820A3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C95C13">
            <w:pPr>
              <w:jc w:val="center"/>
            </w:pPr>
            <w:r>
              <w:rPr>
                <w:rFonts w:ascii="宋体" w:hAnsi="宋体" w:eastAsia="宋体"/>
                <w:sz w:val="16"/>
              </w:rPr>
              <w:t>召开侨联委员会全体会议次数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8DE871">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90AE0">
            <w:pPr>
              <w:jc w:val="center"/>
            </w:pPr>
            <w:r>
              <w:rPr>
                <w:rFonts w:ascii="宋体" w:hAnsi="宋体" w:eastAsia="宋体"/>
                <w:sz w:val="16"/>
              </w:rPr>
              <w:t>中华全国归国华侨联合会章程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C7147E">
            <w:pPr>
              <w:jc w:val="center"/>
            </w:pPr>
            <w:r>
              <w:rPr>
                <w:rFonts w:ascii="宋体" w:hAnsi="宋体" w:eastAsia="宋体"/>
                <w:sz w:val="16"/>
              </w:rPr>
              <w:t>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53362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4E5B33">
            <w:pPr>
              <w:jc w:val="center"/>
            </w:pPr>
            <w:r>
              <w:rPr>
                <w:rFonts w:ascii="宋体" w:hAnsi="宋体" w:eastAsia="宋体"/>
                <w:sz w:val="16"/>
              </w:rPr>
              <w:t>30</w:t>
            </w:r>
          </w:p>
        </w:tc>
      </w:tr>
      <w:tr w14:paraId="4FEE6E1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A553DB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0D2A2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C65952">
            <w:pPr>
              <w:jc w:val="center"/>
            </w:pPr>
            <w:r>
              <w:rPr>
                <w:rFonts w:ascii="宋体" w:hAnsi="宋体" w:eastAsia="宋体"/>
                <w:sz w:val="16"/>
              </w:rPr>
              <w:t>重大节日走访慰问老年侨眷人次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2EBC3E">
            <w:pPr>
              <w:jc w:val="center"/>
            </w:pPr>
            <w:r>
              <w:rPr>
                <w:rFonts w:ascii="宋体" w:hAnsi="宋体" w:eastAsia="宋体"/>
                <w:sz w:val="16"/>
              </w:rPr>
              <w:t>=5人次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2B7C05">
            <w:pPr>
              <w:jc w:val="center"/>
            </w:pPr>
            <w:r>
              <w:rPr>
                <w:rFonts w:ascii="宋体" w:hAnsi="宋体" w:eastAsia="宋体"/>
                <w:sz w:val="16"/>
              </w:rPr>
              <w:t>2024年水区侨联工作要点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6394F4">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22F7E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F67CE5">
            <w:pPr>
              <w:jc w:val="center"/>
            </w:pPr>
            <w:r>
              <w:rPr>
                <w:rFonts w:ascii="宋体" w:hAnsi="宋体" w:eastAsia="宋体"/>
                <w:sz w:val="16"/>
              </w:rPr>
              <w:t>30</w:t>
            </w:r>
          </w:p>
        </w:tc>
      </w:tr>
    </w:tbl>
    <w:p w14:paraId="61FF0714">
      <w:r>
        <w:br w:type="page"/>
      </w:r>
    </w:p>
    <w:p w14:paraId="61BD2F03">
      <w:pPr>
        <w:spacing w:line="640" w:lineRule="exact"/>
        <w:ind w:firstLine="640"/>
        <w:jc w:val="both"/>
        <w:outlineLvl w:val="2"/>
      </w:pPr>
      <w:r>
        <w:rPr>
          <w:rFonts w:ascii="黑体" w:hAnsi="黑体" w:eastAsia="黑体"/>
          <w:sz w:val="32"/>
        </w:rPr>
        <w:t>十二、其他需说明的事项</w:t>
      </w:r>
    </w:p>
    <w:p w14:paraId="6C159A22">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5BA14135">
      <w:r>
        <w:br w:type="page"/>
      </w:r>
    </w:p>
    <w:p w14:paraId="5419F305">
      <w:pPr>
        <w:spacing w:line="240" w:lineRule="auto"/>
        <w:jc w:val="center"/>
        <w:outlineLvl w:val="1"/>
      </w:pPr>
      <w:r>
        <w:rPr>
          <w:rFonts w:ascii="黑体" w:hAnsi="黑体" w:eastAsia="黑体"/>
          <w:sz w:val="32"/>
        </w:rPr>
        <w:t>第三部分 专业名词解释</w:t>
      </w:r>
    </w:p>
    <w:p w14:paraId="28B390B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3F5603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348579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0DBB86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821A1F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F959F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203692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A85D51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D7A73E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80E805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1C8413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B8017A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E92F67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94E2C7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5E49E9B">
      <w:r>
        <w:br w:type="page"/>
      </w:r>
    </w:p>
    <w:p w14:paraId="0E5EF9CB">
      <w:pPr>
        <w:spacing w:line="240" w:lineRule="auto"/>
        <w:jc w:val="center"/>
        <w:outlineLvl w:val="1"/>
      </w:pPr>
      <w:r>
        <w:rPr>
          <w:rFonts w:ascii="黑体" w:hAnsi="黑体" w:eastAsia="黑体"/>
          <w:sz w:val="32"/>
        </w:rPr>
        <w:t>第四部分 部门决算报表（见附表）</w:t>
      </w:r>
    </w:p>
    <w:p w14:paraId="0B7A8E93">
      <w:pPr>
        <w:spacing w:line="240" w:lineRule="auto"/>
        <w:ind w:firstLine="640"/>
        <w:jc w:val="both"/>
      </w:pPr>
      <w:r>
        <w:rPr>
          <w:rFonts w:ascii="仿宋_GB2312" w:hAnsi="仿宋_GB2312" w:eastAsia="仿宋_GB2312"/>
          <w:b w:val="0"/>
          <w:sz w:val="32"/>
        </w:rPr>
        <w:t>一、《收入支出决算总表》</w:t>
      </w:r>
    </w:p>
    <w:p w14:paraId="634802C1">
      <w:pPr>
        <w:spacing w:line="240" w:lineRule="auto"/>
        <w:ind w:firstLine="640"/>
        <w:jc w:val="both"/>
      </w:pPr>
      <w:r>
        <w:rPr>
          <w:rFonts w:ascii="仿宋_GB2312" w:hAnsi="仿宋_GB2312" w:eastAsia="仿宋_GB2312"/>
          <w:b w:val="0"/>
          <w:sz w:val="32"/>
        </w:rPr>
        <w:t>二、《收入决算表》</w:t>
      </w:r>
    </w:p>
    <w:p w14:paraId="1E59B602">
      <w:pPr>
        <w:spacing w:line="240" w:lineRule="auto"/>
        <w:ind w:firstLine="640"/>
        <w:jc w:val="both"/>
      </w:pPr>
      <w:r>
        <w:rPr>
          <w:rFonts w:ascii="仿宋_GB2312" w:hAnsi="仿宋_GB2312" w:eastAsia="仿宋_GB2312"/>
          <w:b w:val="0"/>
          <w:sz w:val="32"/>
        </w:rPr>
        <w:t>三、《支出决算表》</w:t>
      </w:r>
    </w:p>
    <w:p w14:paraId="7CD69F57">
      <w:pPr>
        <w:spacing w:line="240" w:lineRule="auto"/>
        <w:ind w:firstLine="640"/>
        <w:jc w:val="both"/>
      </w:pPr>
      <w:r>
        <w:rPr>
          <w:rFonts w:ascii="仿宋_GB2312" w:hAnsi="仿宋_GB2312" w:eastAsia="仿宋_GB2312"/>
          <w:b w:val="0"/>
          <w:sz w:val="32"/>
        </w:rPr>
        <w:t>四、《财政拨款收入支出决算总表》</w:t>
      </w:r>
    </w:p>
    <w:p w14:paraId="0423B89E">
      <w:pPr>
        <w:spacing w:line="240" w:lineRule="auto"/>
        <w:ind w:firstLine="640"/>
        <w:jc w:val="both"/>
      </w:pPr>
      <w:r>
        <w:rPr>
          <w:rFonts w:ascii="仿宋_GB2312" w:hAnsi="仿宋_GB2312" w:eastAsia="仿宋_GB2312"/>
          <w:b w:val="0"/>
          <w:sz w:val="32"/>
        </w:rPr>
        <w:t>五、《一般公共预算财政拨款支出决算表》</w:t>
      </w:r>
    </w:p>
    <w:p w14:paraId="23FDF113">
      <w:pPr>
        <w:spacing w:line="240" w:lineRule="auto"/>
        <w:ind w:firstLine="640"/>
        <w:jc w:val="both"/>
      </w:pPr>
      <w:r>
        <w:rPr>
          <w:rFonts w:ascii="仿宋_GB2312" w:hAnsi="仿宋_GB2312" w:eastAsia="仿宋_GB2312"/>
          <w:b w:val="0"/>
          <w:sz w:val="32"/>
        </w:rPr>
        <w:t>六、《一般公共预算财政拨款基本支出决算表》</w:t>
      </w:r>
    </w:p>
    <w:p w14:paraId="598EE923">
      <w:pPr>
        <w:spacing w:line="240" w:lineRule="auto"/>
        <w:ind w:firstLine="640"/>
        <w:jc w:val="both"/>
      </w:pPr>
      <w:r>
        <w:rPr>
          <w:rFonts w:ascii="仿宋_GB2312" w:hAnsi="仿宋_GB2312" w:eastAsia="仿宋_GB2312"/>
          <w:b w:val="0"/>
          <w:sz w:val="32"/>
        </w:rPr>
        <w:t>七、《政府性基金预算财政拨款收入支出决算表》</w:t>
      </w:r>
    </w:p>
    <w:p w14:paraId="5993A133">
      <w:pPr>
        <w:spacing w:line="240" w:lineRule="auto"/>
        <w:ind w:firstLine="640"/>
        <w:jc w:val="both"/>
      </w:pPr>
      <w:r>
        <w:rPr>
          <w:rFonts w:ascii="仿宋_GB2312" w:hAnsi="仿宋_GB2312" w:eastAsia="仿宋_GB2312"/>
          <w:b w:val="0"/>
          <w:sz w:val="32"/>
        </w:rPr>
        <w:t>八、《国有资本经营预算财政拨款收入支出决算表》</w:t>
      </w:r>
    </w:p>
    <w:p w14:paraId="3424782B">
      <w:pPr>
        <w:spacing w:line="240" w:lineRule="auto"/>
        <w:ind w:firstLine="640"/>
        <w:jc w:val="both"/>
      </w:pPr>
      <w:r>
        <w:rPr>
          <w:rFonts w:ascii="仿宋_GB2312" w:hAnsi="仿宋_GB2312" w:eastAsia="仿宋_GB2312"/>
          <w:b w:val="0"/>
          <w:sz w:val="32"/>
        </w:rPr>
        <w:t>九、《财政拨款“三公”经费支出决算表》</w:t>
      </w:r>
    </w:p>
    <w:p w14:paraId="034FA4CB">
      <w:pPr>
        <w:spacing w:line="240" w:lineRule="auto"/>
        <w:ind w:firstLine="640"/>
        <w:jc w:val="both"/>
      </w:pPr>
    </w:p>
    <w:p w14:paraId="0BDC3132">
      <w:pPr>
        <w:spacing w:line="240" w:lineRule="auto"/>
        <w:ind w:firstLine="640"/>
        <w:jc w:val="both"/>
      </w:pPr>
    </w:p>
    <w:p w14:paraId="26766873">
      <w:pPr>
        <w:spacing w:line="240" w:lineRule="auto"/>
        <w:ind w:firstLine="640"/>
        <w:jc w:val="both"/>
      </w:pPr>
    </w:p>
    <w:p w14:paraId="7AA813F1">
      <w:pPr>
        <w:spacing w:line="240" w:lineRule="auto"/>
        <w:ind w:firstLine="640"/>
        <w:jc w:val="both"/>
      </w:pPr>
    </w:p>
    <w:p w14:paraId="25BB52A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9465105"/>
    <w:rsid w:val="3B1220C9"/>
    <w:rsid w:val="3D5275AC"/>
    <w:rsid w:val="3E9C3889"/>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5e5bc-a610-49ea-b86f-e99455724d9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4469</Words>
  <Characters>4990</Characters>
  <Lines>0</Lines>
  <Paragraphs>0</Paragraphs>
  <TotalTime>1</TotalTime>
  <ScaleCrop>false</ScaleCrop>
  <LinksUpToDate>false</LinksUpToDate>
  <CharactersWithSpaces>4998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