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中国人民政治协商会议乌鲁木齐市水磨沟区委员会办公室2024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68D7C8F">
      <w:r>
        <w:br w:type="page"/>
      </w:r>
    </w:p>
    <w:p w14:paraId="295A7400">
      <w:pPr>
        <w:spacing w:line="640" w:lineRule="exact"/>
        <w:jc w:val="center"/>
        <w:outlineLvl w:val="1"/>
      </w:pPr>
      <w:r>
        <w:rPr>
          <w:rFonts w:ascii="黑体" w:hAnsi="黑体" w:eastAsia="黑体"/>
          <w:sz w:val="32"/>
        </w:rPr>
        <w:t>第一部分 单位概况</w:t>
      </w:r>
    </w:p>
    <w:p w14:paraId="2947BE25">
      <w:pPr>
        <w:spacing w:line="640" w:lineRule="exact"/>
        <w:ind w:firstLine="640"/>
        <w:jc w:val="both"/>
        <w:outlineLvl w:val="2"/>
      </w:pPr>
      <w:r>
        <w:rPr>
          <w:rFonts w:ascii="黑体" w:hAnsi="黑体" w:eastAsia="黑体"/>
          <w:sz w:val="32"/>
        </w:rPr>
        <w:t>一、主要职能</w:t>
      </w:r>
    </w:p>
    <w:p w14:paraId="36037331">
      <w:pPr>
        <w:spacing w:line="580" w:lineRule="exact"/>
        <w:ind w:firstLine="640"/>
        <w:jc w:val="both"/>
      </w:pPr>
      <w:r>
        <w:rPr>
          <w:rFonts w:ascii="仿宋_GB2312" w:hAnsi="仿宋_GB2312" w:eastAsia="仿宋_GB2312"/>
          <w:sz w:val="32"/>
        </w:rPr>
        <w:t>（一）负责区政协党组会议、全体会议、</w:t>
      </w:r>
      <w:r>
        <w:rPr>
          <w:rFonts w:hint="eastAsia" w:ascii="仿宋_GB2312" w:hAnsi="仿宋_GB2312" w:eastAsia="仿宋_GB2312"/>
          <w:sz w:val="32"/>
          <w:lang w:eastAsia="zh-CN"/>
        </w:rPr>
        <w:t>常务委员会</w:t>
      </w:r>
      <w:r>
        <w:rPr>
          <w:rFonts w:ascii="仿宋_GB2312" w:hAnsi="仿宋_GB2312" w:eastAsia="仿宋_GB2312"/>
          <w:sz w:val="32"/>
        </w:rPr>
        <w:t>议，主席会议、专委会议以及以区政协名义召开的各种会议的会务工作；负责区政协重大活动的计划、组织工作。</w:t>
      </w:r>
    </w:p>
    <w:p w14:paraId="74578FF5">
      <w:pPr>
        <w:spacing w:line="580" w:lineRule="exact"/>
        <w:ind w:firstLine="640"/>
        <w:jc w:val="both"/>
      </w:pPr>
      <w:r>
        <w:rPr>
          <w:rFonts w:ascii="仿宋_GB2312" w:hAnsi="仿宋_GB2312" w:eastAsia="仿宋_GB2312"/>
          <w:sz w:val="32"/>
        </w:rPr>
        <w:t>（二）负责组织实施区政协委员会全体会议、</w:t>
      </w:r>
      <w:bookmarkStart w:id="0" w:name="_GoBack"/>
      <w:r>
        <w:rPr>
          <w:rFonts w:hint="eastAsia" w:ascii="仿宋_GB2312" w:hAnsi="仿宋_GB2312" w:eastAsia="仿宋_GB2312"/>
          <w:sz w:val="32"/>
          <w:lang w:eastAsia="zh-CN"/>
        </w:rPr>
        <w:t>常务委员会会议、</w:t>
      </w:r>
      <w:bookmarkEnd w:id="0"/>
      <w:r>
        <w:rPr>
          <w:rFonts w:ascii="仿宋_GB2312" w:hAnsi="仿宋_GB2312" w:eastAsia="仿宋_GB2312"/>
          <w:sz w:val="32"/>
        </w:rPr>
        <w:t>主席会议的决议和决定。</w:t>
      </w:r>
    </w:p>
    <w:p w14:paraId="421964E7">
      <w:pPr>
        <w:spacing w:line="580" w:lineRule="exact"/>
        <w:ind w:firstLine="640"/>
        <w:jc w:val="both"/>
      </w:pPr>
      <w:r>
        <w:rPr>
          <w:rFonts w:ascii="仿宋_GB2312" w:hAnsi="仿宋_GB2312" w:eastAsia="仿宋_GB2312"/>
          <w:sz w:val="32"/>
        </w:rPr>
        <w:t>（三）负责区政协机关文件、文稿的起草、修改、校核、印发和日常文书处理工作。</w:t>
      </w:r>
    </w:p>
    <w:p w14:paraId="7EA8C77D">
      <w:pPr>
        <w:spacing w:line="580" w:lineRule="exact"/>
        <w:ind w:firstLine="640"/>
        <w:jc w:val="both"/>
      </w:pPr>
      <w:r>
        <w:rPr>
          <w:rFonts w:ascii="仿宋_GB2312" w:hAnsi="仿宋_GB2312" w:eastAsia="仿宋_GB2312"/>
          <w:sz w:val="32"/>
        </w:rPr>
        <w:t>（四）负责与上级政协和区委、区人大、区政府办公室的联系，负责与各民主党派、工商联、工青妇等有关单位的联系。</w:t>
      </w:r>
    </w:p>
    <w:p w14:paraId="77E0747A">
      <w:pPr>
        <w:spacing w:line="580" w:lineRule="exact"/>
        <w:ind w:firstLine="640"/>
        <w:jc w:val="both"/>
      </w:pPr>
      <w:r>
        <w:rPr>
          <w:rFonts w:ascii="仿宋_GB2312" w:hAnsi="仿宋_GB2312" w:eastAsia="仿宋_GB2312"/>
          <w:sz w:val="32"/>
        </w:rPr>
        <w:t>（五）负责区政协的年度工作计划、工作方案、相关会议材料、领导的讲话和有关文件的起草，以及材料的上报下发。</w:t>
      </w:r>
    </w:p>
    <w:p w14:paraId="4BA78E32">
      <w:pPr>
        <w:spacing w:line="580" w:lineRule="exact"/>
        <w:ind w:firstLine="640"/>
        <w:jc w:val="both"/>
      </w:pPr>
      <w:r>
        <w:rPr>
          <w:rFonts w:ascii="仿宋_GB2312" w:hAnsi="仿宋_GB2312" w:eastAsia="仿宋_GB2312"/>
          <w:sz w:val="32"/>
        </w:rPr>
        <w:t>（六）负责委员视察、考察、座谈、研讨、调研、学习等活动的计划、组织和服务工作。</w:t>
      </w:r>
    </w:p>
    <w:p w14:paraId="0E7F4025">
      <w:pPr>
        <w:spacing w:line="580" w:lineRule="exact"/>
        <w:ind w:firstLine="640"/>
        <w:jc w:val="both"/>
      </w:pPr>
      <w:r>
        <w:rPr>
          <w:rFonts w:ascii="仿宋_GB2312" w:hAnsi="仿宋_GB2312" w:eastAsia="仿宋_GB2312"/>
          <w:sz w:val="32"/>
        </w:rPr>
        <w:t>（七）负责区政协委员的服务和来信来访工作。</w:t>
      </w:r>
    </w:p>
    <w:p w14:paraId="2FC4A68C">
      <w:pPr>
        <w:spacing w:line="580" w:lineRule="exact"/>
        <w:ind w:firstLine="640"/>
        <w:jc w:val="both"/>
      </w:pPr>
      <w:r>
        <w:rPr>
          <w:rFonts w:ascii="仿宋_GB2312" w:hAnsi="仿宋_GB2312" w:eastAsia="仿宋_GB2312"/>
          <w:sz w:val="32"/>
        </w:rPr>
        <w:t>（八）负责区政协各专门委员会开展活动的协调和服务工作。</w:t>
      </w:r>
    </w:p>
    <w:p w14:paraId="1CE12597">
      <w:pPr>
        <w:spacing w:line="580" w:lineRule="exact"/>
        <w:ind w:firstLine="640"/>
        <w:jc w:val="both"/>
      </w:pPr>
      <w:r>
        <w:rPr>
          <w:rFonts w:ascii="仿宋_GB2312" w:hAnsi="仿宋_GB2312" w:eastAsia="仿宋_GB2312"/>
          <w:sz w:val="32"/>
        </w:rPr>
        <w:t>（九）负责区政协的档案、资料、信访、安全、接待、精神文明创建、财务财产及人员、车辆管理等工作。</w:t>
      </w:r>
    </w:p>
    <w:p w14:paraId="78872B2F">
      <w:pPr>
        <w:spacing w:line="580" w:lineRule="exact"/>
        <w:ind w:firstLine="640"/>
        <w:jc w:val="both"/>
      </w:pPr>
      <w:r>
        <w:rPr>
          <w:rFonts w:ascii="仿宋_GB2312" w:hAnsi="仿宋_GB2312" w:eastAsia="仿宋_GB2312"/>
          <w:sz w:val="32"/>
        </w:rPr>
        <w:t>（十）负责反映督办委员社情民意信息工作。</w:t>
      </w:r>
    </w:p>
    <w:p w14:paraId="4AC82344">
      <w:pPr>
        <w:spacing w:line="580" w:lineRule="exact"/>
        <w:ind w:firstLine="640"/>
        <w:jc w:val="both"/>
      </w:pPr>
      <w:r>
        <w:rPr>
          <w:rFonts w:ascii="仿宋_GB2312" w:hAnsi="仿宋_GB2312" w:eastAsia="仿宋_GB2312"/>
          <w:sz w:val="32"/>
        </w:rPr>
        <w:t>（十一）负责区政协委员履职形成的调研、视察报告和提案的修改、报送、督办工作。</w:t>
      </w:r>
    </w:p>
    <w:p w14:paraId="09286E9D">
      <w:pPr>
        <w:spacing w:line="580" w:lineRule="exact"/>
        <w:ind w:firstLine="640"/>
        <w:jc w:val="both"/>
      </w:pPr>
      <w:r>
        <w:rPr>
          <w:rFonts w:ascii="仿宋_GB2312" w:hAnsi="仿宋_GB2312" w:eastAsia="仿宋_GB2312"/>
          <w:sz w:val="32"/>
        </w:rPr>
        <w:t>（十二）负责区政协日常的事务性工作。</w:t>
      </w:r>
    </w:p>
    <w:p w14:paraId="3486883D">
      <w:pPr>
        <w:spacing w:line="580" w:lineRule="exact"/>
        <w:ind w:firstLine="640"/>
        <w:jc w:val="both"/>
      </w:pPr>
      <w:r>
        <w:rPr>
          <w:rFonts w:ascii="仿宋_GB2312" w:hAnsi="仿宋_GB2312" w:eastAsia="仿宋_GB2312"/>
          <w:sz w:val="32"/>
        </w:rPr>
        <w:t>（十三）完成区委交办的其他任务。</w:t>
      </w:r>
    </w:p>
    <w:p w14:paraId="25FC48C4">
      <w:pPr>
        <w:spacing w:line="640" w:lineRule="exact"/>
        <w:ind w:firstLine="640"/>
        <w:jc w:val="both"/>
        <w:outlineLvl w:val="2"/>
      </w:pPr>
      <w:r>
        <w:rPr>
          <w:rFonts w:ascii="黑体" w:hAnsi="黑体" w:eastAsia="黑体"/>
          <w:sz w:val="32"/>
        </w:rPr>
        <w:t>二、机构设置及人员情况</w:t>
      </w:r>
    </w:p>
    <w:p w14:paraId="0047F719">
      <w:pPr>
        <w:spacing w:line="580" w:lineRule="exact"/>
        <w:ind w:firstLine="640"/>
        <w:jc w:val="both"/>
      </w:pPr>
      <w:r>
        <w:rPr>
          <w:rFonts w:ascii="仿宋_GB2312" w:hAnsi="仿宋_GB2312" w:eastAsia="仿宋_GB2312"/>
          <w:sz w:val="32"/>
        </w:rPr>
        <w:t>中国人民政治协商会议乌鲁木齐市水磨沟区委员会办公室2024年度，实有人数9人，其中：在职人员9人，增加0人；离休人员0人，增加0人；退休人员0人,减少1人。</w:t>
      </w:r>
    </w:p>
    <w:p w14:paraId="2B1D4818">
      <w:pPr>
        <w:spacing w:line="580" w:lineRule="exact"/>
        <w:ind w:firstLine="640"/>
        <w:jc w:val="both"/>
      </w:pPr>
      <w:r>
        <w:rPr>
          <w:rFonts w:ascii="仿宋_GB2312" w:hAnsi="仿宋_GB2312" w:eastAsia="仿宋_GB2312"/>
          <w:sz w:val="32"/>
        </w:rPr>
        <w:t>中国人民政治协商会议乌鲁木齐市水磨沟区委员会办公室无下属预算单位，下设1个科室，分别是：政协办公室。</w:t>
      </w:r>
    </w:p>
    <w:p w14:paraId="67B5BF2B">
      <w:r>
        <w:br w:type="page"/>
      </w:r>
    </w:p>
    <w:p w14:paraId="183D1D6D">
      <w:pPr>
        <w:spacing w:line="240" w:lineRule="auto"/>
        <w:jc w:val="center"/>
        <w:outlineLvl w:val="1"/>
      </w:pPr>
      <w:r>
        <w:rPr>
          <w:rFonts w:ascii="黑体" w:hAnsi="黑体" w:eastAsia="黑体"/>
          <w:sz w:val="32"/>
        </w:rPr>
        <w:t>第二部分 部门决算情况说明</w:t>
      </w:r>
    </w:p>
    <w:p w14:paraId="2CB86E83">
      <w:pPr>
        <w:spacing w:line="640" w:lineRule="exact"/>
        <w:ind w:firstLine="640"/>
        <w:jc w:val="both"/>
        <w:outlineLvl w:val="2"/>
      </w:pPr>
      <w:r>
        <w:rPr>
          <w:rFonts w:ascii="黑体" w:hAnsi="黑体" w:eastAsia="黑体"/>
          <w:sz w:val="32"/>
        </w:rPr>
        <w:t>一、收入支出决算总体情况说明</w:t>
      </w:r>
    </w:p>
    <w:p w14:paraId="6AAFDA05">
      <w:pPr>
        <w:spacing w:line="580" w:lineRule="exact"/>
        <w:ind w:firstLine="640"/>
        <w:jc w:val="both"/>
      </w:pPr>
      <w:r>
        <w:rPr>
          <w:rFonts w:ascii="仿宋_GB2312" w:hAnsi="仿宋_GB2312" w:eastAsia="仿宋_GB2312"/>
          <w:b/>
          <w:sz w:val="32"/>
        </w:rPr>
        <w:t>2024年度收入总计256.59万元，</w:t>
      </w:r>
      <w:r>
        <w:rPr>
          <w:rFonts w:ascii="仿宋_GB2312" w:hAnsi="仿宋_GB2312" w:eastAsia="仿宋_GB2312"/>
          <w:b w:val="0"/>
          <w:sz w:val="32"/>
        </w:rPr>
        <w:t>其中：本年收入合计240.88万元，使用非财政拨款结余（含专用结余）0.00万元，年初结转和结余15.71万元。</w:t>
      </w:r>
    </w:p>
    <w:p w14:paraId="218BC3D7">
      <w:pPr>
        <w:spacing w:line="580" w:lineRule="exact"/>
        <w:ind w:firstLine="640"/>
        <w:jc w:val="both"/>
      </w:pPr>
      <w:r>
        <w:rPr>
          <w:rFonts w:ascii="仿宋_GB2312" w:hAnsi="仿宋_GB2312" w:eastAsia="仿宋_GB2312"/>
          <w:b/>
          <w:sz w:val="32"/>
        </w:rPr>
        <w:t>2024年度支出总计256.59万元，</w:t>
      </w:r>
      <w:r>
        <w:rPr>
          <w:rFonts w:ascii="仿宋_GB2312" w:hAnsi="仿宋_GB2312" w:eastAsia="仿宋_GB2312"/>
          <w:b w:val="0"/>
          <w:sz w:val="32"/>
        </w:rPr>
        <w:t>其中：本年支出合计239.52万元，结余分配0.00万元，年末结转和结余17.07万元。</w:t>
      </w:r>
    </w:p>
    <w:p w14:paraId="1A255675">
      <w:pPr>
        <w:spacing w:line="580" w:lineRule="exact"/>
        <w:ind w:firstLine="640"/>
        <w:jc w:val="both"/>
      </w:pPr>
      <w:r>
        <w:rPr>
          <w:rFonts w:ascii="仿宋_GB2312" w:hAnsi="仿宋_GB2312" w:eastAsia="仿宋_GB2312"/>
          <w:b w:val="0"/>
          <w:sz w:val="32"/>
        </w:rPr>
        <w:t>收入支出总体与上年相比，减少20.51万元，下降7.40%，主要原因是：本年减少政协全委会经费，下派工作组工作队经费，临聘人员劳务费，基层政协补助经费。</w:t>
      </w:r>
    </w:p>
    <w:p w14:paraId="1486171C">
      <w:pPr>
        <w:spacing w:line="640" w:lineRule="exact"/>
        <w:ind w:firstLine="640"/>
        <w:jc w:val="both"/>
        <w:outlineLvl w:val="2"/>
      </w:pPr>
      <w:r>
        <w:rPr>
          <w:rFonts w:ascii="黑体" w:hAnsi="黑体" w:eastAsia="黑体"/>
          <w:sz w:val="32"/>
        </w:rPr>
        <w:t>二、收入决算情况说明</w:t>
      </w:r>
    </w:p>
    <w:p w14:paraId="59CF74C4">
      <w:pPr>
        <w:spacing w:line="580" w:lineRule="exact"/>
        <w:ind w:firstLine="640"/>
        <w:jc w:val="both"/>
      </w:pPr>
      <w:r>
        <w:rPr>
          <w:rFonts w:ascii="仿宋_GB2312" w:hAnsi="仿宋_GB2312" w:eastAsia="仿宋_GB2312"/>
          <w:b/>
          <w:sz w:val="32"/>
        </w:rPr>
        <w:t>本年收入240.88万元，</w:t>
      </w:r>
      <w:r>
        <w:rPr>
          <w:rFonts w:ascii="仿宋_GB2312" w:hAnsi="仿宋_GB2312" w:eastAsia="仿宋_GB2312"/>
          <w:b w:val="0"/>
          <w:sz w:val="32"/>
        </w:rPr>
        <w:t>其中：财政拨款收入240.88万元，占100.00%；上级补助收入0.00万元，占0.00%；事业收入0.00万元，占0.00%；经营收入0.00万元，占0.00%；附属单位上缴收入0.00万元，占0.00%；其他收入0.00万元，占0.00%。</w:t>
      </w:r>
    </w:p>
    <w:p w14:paraId="75A618B5">
      <w:pPr>
        <w:spacing w:line="640" w:lineRule="exact"/>
        <w:ind w:firstLine="640"/>
        <w:jc w:val="both"/>
        <w:outlineLvl w:val="2"/>
      </w:pPr>
      <w:r>
        <w:rPr>
          <w:rFonts w:ascii="黑体" w:hAnsi="黑体" w:eastAsia="黑体"/>
          <w:sz w:val="32"/>
        </w:rPr>
        <w:t>三、支出决算情况说明</w:t>
      </w:r>
    </w:p>
    <w:p w14:paraId="6E2399A3">
      <w:pPr>
        <w:spacing w:line="580" w:lineRule="exact"/>
        <w:ind w:firstLine="640"/>
        <w:jc w:val="both"/>
      </w:pPr>
      <w:r>
        <w:rPr>
          <w:rFonts w:ascii="仿宋_GB2312" w:hAnsi="仿宋_GB2312" w:eastAsia="仿宋_GB2312"/>
          <w:b/>
          <w:sz w:val="32"/>
        </w:rPr>
        <w:t>本年支出239.52万元，</w:t>
      </w:r>
      <w:r>
        <w:rPr>
          <w:rFonts w:ascii="仿宋_GB2312" w:hAnsi="仿宋_GB2312" w:eastAsia="仿宋_GB2312"/>
          <w:b w:val="0"/>
          <w:sz w:val="32"/>
        </w:rPr>
        <w:t>其中：基本支出219.70万元，占91.73%；项目支出19.83万元，占8.28%；上缴上级支出0.00万元，占0.00%；经营支出0.00万元，占0.00%；对附属单位补助支出0.00万元，占0.00%。</w:t>
      </w:r>
    </w:p>
    <w:p w14:paraId="1D6C4D4A">
      <w:pPr>
        <w:spacing w:line="640" w:lineRule="exact"/>
        <w:ind w:firstLine="640"/>
        <w:jc w:val="both"/>
        <w:outlineLvl w:val="2"/>
      </w:pPr>
      <w:r>
        <w:rPr>
          <w:rFonts w:ascii="黑体" w:hAnsi="黑体" w:eastAsia="黑体"/>
          <w:sz w:val="32"/>
        </w:rPr>
        <w:t>四、财政拨款收入支出决算总体情况说明</w:t>
      </w:r>
    </w:p>
    <w:p w14:paraId="6654D7C7">
      <w:pPr>
        <w:spacing w:line="580" w:lineRule="exact"/>
        <w:ind w:firstLine="640"/>
        <w:jc w:val="both"/>
      </w:pPr>
      <w:r>
        <w:rPr>
          <w:rFonts w:ascii="仿宋_GB2312" w:hAnsi="仿宋_GB2312" w:eastAsia="仿宋_GB2312"/>
          <w:b/>
          <w:sz w:val="32"/>
        </w:rPr>
        <w:t>2024年度财政拨款收入总计254.24万元，</w:t>
      </w:r>
      <w:r>
        <w:rPr>
          <w:rFonts w:ascii="仿宋_GB2312" w:hAnsi="仿宋_GB2312" w:eastAsia="仿宋_GB2312"/>
          <w:b w:val="0"/>
          <w:sz w:val="32"/>
        </w:rPr>
        <w:t>其中：年初财政拨款结转和结余13.37万元，本年财政拨款收入240.88万元。</w:t>
      </w:r>
      <w:r>
        <w:rPr>
          <w:rFonts w:ascii="仿宋_GB2312" w:hAnsi="仿宋_GB2312" w:eastAsia="仿宋_GB2312"/>
          <w:b/>
          <w:sz w:val="32"/>
        </w:rPr>
        <w:t>财政拨款支出总计254.24万元，</w:t>
      </w:r>
      <w:r>
        <w:rPr>
          <w:rFonts w:ascii="仿宋_GB2312" w:hAnsi="仿宋_GB2312" w:eastAsia="仿宋_GB2312"/>
          <w:b w:val="0"/>
          <w:sz w:val="32"/>
        </w:rPr>
        <w:t>其中：年末财政拨款结转和结余15.07万元，本年财政拨款支出239.18万元。</w:t>
      </w:r>
    </w:p>
    <w:p w14:paraId="3A703BD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减少20.51万元，下降7.46%，主要原因是：本年减少政协全委会经费，下派工作组工作队经费，临聘人员劳务费，基层政协补助经费。</w:t>
      </w:r>
      <w:r>
        <w:rPr>
          <w:rFonts w:ascii="仿宋_GB2312" w:hAnsi="仿宋_GB2312" w:eastAsia="仿宋_GB2312"/>
          <w:b/>
          <w:sz w:val="32"/>
        </w:rPr>
        <w:t>与年初预算相比，</w:t>
      </w:r>
      <w:r>
        <w:rPr>
          <w:rFonts w:ascii="仿宋_GB2312" w:hAnsi="仿宋_GB2312" w:eastAsia="仿宋_GB2312"/>
          <w:b w:val="0"/>
          <w:sz w:val="32"/>
        </w:rPr>
        <w:t>年初预算数665.29万元，决算数254.24万元，预决算差异率-61.79%，主要原因是：包联领导工作经费未执行，年中调减经费，导致预决算存在差异。</w:t>
      </w:r>
    </w:p>
    <w:p w14:paraId="55D06FB1">
      <w:pPr>
        <w:spacing w:line="640" w:lineRule="exact"/>
        <w:ind w:firstLine="640"/>
        <w:jc w:val="both"/>
        <w:outlineLvl w:val="2"/>
      </w:pPr>
      <w:r>
        <w:rPr>
          <w:rFonts w:ascii="黑体" w:hAnsi="黑体" w:eastAsia="黑体"/>
          <w:sz w:val="32"/>
        </w:rPr>
        <w:t>五、一般公共预算财政拨款支出决算情况说明</w:t>
      </w:r>
    </w:p>
    <w:p w14:paraId="42F92159">
      <w:pPr>
        <w:spacing w:line="640" w:lineRule="exact"/>
        <w:ind w:firstLine="640"/>
        <w:jc w:val="both"/>
        <w:outlineLvl w:val="3"/>
      </w:pPr>
      <w:r>
        <w:rPr>
          <w:rFonts w:ascii="楷体_GB2312" w:hAnsi="楷体_GB2312" w:eastAsia="楷体_GB2312"/>
          <w:b/>
          <w:sz w:val="32"/>
        </w:rPr>
        <w:t>（一）一般公共预算财政拨款支出决算总体情况</w:t>
      </w:r>
    </w:p>
    <w:p w14:paraId="24D8C1D7">
      <w:pPr>
        <w:spacing w:line="580" w:lineRule="exact"/>
        <w:ind w:firstLine="640"/>
        <w:jc w:val="both"/>
      </w:pPr>
      <w:r>
        <w:rPr>
          <w:rFonts w:ascii="仿宋_GB2312" w:hAnsi="仿宋_GB2312" w:eastAsia="仿宋_GB2312"/>
          <w:b/>
          <w:sz w:val="32"/>
        </w:rPr>
        <w:t>2024年度一般公共预算财政拨款支出239.18万元，</w:t>
      </w:r>
      <w:r>
        <w:rPr>
          <w:rFonts w:ascii="仿宋_GB2312" w:hAnsi="仿宋_GB2312" w:eastAsia="仿宋_GB2312"/>
          <w:b w:val="0"/>
          <w:sz w:val="32"/>
        </w:rPr>
        <w:t>占本年支出合计的99.86%。</w:t>
      </w:r>
      <w:r>
        <w:rPr>
          <w:rFonts w:ascii="仿宋_GB2312" w:hAnsi="仿宋_GB2312" w:eastAsia="仿宋_GB2312"/>
          <w:b/>
          <w:sz w:val="32"/>
        </w:rPr>
        <w:t>与上年相比，</w:t>
      </w:r>
      <w:r>
        <w:rPr>
          <w:rFonts w:ascii="仿宋_GB2312" w:hAnsi="仿宋_GB2312" w:eastAsia="仿宋_GB2312"/>
          <w:b w:val="0"/>
          <w:sz w:val="32"/>
        </w:rPr>
        <w:t>减少22.20万元，下降8.49%，主要原因是：本年减少政协全委会经费，下派工作组工作队经费，临聘人员劳务费，基层政协补助经费。</w:t>
      </w:r>
      <w:r>
        <w:rPr>
          <w:rFonts w:ascii="仿宋_GB2312" w:hAnsi="仿宋_GB2312" w:eastAsia="仿宋_GB2312"/>
          <w:b/>
          <w:sz w:val="32"/>
        </w:rPr>
        <w:t>与年初预算相比,</w:t>
      </w:r>
      <w:r>
        <w:rPr>
          <w:rFonts w:ascii="仿宋_GB2312" w:hAnsi="仿宋_GB2312" w:eastAsia="仿宋_GB2312"/>
          <w:b w:val="0"/>
          <w:sz w:val="32"/>
        </w:rPr>
        <w:t>年初预算数665.29万元，决算数239.18万元，预决算差异率-64.05%，主要原因是：包联领导工作经费未执行，年中调减经费，导致预决算存在差异。</w:t>
      </w:r>
    </w:p>
    <w:p w14:paraId="4D2644C5">
      <w:pPr>
        <w:spacing w:line="640" w:lineRule="exact"/>
        <w:ind w:firstLine="640"/>
        <w:jc w:val="both"/>
        <w:outlineLvl w:val="3"/>
      </w:pPr>
      <w:r>
        <w:rPr>
          <w:rFonts w:ascii="楷体_GB2312" w:hAnsi="楷体_GB2312" w:eastAsia="楷体_GB2312"/>
          <w:b/>
          <w:sz w:val="32"/>
        </w:rPr>
        <w:t>（二）一般公共预算财政拨款支出决算结构情况</w:t>
      </w:r>
    </w:p>
    <w:p w14:paraId="11050491">
      <w:pPr>
        <w:spacing w:line="580" w:lineRule="exact"/>
        <w:ind w:firstLine="640"/>
        <w:jc w:val="both"/>
      </w:pPr>
      <w:r>
        <w:rPr>
          <w:rFonts w:ascii="仿宋_GB2312" w:hAnsi="仿宋_GB2312" w:eastAsia="仿宋_GB2312"/>
          <w:b w:val="0"/>
          <w:sz w:val="32"/>
        </w:rPr>
        <w:t>1.一般公共服务支出(类)207.18万元,占86.62%。</w:t>
      </w:r>
    </w:p>
    <w:p w14:paraId="4E358E26">
      <w:pPr>
        <w:spacing w:line="580" w:lineRule="exact"/>
        <w:ind w:firstLine="640"/>
        <w:jc w:val="both"/>
      </w:pPr>
      <w:r>
        <w:rPr>
          <w:rFonts w:ascii="仿宋_GB2312" w:hAnsi="仿宋_GB2312" w:eastAsia="仿宋_GB2312"/>
          <w:b w:val="0"/>
          <w:sz w:val="32"/>
        </w:rPr>
        <w:t>2.社会保障和就业支出(类)32.00万元,占13.38%。</w:t>
      </w:r>
    </w:p>
    <w:p w14:paraId="3DF8A6DF">
      <w:pPr>
        <w:spacing w:line="640" w:lineRule="exact"/>
        <w:ind w:firstLine="640"/>
        <w:jc w:val="both"/>
        <w:outlineLvl w:val="3"/>
      </w:pPr>
      <w:r>
        <w:rPr>
          <w:rFonts w:ascii="楷体_GB2312" w:hAnsi="楷体_GB2312" w:eastAsia="楷体_GB2312"/>
          <w:b/>
          <w:sz w:val="32"/>
        </w:rPr>
        <w:t>（三）一般公共预算财政拨款支出决算具体情况</w:t>
      </w:r>
    </w:p>
    <w:p w14:paraId="0BAABC12">
      <w:pPr>
        <w:spacing w:line="580" w:lineRule="exact"/>
        <w:ind w:firstLine="640"/>
        <w:jc w:val="both"/>
      </w:pPr>
      <w:r>
        <w:rPr>
          <w:rFonts w:ascii="仿宋_GB2312" w:hAnsi="仿宋_GB2312" w:eastAsia="仿宋_GB2312"/>
          <w:b w:val="0"/>
          <w:sz w:val="32"/>
        </w:rPr>
        <w:t>1.一般公共服务支出(类)政协事务(款)行政运行(项):支出决算数为187.35万元，比上年决算减少8.94万元，下降4.55%,主要原因是：本年在职人员津贴补贴、奖金较上年减少。</w:t>
      </w:r>
    </w:p>
    <w:p w14:paraId="7E20AE4F">
      <w:pPr>
        <w:spacing w:line="580" w:lineRule="exact"/>
        <w:ind w:firstLine="640"/>
        <w:jc w:val="both"/>
      </w:pPr>
      <w:r>
        <w:rPr>
          <w:rFonts w:ascii="仿宋_GB2312" w:hAnsi="仿宋_GB2312" w:eastAsia="仿宋_GB2312"/>
          <w:b w:val="0"/>
          <w:sz w:val="32"/>
        </w:rPr>
        <w:t>2.一般公共服务支出(类)政协事务(款)政协会议(项):支出决算数为15.51万元，比上年决算增加15.51万元，增长100.00%,主要原因是：本年增加十届四次政协会议经费。</w:t>
      </w:r>
    </w:p>
    <w:p w14:paraId="15C4E5B6">
      <w:pPr>
        <w:spacing w:line="580" w:lineRule="exact"/>
        <w:ind w:firstLine="640"/>
        <w:jc w:val="both"/>
      </w:pPr>
      <w:r>
        <w:rPr>
          <w:rFonts w:ascii="仿宋_GB2312" w:hAnsi="仿宋_GB2312" w:eastAsia="仿宋_GB2312"/>
          <w:b w:val="0"/>
          <w:sz w:val="32"/>
        </w:rPr>
        <w:t>3.一般公共服务支出(类)政协事务(款)其他政协事务支出(项):支出决算数为4.31万元，比上年决算减少40.08万元，下降90.29%,主要原因是：本年减少政协全委会经费，临聘人员劳务费，基层政协补助经费，导致经费较上年减少。</w:t>
      </w:r>
    </w:p>
    <w:p w14:paraId="6BC4D2E1">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4.社会保障和就业支出(类)民政管理事务(款)基层政权建设和社区治理(项):支出决算数为0.00万元，比上年决算减少1.26万元，下降100.00%,主要原因是：本年减少人员津贴补贴。</w:t>
      </w:r>
    </w:p>
    <w:p w14:paraId="4681929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22.11万元，比上年决算增加3.03万元，增长15.88%,主要原因是：本年在职人员工资基数调增，养老缴费基数上涨，相应支出增加。</w:t>
      </w:r>
    </w:p>
    <w:p w14:paraId="72548A27">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9.90万元，比上年决算增加9.90万元，增长100.00%,主要原因是：本年补发上年退休人员的职业年金，职业年金缴费支出增加。</w:t>
      </w:r>
    </w:p>
    <w:p w14:paraId="62BDCC43">
      <w:pPr>
        <w:spacing w:line="580" w:lineRule="exact"/>
        <w:ind w:firstLine="640"/>
        <w:jc w:val="both"/>
      </w:pPr>
      <w:r>
        <w:rPr>
          <w:rFonts w:ascii="仿宋_GB2312" w:hAnsi="仿宋_GB2312" w:eastAsia="仿宋_GB2312"/>
          <w:b w:val="0"/>
          <w:sz w:val="32"/>
        </w:rPr>
        <w:t>7.其他支出(类)其他支出(款)其他支出(项):支出决算数为0.00万元，比上年决算减少0.36万元，下降100.00%,主要原因是：本年减少下派工作组工作经费。</w:t>
      </w:r>
    </w:p>
    <w:p w14:paraId="5D1E007D">
      <w:pPr>
        <w:spacing w:line="640" w:lineRule="exact"/>
        <w:ind w:firstLine="640"/>
        <w:jc w:val="both"/>
        <w:outlineLvl w:val="2"/>
      </w:pPr>
      <w:r>
        <w:rPr>
          <w:rFonts w:ascii="黑体" w:hAnsi="黑体" w:eastAsia="黑体"/>
          <w:sz w:val="32"/>
        </w:rPr>
        <w:t>六、一般公共预算财政拨款基本支出决算情况说明</w:t>
      </w:r>
    </w:p>
    <w:p w14:paraId="325A726F">
      <w:pPr>
        <w:spacing w:line="580" w:lineRule="exact"/>
        <w:ind w:firstLine="640"/>
        <w:jc w:val="both"/>
      </w:pPr>
      <w:r>
        <w:rPr>
          <w:rFonts w:ascii="仿宋_GB2312" w:hAnsi="仿宋_GB2312" w:eastAsia="仿宋_GB2312"/>
          <w:b w:val="0"/>
          <w:sz w:val="32"/>
        </w:rPr>
        <w:t>2024年度一般公共预算财政拨款基本支出219.35万元，其中：</w:t>
      </w:r>
      <w:r>
        <w:rPr>
          <w:rFonts w:ascii="仿宋_GB2312" w:hAnsi="仿宋_GB2312" w:eastAsia="仿宋_GB2312"/>
          <w:b/>
          <w:sz w:val="32"/>
        </w:rPr>
        <w:t>人员经费212.23万元，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w:t>
      </w:r>
    </w:p>
    <w:p w14:paraId="5D2443CA">
      <w:pPr>
        <w:spacing w:line="580" w:lineRule="exact"/>
        <w:ind w:firstLine="640"/>
        <w:jc w:val="both"/>
      </w:pPr>
      <w:r>
        <w:rPr>
          <w:rFonts w:ascii="仿宋_GB2312" w:hAnsi="仿宋_GB2312" w:eastAsia="仿宋_GB2312"/>
          <w:b/>
          <w:sz w:val="32"/>
        </w:rPr>
        <w:t>公用经费7.13万元，</w:t>
      </w:r>
      <w:r>
        <w:rPr>
          <w:rFonts w:ascii="仿宋_GB2312" w:hAnsi="仿宋_GB2312" w:eastAsia="仿宋_GB2312"/>
          <w:b w:val="0"/>
          <w:sz w:val="32"/>
        </w:rPr>
        <w:t>包括：办公费、邮电费、工会经费、公务用车运行维护费。</w:t>
      </w:r>
    </w:p>
    <w:p w14:paraId="087CA775">
      <w:pPr>
        <w:spacing w:line="640" w:lineRule="exact"/>
        <w:ind w:firstLine="640"/>
        <w:jc w:val="both"/>
        <w:outlineLvl w:val="2"/>
      </w:pPr>
      <w:r>
        <w:rPr>
          <w:rFonts w:ascii="黑体" w:hAnsi="黑体" w:eastAsia="黑体"/>
          <w:sz w:val="32"/>
        </w:rPr>
        <w:t>七、政府性基金预算财政拨款收入支出决算情况说明</w:t>
      </w:r>
    </w:p>
    <w:p w14:paraId="5FE7B36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0AFF8E0">
      <w:pPr>
        <w:spacing w:line="640" w:lineRule="exact"/>
        <w:ind w:firstLine="640"/>
        <w:jc w:val="both"/>
        <w:outlineLvl w:val="2"/>
      </w:pPr>
      <w:r>
        <w:rPr>
          <w:rFonts w:ascii="黑体" w:hAnsi="黑体" w:eastAsia="黑体"/>
          <w:sz w:val="32"/>
        </w:rPr>
        <w:t>八、国有资本经营预算财政拨款收入支出决算情况说明</w:t>
      </w:r>
    </w:p>
    <w:p w14:paraId="5259317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7E1AFA0">
      <w:pPr>
        <w:spacing w:line="640" w:lineRule="exact"/>
        <w:ind w:firstLine="640"/>
        <w:jc w:val="both"/>
        <w:outlineLvl w:val="2"/>
      </w:pPr>
      <w:r>
        <w:rPr>
          <w:rFonts w:ascii="黑体" w:hAnsi="黑体" w:eastAsia="黑体"/>
          <w:sz w:val="32"/>
        </w:rPr>
        <w:t>九、财政拨款“三公”经费支出决算情况说明</w:t>
      </w:r>
    </w:p>
    <w:p w14:paraId="0BE43D2C">
      <w:pPr>
        <w:spacing w:line="580" w:lineRule="exact"/>
        <w:ind w:firstLine="640"/>
        <w:jc w:val="both"/>
      </w:pPr>
      <w:r>
        <w:rPr>
          <w:rFonts w:ascii="仿宋_GB2312" w:hAnsi="仿宋_GB2312" w:eastAsia="仿宋_GB2312"/>
          <w:b/>
          <w:sz w:val="32"/>
        </w:rPr>
        <w:t>2024年度财政拨款“三公”经费支出6.56万元，</w:t>
      </w:r>
      <w:r>
        <w:rPr>
          <w:rFonts w:ascii="仿宋_GB2312" w:hAnsi="仿宋_GB2312" w:eastAsia="仿宋_GB2312"/>
          <w:b w:val="0"/>
          <w:sz w:val="32"/>
        </w:rPr>
        <w:t>比上年增加2.34万元，增长55.45%，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6.56万元，占100.00%，比上年增加2.34万元，增长55.45%，主要原因是：本年因业务需求，用车次数增加，燃油费增加，导致公务用车运行维护费较上年增加。公务接待费支出0.00万元，占0.00%，比上年增加0.00万元，增长0.00%，主要原因是：2023年与2024年均未安排公务接待费支出。</w:t>
      </w:r>
    </w:p>
    <w:p w14:paraId="4AC9FECD">
      <w:pPr>
        <w:spacing w:line="580" w:lineRule="exact"/>
        <w:ind w:firstLine="640"/>
        <w:jc w:val="both"/>
      </w:pPr>
      <w:r>
        <w:rPr>
          <w:rFonts w:ascii="仿宋_GB2312" w:hAnsi="仿宋_GB2312" w:eastAsia="仿宋_GB2312"/>
          <w:b/>
          <w:sz w:val="32"/>
        </w:rPr>
        <w:t>具体情况如下：</w:t>
      </w:r>
    </w:p>
    <w:p w14:paraId="34D1C9C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3F9D712">
      <w:pPr>
        <w:spacing w:line="580" w:lineRule="exact"/>
        <w:ind w:firstLine="640"/>
        <w:jc w:val="both"/>
      </w:pPr>
      <w:r>
        <w:rPr>
          <w:rFonts w:ascii="仿宋_GB2312" w:hAnsi="仿宋_GB2312" w:eastAsia="仿宋_GB2312"/>
          <w:b w:val="0"/>
          <w:sz w:val="32"/>
        </w:rPr>
        <w:t>公务用车购置及运行维护费6.56万元，其中：公务用车购置费0.00万元，公务用车运行维护费6.56万元。公务用车运行维护费开支内容包括车辆燃油费，车辆保险费。公务用车购置数0辆，公务用车保有量5辆。国有资产占用情况中固定资产车辆5辆，与公务用车保有量差异原因是：本年本单位固定资产车辆与公务用车保有量一致无差异。</w:t>
      </w:r>
    </w:p>
    <w:p w14:paraId="7DDF33A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E94367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6.56万元，决算数6.56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6.56万元，决算数6.56万元，预决算差异率0.00%，主要原因是：严格按照预算执行，预决算无差异。公务接待费全年预算数0.00万元，决算数0.00万元，预决算差异率0.00%，主要原因是：本单位无公务接待费。</w:t>
      </w:r>
    </w:p>
    <w:p w14:paraId="6BE18EF2">
      <w:pPr>
        <w:spacing w:line="640" w:lineRule="exact"/>
        <w:ind w:firstLine="640"/>
        <w:jc w:val="both"/>
        <w:outlineLvl w:val="2"/>
      </w:pPr>
      <w:r>
        <w:rPr>
          <w:rFonts w:ascii="黑体" w:hAnsi="黑体" w:eastAsia="黑体"/>
          <w:sz w:val="32"/>
        </w:rPr>
        <w:t>十、其他重要事项的情况说明</w:t>
      </w:r>
    </w:p>
    <w:p w14:paraId="24DF9F1F">
      <w:pPr>
        <w:spacing w:line="640" w:lineRule="exact"/>
        <w:ind w:firstLine="640"/>
        <w:jc w:val="both"/>
        <w:outlineLvl w:val="3"/>
      </w:pPr>
      <w:r>
        <w:rPr>
          <w:rFonts w:ascii="楷体_GB2312" w:hAnsi="楷体_GB2312" w:eastAsia="楷体_GB2312"/>
          <w:b/>
          <w:sz w:val="32"/>
        </w:rPr>
        <w:t>（一）机关运行经费及公用经费支出情况</w:t>
      </w:r>
    </w:p>
    <w:p w14:paraId="59D8F89D">
      <w:pPr>
        <w:spacing w:line="580" w:lineRule="exact"/>
        <w:ind w:firstLine="640"/>
        <w:jc w:val="both"/>
      </w:pPr>
      <w:r>
        <w:rPr>
          <w:rFonts w:ascii="仿宋_GB2312" w:hAnsi="仿宋_GB2312" w:eastAsia="仿宋_GB2312"/>
          <w:b w:val="0"/>
          <w:sz w:val="32"/>
        </w:rPr>
        <w:t>2024年度中国人民政治协商会议乌鲁木齐市水磨沟区委员会办公室（行政单位和参照公务员法管理事业单位）机关运行经费支出7.13万元，比上年增加0.19万元，增长2.74%，主要原因是：本年更新、维护补充办公用品，导致机关运行经费较上年增加。</w:t>
      </w:r>
    </w:p>
    <w:p w14:paraId="0D503093">
      <w:pPr>
        <w:spacing w:line="640" w:lineRule="exact"/>
        <w:ind w:firstLine="640"/>
        <w:jc w:val="both"/>
        <w:outlineLvl w:val="3"/>
      </w:pPr>
      <w:r>
        <w:rPr>
          <w:rFonts w:ascii="楷体_GB2312" w:hAnsi="楷体_GB2312" w:eastAsia="楷体_GB2312"/>
          <w:b/>
          <w:sz w:val="32"/>
        </w:rPr>
        <w:t>（二）政府采购情况</w:t>
      </w:r>
    </w:p>
    <w:p w14:paraId="0E7BFEFF">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28879CF7">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0011D295">
      <w:pPr>
        <w:spacing w:line="640" w:lineRule="exact"/>
        <w:ind w:firstLine="640"/>
        <w:jc w:val="both"/>
        <w:outlineLvl w:val="3"/>
      </w:pPr>
      <w:r>
        <w:rPr>
          <w:rFonts w:ascii="楷体_GB2312" w:hAnsi="楷体_GB2312" w:eastAsia="楷体_GB2312"/>
          <w:b/>
          <w:sz w:val="32"/>
        </w:rPr>
        <w:t>（三）国有资产占用情况说明</w:t>
      </w:r>
    </w:p>
    <w:p w14:paraId="74F1FFC1">
      <w:pPr>
        <w:spacing w:line="580" w:lineRule="exact"/>
        <w:ind w:firstLine="640"/>
        <w:jc w:val="both"/>
      </w:pPr>
      <w:r>
        <w:rPr>
          <w:rFonts w:ascii="仿宋_GB2312" w:hAnsi="仿宋_GB2312" w:eastAsia="仿宋_GB2312"/>
          <w:b w:val="0"/>
          <w:sz w:val="32"/>
        </w:rPr>
        <w:t>截至2024年12月31日，房屋0.00平方米，价值0.00万元。车辆5辆，价值94.09万元，其中：副部（省）级及以上领导用车0辆、主要负责人用车0辆、机要通信用车0辆、应急保障用车0辆、执法执勤用车0辆、特种专业技术用车0辆、离退休干部服务用车0辆、其他用车5辆，其他用车主要是：一般公务用车。单价100万元（含）以上设备（不含车辆）0台（套）。</w:t>
      </w:r>
    </w:p>
    <w:p w14:paraId="39B6BF5D">
      <w:pPr>
        <w:spacing w:line="640" w:lineRule="exact"/>
        <w:ind w:firstLine="640"/>
        <w:jc w:val="both"/>
        <w:outlineLvl w:val="2"/>
      </w:pPr>
      <w:r>
        <w:rPr>
          <w:rFonts w:ascii="黑体" w:hAnsi="黑体" w:eastAsia="黑体"/>
          <w:sz w:val="32"/>
        </w:rPr>
        <w:t>十一、预算绩效的情况说明</w:t>
      </w:r>
    </w:p>
    <w:p w14:paraId="761A6B2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256.59万元，实际执行总额239.52万元；预算绩效评价项目2个，全年预算数24.62万元，全年执行数19.82万元。预算绩效管理取得的成效：一是确保资金的高效使用，切实发挥财政资金使用</w:t>
      </w:r>
      <w:r>
        <w:rPr>
          <w:rFonts w:hint="eastAsia" w:ascii="仿宋_GB2312" w:hAnsi="仿宋_GB2312" w:eastAsia="仿宋_GB2312"/>
          <w:b w:val="0"/>
          <w:sz w:val="32"/>
          <w:lang w:eastAsia="zh-CN"/>
        </w:rPr>
        <w:t>作用</w:t>
      </w:r>
      <w:r>
        <w:rPr>
          <w:rFonts w:ascii="仿宋_GB2312" w:hAnsi="仿宋_GB2312" w:eastAsia="仿宋_GB2312"/>
          <w:b w:val="0"/>
          <w:sz w:val="32"/>
        </w:rPr>
        <w:t>；二是严格按照工作职责和相关文件依据，确保专款专用；三是严格控制资金的流出方向，确保资金的合规性。发现的问题及原因：一是工作人员的数量、结构均无法满足当前工作需要，亟需成立相关工作机构，细化责任分工；二是预算编制科学性的问题。首先</w:t>
      </w:r>
      <w:r>
        <w:rPr>
          <w:rFonts w:hint="eastAsia" w:ascii="仿宋_GB2312" w:hAnsi="仿宋_GB2312" w:eastAsia="仿宋_GB2312"/>
          <w:b w:val="0"/>
          <w:sz w:val="32"/>
          <w:lang w:eastAsia="zh-CN"/>
        </w:rPr>
        <w:t>预算编制</w:t>
      </w:r>
      <w:r>
        <w:rPr>
          <w:rFonts w:ascii="仿宋_GB2312" w:hAnsi="仿宋_GB2312" w:eastAsia="仿宋_GB2312"/>
          <w:b w:val="0"/>
          <w:sz w:val="32"/>
        </w:rPr>
        <w:t>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部门整体绩效指标应从单位全局高度出发，围绕单位履职的核心任务，分析提炼单位年度目标，再细化为具体的三级指标，以结果性、效益性指标为主。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具体附整体支出绩效自评表，项目支出绩效自评表和评价报告。</w:t>
      </w:r>
    </w:p>
    <w:p w14:paraId="10830DC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1A047DF">
        <w:tblPrEx>
          <w:tblCellMar>
            <w:top w:w="0" w:type="dxa"/>
            <w:left w:w="108" w:type="dxa"/>
            <w:bottom w:w="0" w:type="dxa"/>
            <w:right w:w="108" w:type="dxa"/>
          </w:tblCellMar>
        </w:tblPrEx>
        <w:tc>
          <w:tcPr>
            <w:tcW w:w="8840" w:type="dxa"/>
            <w:gridSpan w:val="8"/>
            <w:vAlign w:val="center"/>
          </w:tcPr>
          <w:p w14:paraId="503C3039">
            <w:pPr>
              <w:jc w:val="center"/>
            </w:pPr>
            <w:r>
              <w:rPr>
                <w:rFonts w:ascii="宋体" w:hAnsi="宋体" w:eastAsia="宋体"/>
                <w:sz w:val="24"/>
              </w:rPr>
              <w:t>单位整体支出绩效自评表</w:t>
            </w:r>
          </w:p>
        </w:tc>
      </w:tr>
      <w:tr w14:paraId="05E02F60">
        <w:tblPrEx>
          <w:tblCellMar>
            <w:top w:w="0" w:type="dxa"/>
            <w:left w:w="108" w:type="dxa"/>
            <w:bottom w:w="0" w:type="dxa"/>
            <w:right w:w="108" w:type="dxa"/>
          </w:tblCellMar>
        </w:tblPrEx>
        <w:tc>
          <w:tcPr>
            <w:tcW w:w="8840" w:type="dxa"/>
            <w:gridSpan w:val="8"/>
            <w:vAlign w:val="center"/>
          </w:tcPr>
          <w:p w14:paraId="2D4D3D32">
            <w:pPr>
              <w:jc w:val="center"/>
            </w:pPr>
            <w:r>
              <w:rPr>
                <w:rFonts w:ascii="宋体" w:hAnsi="宋体" w:eastAsia="宋体"/>
                <w:sz w:val="24"/>
              </w:rPr>
              <w:t>（2024年度）</w:t>
            </w:r>
          </w:p>
        </w:tc>
      </w:tr>
      <w:tr w14:paraId="38271E6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D7A30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426AD5">
            <w:pPr>
              <w:jc w:val="center"/>
            </w:pPr>
            <w:r>
              <w:rPr>
                <w:rFonts w:ascii="宋体" w:hAnsi="宋体" w:eastAsia="宋体"/>
                <w:sz w:val="16"/>
              </w:rPr>
              <w:t>中国人民政治协商会议乌鲁木齐市水磨沟区委员会办公室</w:t>
            </w:r>
          </w:p>
        </w:tc>
      </w:tr>
      <w:tr w14:paraId="1436F82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92268">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E0650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65DA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12B88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2E92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B0CE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E3E2D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A5F629">
            <w:pPr>
              <w:jc w:val="center"/>
            </w:pPr>
            <w:r>
              <w:rPr>
                <w:rFonts w:ascii="宋体" w:hAnsi="宋体" w:eastAsia="宋体"/>
                <w:sz w:val="16"/>
              </w:rPr>
              <w:t>得分</w:t>
            </w:r>
          </w:p>
        </w:tc>
      </w:tr>
      <w:tr w14:paraId="7A9D71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91710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94B52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C1CD0">
            <w:pPr>
              <w:jc w:val="center"/>
            </w:pPr>
            <w:r>
              <w:rPr>
                <w:rFonts w:ascii="宋体" w:hAnsi="宋体" w:eastAsia="宋体"/>
                <w:sz w:val="16"/>
              </w:rPr>
              <w:t>665.29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CF88F">
            <w:pPr>
              <w:jc w:val="center"/>
            </w:pPr>
            <w:r>
              <w:rPr>
                <w:rFonts w:ascii="宋体" w:hAnsi="宋体" w:eastAsia="宋体"/>
                <w:sz w:val="16"/>
              </w:rPr>
              <w:t>256.59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995BC1">
            <w:pPr>
              <w:jc w:val="center"/>
            </w:pPr>
            <w:r>
              <w:rPr>
                <w:rFonts w:ascii="宋体" w:hAnsi="宋体" w:eastAsia="宋体"/>
                <w:sz w:val="16"/>
              </w:rPr>
              <w:t>239.52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CEB04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20307E">
            <w:pPr>
              <w:jc w:val="center"/>
            </w:pPr>
            <w:r>
              <w:rPr>
                <w:rFonts w:ascii="宋体" w:hAnsi="宋体" w:eastAsia="宋体"/>
                <w:sz w:val="16"/>
              </w:rPr>
              <w:t>93.35%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1D9359">
            <w:pPr>
              <w:jc w:val="center"/>
            </w:pPr>
            <w:r>
              <w:rPr>
                <w:rFonts w:ascii="宋体" w:hAnsi="宋体" w:eastAsia="宋体"/>
                <w:sz w:val="16"/>
              </w:rPr>
              <w:t>9.34</w:t>
            </w:r>
          </w:p>
        </w:tc>
      </w:tr>
      <w:tr w14:paraId="3F51FD1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4F342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1F51B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C0853A">
            <w:pPr>
              <w:jc w:val="center"/>
            </w:pPr>
            <w:r>
              <w:rPr>
                <w:rFonts w:ascii="宋体" w:hAnsi="宋体" w:eastAsia="宋体"/>
                <w:sz w:val="16"/>
              </w:rPr>
              <w:t>7.08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ABB9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E04A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0BF96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E501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8ADCD1">
            <w:pPr>
              <w:jc w:val="center"/>
            </w:pPr>
            <w:r>
              <w:rPr>
                <w:rFonts w:ascii="宋体" w:hAnsi="宋体" w:eastAsia="宋体"/>
                <w:sz w:val="16"/>
              </w:rPr>
              <w:t>-</w:t>
            </w:r>
          </w:p>
        </w:tc>
      </w:tr>
      <w:tr w14:paraId="1A51CFA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8D2FB7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17127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4CE004">
            <w:pPr>
              <w:jc w:val="center"/>
            </w:pPr>
            <w:r>
              <w:rPr>
                <w:rFonts w:ascii="宋体" w:hAnsi="宋体" w:eastAsia="宋体"/>
                <w:sz w:val="16"/>
              </w:rPr>
              <w:t>657.02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AE49DB">
            <w:pPr>
              <w:jc w:val="center"/>
            </w:pPr>
            <w:r>
              <w:rPr>
                <w:rFonts w:ascii="宋体" w:hAnsi="宋体" w:eastAsia="宋体"/>
                <w:sz w:val="16"/>
              </w:rPr>
              <w:t>256.59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0D5A8B">
            <w:pPr>
              <w:jc w:val="center"/>
            </w:pPr>
            <w:r>
              <w:rPr>
                <w:rFonts w:ascii="宋体" w:hAnsi="宋体" w:eastAsia="宋体"/>
                <w:sz w:val="16"/>
              </w:rPr>
              <w:t>239.52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3C20D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44C97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382CDE">
            <w:pPr>
              <w:jc w:val="center"/>
            </w:pPr>
            <w:r>
              <w:rPr>
                <w:rFonts w:ascii="宋体" w:hAnsi="宋体" w:eastAsia="宋体"/>
                <w:sz w:val="16"/>
              </w:rPr>
              <w:t>-</w:t>
            </w:r>
          </w:p>
        </w:tc>
      </w:tr>
      <w:tr w14:paraId="7037724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3FF17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36192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665086">
            <w:pPr>
              <w:jc w:val="center"/>
            </w:pPr>
            <w:r>
              <w:rPr>
                <w:rFonts w:ascii="宋体" w:hAnsi="宋体" w:eastAsia="宋体"/>
                <w:sz w:val="16"/>
              </w:rPr>
              <w:t>1.19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5FFDB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49CE1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59E8D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F4296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DBCE71">
            <w:pPr>
              <w:jc w:val="center"/>
            </w:pPr>
            <w:r>
              <w:rPr>
                <w:rFonts w:ascii="宋体" w:hAnsi="宋体" w:eastAsia="宋体"/>
                <w:sz w:val="16"/>
              </w:rPr>
              <w:t>-</w:t>
            </w:r>
          </w:p>
        </w:tc>
      </w:tr>
      <w:tr w14:paraId="7F84B4B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83B51">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8390B1">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7DA4EE">
            <w:pPr>
              <w:jc w:val="center"/>
            </w:pPr>
            <w:r>
              <w:rPr>
                <w:rFonts w:ascii="宋体" w:hAnsi="宋体" w:eastAsia="宋体"/>
                <w:sz w:val="16"/>
              </w:rPr>
              <w:t>实际完成情况</w:t>
            </w:r>
          </w:p>
        </w:tc>
      </w:tr>
      <w:tr w14:paraId="006E9CB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138F08"/>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C95ED0">
            <w:pPr>
              <w:jc w:val="both"/>
            </w:pPr>
            <w:r>
              <w:rPr>
                <w:rFonts w:ascii="宋体" w:hAnsi="宋体" w:eastAsia="宋体"/>
                <w:sz w:val="16"/>
              </w:rPr>
              <w:t>2024年是中华人民共和国成立75周年，也是人民政协成立75周年，是实现“十四五”规划目标任务的关键一年，也是加快水磨沟区高质量发展的奋进一年。区政协要坚持以习近平新时代中国特色社会主义思想为指导，全面贯彻落实党的二十大和二十届二中全会精神，深入贯彻落实习近平总书记关于做好新时代党的统一战线工作的重要思想、关于加强和改进人民政协工作的重要思想，完整准确全面贯彻新时代党的治疆方略，坚持以铸牢中华民族共同体意识为主线，自觉融入中国式现代化新疆实践，聚焦高质量发展这个首要任务，紧紧围绕区委十一届八次全会确定的目标任务，认真履行政治协商、民主监督、参政议政职能，更好凝聚共识，为在中国式现代化进程中更好谱写美丽新疆的水磨沟区篇章贡献政协智慧和力量。1.加强思想政治建设。2.坚持党的全面领导。3.加强政协党的建设。4.围绕中心大局协商议政。5.加强调研视察工作。6.扎实推进民主监督。7.提升提案工作水平。8.积极反映社情民意。9.用心用情做好群众工作。10.拓展协商阵地建设。11.完善委员联系界别群众制度。12.充分发挥大团结大联合优势。13.同心推动经济发展。14.加强协同联动。15.抓好委员队伍建设。16.抓好政协机关建设。</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EE2A78">
            <w:pPr>
              <w:jc w:val="both"/>
            </w:pPr>
            <w:r>
              <w:rPr>
                <w:rFonts w:ascii="宋体" w:hAnsi="宋体" w:eastAsia="宋体"/>
                <w:sz w:val="16"/>
              </w:rPr>
              <w:t>2024年是全面贯彻落实党的二十大精神的开局之年，是落实“十四五”规划的关键之年。区政协工作的总体要求是：坚持以习近平新时代中国特色社会主义思想为指导，全面贯彻落实党的二十大精神，贯彻落实习近平总书记视察新疆重要讲话重要指示精神和新时代党的治疆方略，贯彻落实中央政协工作会议精神，贯彻落实自治区党委十届六次、七次全会，市委十二届五次、六次全会和区委十一届五次全会精神，紧紧围绕平安水区、活力水区、创新水区、人文水区、绿色水区建设，认真履行政治协商、民主监督、参政议政职能，为奋力谱写中国式现代化美丽水区新篇章贡献智慧和力量。全年工作已经全部完成。</w:t>
            </w:r>
          </w:p>
        </w:tc>
      </w:tr>
      <w:tr w14:paraId="7E89D49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DB246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91880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9CF71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7D284">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1524F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1757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A5EE5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675DF6">
            <w:pPr>
              <w:jc w:val="center"/>
            </w:pPr>
            <w:r>
              <w:rPr>
                <w:rFonts w:ascii="宋体" w:hAnsi="宋体" w:eastAsia="宋体"/>
                <w:sz w:val="16"/>
              </w:rPr>
              <w:t>得分</w:t>
            </w:r>
          </w:p>
        </w:tc>
      </w:tr>
      <w:tr w14:paraId="15FBB02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DB36F">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FDC1D">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DDC67">
            <w:pPr>
              <w:jc w:val="center"/>
            </w:pPr>
            <w:r>
              <w:rPr>
                <w:rFonts w:ascii="宋体" w:hAnsi="宋体" w:eastAsia="宋体"/>
                <w:sz w:val="16"/>
              </w:rPr>
              <w:t>提案办理数量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0D63F">
            <w:pPr>
              <w:jc w:val="center"/>
            </w:pPr>
            <w:r>
              <w:rPr>
                <w:rFonts w:ascii="宋体" w:hAnsi="宋体" w:eastAsia="宋体"/>
                <w:sz w:val="16"/>
              </w:rPr>
              <w:t>=60件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9943F2">
            <w:pPr>
              <w:jc w:val="center"/>
            </w:pPr>
            <w:r>
              <w:rPr>
                <w:rFonts w:ascii="宋体" w:hAnsi="宋体" w:eastAsia="宋体"/>
                <w:sz w:val="16"/>
              </w:rPr>
              <w:t>2024年工作要点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B066F1">
            <w:pPr>
              <w:jc w:val="center"/>
            </w:pPr>
            <w:r>
              <w:rPr>
                <w:rFonts w:ascii="宋体" w:hAnsi="宋体" w:eastAsia="宋体"/>
                <w:sz w:val="16"/>
              </w:rPr>
              <w:t>60件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C514D">
            <w:pPr>
              <w:jc w:val="center"/>
            </w:pPr>
            <w:r>
              <w:rPr>
                <w:rFonts w:ascii="宋体" w:hAnsi="宋体" w:eastAsia="宋体"/>
                <w:sz w:val="16"/>
              </w:rPr>
              <w: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387DEA">
            <w:pPr>
              <w:jc w:val="center"/>
            </w:pPr>
            <w:r>
              <w:rPr>
                <w:rFonts w:ascii="宋体" w:hAnsi="宋体" w:eastAsia="宋体"/>
                <w:sz w:val="16"/>
              </w:rPr>
              <w:t>40</w:t>
            </w:r>
          </w:p>
        </w:tc>
      </w:tr>
      <w:tr w14:paraId="5B6545E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5AF5E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8F2356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B96C5B">
            <w:pPr>
              <w:jc w:val="center"/>
            </w:pPr>
            <w:r>
              <w:rPr>
                <w:rFonts w:ascii="宋体" w:hAnsi="宋体" w:eastAsia="宋体"/>
                <w:sz w:val="16"/>
              </w:rPr>
              <w:t>委员视察活动次数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A8E049">
            <w:pPr>
              <w:jc w:val="center"/>
            </w:pPr>
            <w:r>
              <w:rPr>
                <w:rFonts w:ascii="宋体" w:hAnsi="宋体" w:eastAsia="宋体"/>
                <w:sz w:val="16"/>
              </w:rPr>
              <w: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C702C6">
            <w:pPr>
              <w:jc w:val="center"/>
            </w:pPr>
            <w:r>
              <w:rPr>
                <w:rFonts w:ascii="宋体" w:hAnsi="宋体" w:eastAsia="宋体"/>
                <w:sz w:val="16"/>
              </w:rPr>
              <w:t>2024年工作要点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086505">
            <w:pPr>
              <w:jc w:val="center"/>
            </w:pPr>
            <w:r>
              <w:rPr>
                <w:rFonts w:ascii="宋体" w:hAnsi="宋体" w:eastAsia="宋体"/>
                <w:sz w:val="16"/>
              </w:rPr>
              <w: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ECF7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DCB9D0">
            <w:pPr>
              <w:jc w:val="center"/>
            </w:pPr>
            <w:r>
              <w:rPr>
                <w:rFonts w:ascii="宋体" w:hAnsi="宋体" w:eastAsia="宋体"/>
                <w:sz w:val="16"/>
              </w:rPr>
              <w:t>30</w:t>
            </w:r>
          </w:p>
        </w:tc>
      </w:tr>
      <w:tr w14:paraId="7BE98B0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5027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D4835F">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01E156">
            <w:pPr>
              <w:jc w:val="center"/>
            </w:pPr>
            <w:r>
              <w:rPr>
                <w:rFonts w:ascii="宋体" w:hAnsi="宋体" w:eastAsia="宋体"/>
                <w:sz w:val="16"/>
              </w:rPr>
              <w:t>召开会议频次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C055BA">
            <w:pPr>
              <w:jc w:val="center"/>
            </w:pPr>
            <w:r>
              <w:rPr>
                <w:rFonts w:ascii="宋体" w:hAnsi="宋体" w:eastAsia="宋体"/>
                <w:sz w:val="16"/>
              </w:rPr>
              <w:t>&gt;=1次/月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ED42E2">
            <w:pPr>
              <w:jc w:val="center"/>
            </w:pPr>
            <w:r>
              <w:rPr>
                <w:rFonts w:ascii="宋体" w:hAnsi="宋体" w:eastAsia="宋体"/>
                <w:sz w:val="16"/>
              </w:rPr>
              <w:t>2024年工作要点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C568D3">
            <w:pPr>
              <w:jc w:val="center"/>
            </w:pPr>
            <w:r>
              <w:rPr>
                <w:rFonts w:ascii="宋体" w:hAnsi="宋体" w:eastAsia="宋体"/>
                <w:sz w:val="16"/>
              </w:rPr>
              <w:t>1次/月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D6F50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2D9280">
            <w:pPr>
              <w:jc w:val="center"/>
            </w:pPr>
            <w:r>
              <w:rPr>
                <w:rFonts w:ascii="宋体" w:hAnsi="宋体" w:eastAsia="宋体"/>
                <w:sz w:val="16"/>
              </w:rPr>
              <w:t>20</w:t>
            </w:r>
          </w:p>
        </w:tc>
      </w:tr>
    </w:tbl>
    <w:p w14:paraId="56BB2FC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696"/>
        <w:gridCol w:w="632"/>
        <w:gridCol w:w="632"/>
      </w:tblGrid>
      <w:tr w14:paraId="2B92B01F">
        <w:tblPrEx>
          <w:tblCellMar>
            <w:top w:w="0" w:type="dxa"/>
            <w:left w:w="108" w:type="dxa"/>
            <w:bottom w:w="0" w:type="dxa"/>
            <w:right w:w="108" w:type="dxa"/>
          </w:tblCellMar>
        </w:tblPrEx>
        <w:tc>
          <w:tcPr>
            <w:tcW w:w="8848" w:type="dxa"/>
            <w:gridSpan w:val="14"/>
            <w:vAlign w:val="center"/>
          </w:tcPr>
          <w:p w14:paraId="083C6AD8">
            <w:pPr>
              <w:jc w:val="center"/>
            </w:pPr>
            <w:r>
              <w:rPr>
                <w:rFonts w:ascii="宋体" w:hAnsi="宋体" w:eastAsia="宋体"/>
                <w:sz w:val="24"/>
              </w:rPr>
              <w:t>项目支出绩效自评表</w:t>
            </w:r>
          </w:p>
        </w:tc>
      </w:tr>
      <w:tr w14:paraId="4935DBFE">
        <w:tblPrEx>
          <w:tblCellMar>
            <w:top w:w="0" w:type="dxa"/>
            <w:left w:w="108" w:type="dxa"/>
            <w:bottom w:w="0" w:type="dxa"/>
            <w:right w:w="108" w:type="dxa"/>
          </w:tblCellMar>
        </w:tblPrEx>
        <w:tc>
          <w:tcPr>
            <w:tcW w:w="8848" w:type="dxa"/>
            <w:gridSpan w:val="14"/>
            <w:vAlign w:val="center"/>
          </w:tcPr>
          <w:p w14:paraId="7A9E139B">
            <w:pPr>
              <w:jc w:val="center"/>
            </w:pPr>
            <w:r>
              <w:rPr>
                <w:rFonts w:ascii="宋体" w:hAnsi="宋体" w:eastAsia="宋体"/>
                <w:sz w:val="24"/>
              </w:rPr>
              <w:t>(2024年度)</w:t>
            </w:r>
          </w:p>
        </w:tc>
      </w:tr>
      <w:tr w14:paraId="102460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C2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DDBF08">
            <w:pPr>
              <w:jc w:val="center"/>
            </w:pPr>
            <w:r>
              <w:rPr>
                <w:rFonts w:ascii="宋体" w:hAnsi="宋体" w:eastAsia="宋体"/>
                <w:sz w:val="16"/>
              </w:rPr>
              <w:t>乌财行</w:t>
            </w:r>
            <w:r>
              <w:rPr>
                <w:rFonts w:hint="eastAsia" w:ascii="宋体" w:hAnsi="宋体"/>
                <w:sz w:val="16"/>
                <w:lang w:eastAsia="zh-CN"/>
              </w:rPr>
              <w:t>〔2023〕234号</w:t>
            </w:r>
            <w:r>
              <w:rPr>
                <w:rFonts w:ascii="宋体" w:hAnsi="宋体" w:eastAsia="宋体"/>
                <w:sz w:val="16"/>
              </w:rPr>
              <w:t>《关于提前下达2024年度自治区基层政协补助经费的通知》</w:t>
            </w:r>
          </w:p>
        </w:tc>
      </w:tr>
      <w:tr w14:paraId="0551E2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0ED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C11787">
            <w:pPr>
              <w:jc w:val="center"/>
            </w:pPr>
            <w:r>
              <w:rPr>
                <w:rFonts w:ascii="宋体" w:hAnsi="宋体" w:eastAsia="宋体"/>
                <w:sz w:val="16"/>
              </w:rPr>
              <w:t>中国人民政治协商会议乌鲁木齐市水磨沟区委员会办公室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02A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3782A6">
            <w:pPr>
              <w:jc w:val="center"/>
            </w:pPr>
            <w:r>
              <w:rPr>
                <w:rFonts w:ascii="宋体" w:hAnsi="宋体" w:eastAsia="宋体"/>
                <w:sz w:val="16"/>
              </w:rPr>
              <w:t>中国人民政治协商会议乌鲁木齐市水磨沟区委员会办公室</w:t>
            </w:r>
          </w:p>
        </w:tc>
      </w:tr>
      <w:tr w14:paraId="69BB35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39A3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09E0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449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BC99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B603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53AA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66C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783F">
            <w:pPr>
              <w:jc w:val="center"/>
            </w:pPr>
            <w:r>
              <w:rPr>
                <w:rFonts w:ascii="宋体" w:hAnsi="宋体" w:eastAsia="宋体"/>
                <w:sz w:val="16"/>
              </w:rPr>
              <w:t>得分</w:t>
            </w:r>
          </w:p>
        </w:tc>
      </w:tr>
      <w:tr w14:paraId="56BF98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F9F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160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5DA6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B6C4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748DD">
            <w:pPr>
              <w:jc w:val="center"/>
            </w:pPr>
            <w:r>
              <w:rPr>
                <w:rFonts w:ascii="宋体" w:hAnsi="宋体" w:eastAsia="宋体"/>
                <w:sz w:val="16"/>
              </w:rPr>
              <w:t>4.31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E9FC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AF356">
            <w:pPr>
              <w:jc w:val="center"/>
            </w:pPr>
            <w:r>
              <w:rPr>
                <w:rFonts w:ascii="宋体" w:hAnsi="宋体" w:eastAsia="宋体"/>
                <w:sz w:val="16"/>
              </w:rPr>
              <w:t>86.2%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1BC4">
            <w:pPr>
              <w:jc w:val="center"/>
            </w:pPr>
            <w:r>
              <w:rPr>
                <w:rFonts w:ascii="宋体" w:hAnsi="宋体" w:eastAsia="宋体"/>
                <w:sz w:val="16"/>
              </w:rPr>
              <w:t>8.62分</w:t>
            </w:r>
          </w:p>
        </w:tc>
      </w:tr>
      <w:tr w14:paraId="39C60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0F0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BA5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9EB2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BDB6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57C6A">
            <w:pPr>
              <w:jc w:val="center"/>
            </w:pPr>
            <w:r>
              <w:rPr>
                <w:rFonts w:ascii="宋体" w:hAnsi="宋体" w:eastAsia="宋体"/>
                <w:sz w:val="16"/>
              </w:rPr>
              <w:t>4.31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5F7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6C7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721FC">
            <w:pPr>
              <w:jc w:val="center"/>
            </w:pPr>
            <w:r>
              <w:rPr>
                <w:rFonts w:ascii="宋体" w:hAnsi="宋体" w:eastAsia="宋体"/>
                <w:sz w:val="16"/>
              </w:rPr>
              <w:t>-</w:t>
            </w:r>
          </w:p>
        </w:tc>
      </w:tr>
      <w:tr w14:paraId="513D6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99D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7979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F1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3E3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FAD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960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4A5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4BA3">
            <w:pPr>
              <w:jc w:val="center"/>
            </w:pPr>
            <w:r>
              <w:rPr>
                <w:rFonts w:ascii="宋体" w:hAnsi="宋体" w:eastAsia="宋体"/>
                <w:sz w:val="16"/>
              </w:rPr>
              <w:t>-</w:t>
            </w:r>
          </w:p>
        </w:tc>
      </w:tr>
      <w:tr w14:paraId="7B9B0F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8A5E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A0CCE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5D3025">
            <w:pPr>
              <w:jc w:val="center"/>
            </w:pPr>
            <w:r>
              <w:rPr>
                <w:rFonts w:ascii="宋体" w:hAnsi="宋体" w:eastAsia="宋体"/>
                <w:sz w:val="16"/>
              </w:rPr>
              <w:t>总体目标完成情况</w:t>
            </w:r>
          </w:p>
        </w:tc>
      </w:tr>
      <w:tr w14:paraId="4CC23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6FB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AA0639">
            <w:pPr>
              <w:jc w:val="both"/>
            </w:pPr>
            <w:r>
              <w:rPr>
                <w:rFonts w:ascii="宋体" w:hAnsi="宋体" w:eastAsia="宋体"/>
                <w:sz w:val="16"/>
              </w:rPr>
              <w:t>遵从上级部门的工作安排，保质保量</w:t>
            </w:r>
            <w:r>
              <w:rPr>
                <w:rFonts w:hint="eastAsia" w:ascii="宋体" w:hAnsi="宋体"/>
                <w:sz w:val="16"/>
                <w:lang w:eastAsia="zh-CN"/>
              </w:rPr>
              <w:t>地</w:t>
            </w:r>
            <w:r>
              <w:rPr>
                <w:rFonts w:ascii="宋体" w:hAnsi="宋体" w:eastAsia="宋体"/>
                <w:sz w:val="16"/>
              </w:rPr>
              <w:t>完成全年的各项任务。严格把控项目资金管理及使用，专款专用，确保经费规范使用，有效开展活动，提高经费使用效率，使得资金落实到位。保障好委员组织开展各项活动等工作，做好新时代新疆政协工作。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D836AB">
            <w:pPr>
              <w:jc w:val="both"/>
            </w:pPr>
            <w:r>
              <w:rPr>
                <w:rFonts w:ascii="宋体" w:hAnsi="宋体" w:eastAsia="宋体"/>
                <w:sz w:val="16"/>
              </w:rPr>
              <w:t>保障政协委员开展各项活动,及办公费用支出。其中支付政协委员出差费用以及政协网络视频会议及办公室经费不足。</w:t>
            </w:r>
          </w:p>
        </w:tc>
      </w:tr>
      <w:tr w14:paraId="32802B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5498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54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8D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FEB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7C2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65F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AEA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5D9D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90A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86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A64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44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77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930A">
            <w:pPr>
              <w:jc w:val="center"/>
            </w:pPr>
            <w:r>
              <w:rPr>
                <w:rFonts w:ascii="宋体" w:hAnsi="宋体" w:eastAsia="宋体"/>
                <w:sz w:val="16"/>
              </w:rPr>
              <w:t>偏差原因分析及改进措施</w:t>
            </w:r>
          </w:p>
        </w:tc>
      </w:tr>
      <w:tr w14:paraId="16072D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28C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7E57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66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D58A">
            <w:pPr>
              <w:jc w:val="center"/>
            </w:pPr>
            <w:r>
              <w:rPr>
                <w:rFonts w:ascii="宋体" w:hAnsi="宋体" w:eastAsia="宋体"/>
                <w:sz w:val="16"/>
              </w:rPr>
              <w:t>政协委员人数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8C0F">
            <w:pPr>
              <w:jc w:val="center"/>
            </w:pPr>
            <w:r>
              <w:rPr>
                <w:rFonts w:ascii="宋体" w:hAnsi="宋体" w:eastAsia="宋体"/>
                <w:sz w:val="16"/>
              </w:rPr>
              <w:t>=115人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95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E161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64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4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A7F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D4B2">
            <w:pPr>
              <w:jc w:val="center"/>
            </w:pPr>
            <w:r>
              <w:rPr>
                <w:rFonts w:ascii="宋体" w:hAnsi="宋体" w:eastAsia="宋体"/>
                <w:sz w:val="16"/>
              </w:rPr>
              <w:t>=115人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CC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A9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E3753">
            <w:pPr>
              <w:jc w:val="center"/>
            </w:pPr>
          </w:p>
        </w:tc>
      </w:tr>
      <w:tr w14:paraId="657BD8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895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55D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19E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4CDF">
            <w:pPr>
              <w:jc w:val="center"/>
            </w:pPr>
            <w:r>
              <w:rPr>
                <w:rFonts w:ascii="宋体" w:hAnsi="宋体" w:eastAsia="宋体"/>
                <w:sz w:val="16"/>
              </w:rPr>
              <w:t>政协委员活动场次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D8EB">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76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FC42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80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B1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945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F1CD">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C0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0CE3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F25B6">
            <w:pPr>
              <w:jc w:val="center"/>
            </w:pPr>
          </w:p>
        </w:tc>
      </w:tr>
      <w:tr w14:paraId="11EFD2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551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918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3CC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7172A">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07B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86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9AB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FC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3E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ECB2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D3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0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D42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978E">
            <w:pPr>
              <w:jc w:val="center"/>
            </w:pPr>
          </w:p>
        </w:tc>
      </w:tr>
      <w:tr w14:paraId="5F8754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C6F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17B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53F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1C895">
            <w:pPr>
              <w:jc w:val="center"/>
            </w:pPr>
            <w:r>
              <w:rPr>
                <w:rFonts w:ascii="宋体" w:hAnsi="宋体" w:eastAsia="宋体"/>
                <w:sz w:val="16"/>
              </w:rPr>
              <w:t>委员活动及办公经费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90C4">
            <w:pPr>
              <w:jc w:val="center"/>
            </w:pPr>
            <w:r>
              <w:rPr>
                <w:rFonts w:ascii="宋体" w:hAnsi="宋体" w:eastAsia="宋体"/>
                <w:sz w:val="16"/>
              </w:rPr>
              <w:t>=5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4A5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08B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D44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19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BD9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824D">
            <w:pPr>
              <w:jc w:val="center"/>
            </w:pPr>
            <w:r>
              <w:rPr>
                <w:rFonts w:ascii="宋体" w:hAnsi="宋体" w:eastAsia="宋体"/>
                <w:sz w:val="16"/>
              </w:rPr>
              <w:t>=4.313</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E56D">
            <w:pPr>
              <w:jc w:val="center"/>
            </w:pPr>
            <w:r>
              <w:rPr>
                <w:rFonts w:ascii="宋体" w:hAnsi="宋体" w:eastAsia="宋体"/>
                <w:sz w:val="16"/>
              </w:rPr>
              <w:t>86.26%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CB0E">
            <w:pPr>
              <w:jc w:val="center"/>
            </w:pPr>
            <w:r>
              <w:rPr>
                <w:rFonts w:ascii="宋体" w:hAnsi="宋体" w:eastAsia="宋体"/>
                <w:sz w:val="16"/>
              </w:rPr>
              <w:t>17.25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A8A3">
            <w:pPr>
              <w:jc w:val="center"/>
            </w:pPr>
            <w:r>
              <w:rPr>
                <w:rFonts w:ascii="宋体" w:hAnsi="宋体" w:eastAsia="宋体"/>
                <w:sz w:val="16"/>
              </w:rPr>
              <w:t>年底财政紧张，明年支付。</w:t>
            </w:r>
          </w:p>
        </w:tc>
      </w:tr>
      <w:tr w14:paraId="267E8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991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16CC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3B7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CE534">
            <w:pPr>
              <w:jc w:val="center"/>
            </w:pPr>
            <w:r>
              <w:rPr>
                <w:rFonts w:ascii="宋体" w:hAnsi="宋体" w:eastAsia="宋体"/>
                <w:sz w:val="16"/>
              </w:rPr>
              <w:t>提高政协委员履职能力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F41D">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24A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B92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4FD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61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618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34D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12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E70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4EFCF">
            <w:pPr>
              <w:jc w:val="center"/>
            </w:pPr>
          </w:p>
        </w:tc>
      </w:tr>
      <w:tr w14:paraId="510B0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63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CE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3E51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67F9B">
            <w:pPr>
              <w:jc w:val="center"/>
            </w:pPr>
            <w:r>
              <w:rPr>
                <w:rFonts w:ascii="宋体" w:hAnsi="宋体" w:eastAsia="宋体"/>
                <w:sz w:val="16"/>
              </w:rPr>
              <w:t>发挥政协委员协调作用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2E981">
            <w:pPr>
              <w:jc w:val="center"/>
            </w:pPr>
            <w:r>
              <w:rPr>
                <w:rFonts w:ascii="宋体" w:hAnsi="宋体" w:eastAsia="宋体"/>
                <w:sz w:val="16"/>
              </w:rPr>
              <w:t>有效发挥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B79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0A9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8C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93A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D28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200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4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53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9FA63">
            <w:pPr>
              <w:jc w:val="center"/>
            </w:pPr>
          </w:p>
        </w:tc>
      </w:tr>
      <w:tr w14:paraId="77150A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FBE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DE2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401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7623">
            <w:pPr>
              <w:jc w:val="center"/>
            </w:pPr>
            <w:r>
              <w:rPr>
                <w:rFonts w:ascii="宋体" w:hAnsi="宋体" w:eastAsia="宋体"/>
                <w:sz w:val="16"/>
              </w:rPr>
              <w:t>政协委员满意度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C46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E530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5BF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3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37B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5C9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D09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1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41E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EB45">
            <w:pPr>
              <w:jc w:val="center"/>
            </w:pPr>
          </w:p>
        </w:tc>
      </w:tr>
      <w:tr w14:paraId="67D884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E0F1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46F0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0AB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B0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7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5416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1BD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94E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E8F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2F2E9">
            <w:pPr>
              <w:jc w:val="center"/>
            </w:pPr>
            <w:r>
              <w:rPr>
                <w:rFonts w:ascii="宋体" w:hAnsi="宋体" w:eastAsia="宋体"/>
                <w:sz w:val="16"/>
              </w:rPr>
              <w:t>95.87分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01966"/>
        </w:tc>
      </w:tr>
    </w:tbl>
    <w:p w14:paraId="5105A1F9">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856"/>
        <w:gridCol w:w="613"/>
        <w:gridCol w:w="631"/>
        <w:gridCol w:w="619"/>
        <w:gridCol w:w="613"/>
        <w:gridCol w:w="613"/>
        <w:gridCol w:w="696"/>
        <w:gridCol w:w="697"/>
        <w:gridCol w:w="632"/>
        <w:gridCol w:w="626"/>
      </w:tblGrid>
      <w:tr w14:paraId="502BFE4D">
        <w:tblPrEx>
          <w:tblCellMar>
            <w:top w:w="0" w:type="dxa"/>
            <w:left w:w="108" w:type="dxa"/>
            <w:bottom w:w="0" w:type="dxa"/>
            <w:right w:w="108" w:type="dxa"/>
          </w:tblCellMar>
        </w:tblPrEx>
        <w:tc>
          <w:tcPr>
            <w:tcW w:w="8848" w:type="dxa"/>
            <w:gridSpan w:val="14"/>
            <w:vAlign w:val="center"/>
          </w:tcPr>
          <w:p w14:paraId="1687B94B">
            <w:pPr>
              <w:jc w:val="center"/>
            </w:pPr>
            <w:r>
              <w:rPr>
                <w:rFonts w:ascii="宋体" w:hAnsi="宋体" w:eastAsia="宋体"/>
                <w:sz w:val="24"/>
              </w:rPr>
              <w:t>项目支出绩效自评表</w:t>
            </w:r>
          </w:p>
        </w:tc>
      </w:tr>
      <w:tr w14:paraId="1A07E29A">
        <w:tblPrEx>
          <w:tblCellMar>
            <w:top w:w="0" w:type="dxa"/>
            <w:left w:w="108" w:type="dxa"/>
            <w:bottom w:w="0" w:type="dxa"/>
            <w:right w:w="108" w:type="dxa"/>
          </w:tblCellMar>
        </w:tblPrEx>
        <w:tc>
          <w:tcPr>
            <w:tcW w:w="8848" w:type="dxa"/>
            <w:gridSpan w:val="14"/>
            <w:vAlign w:val="center"/>
          </w:tcPr>
          <w:p w14:paraId="0AE060E1">
            <w:pPr>
              <w:jc w:val="center"/>
            </w:pPr>
            <w:r>
              <w:rPr>
                <w:rFonts w:ascii="宋体" w:hAnsi="宋体" w:eastAsia="宋体"/>
                <w:sz w:val="24"/>
              </w:rPr>
              <w:t>(2024年度)</w:t>
            </w:r>
          </w:p>
        </w:tc>
      </w:tr>
      <w:tr w14:paraId="43E34E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09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A88F25">
            <w:pPr>
              <w:jc w:val="center"/>
            </w:pPr>
            <w:r>
              <w:rPr>
                <w:rFonts w:hint="eastAsia" w:ascii="宋体" w:hAnsi="宋体"/>
                <w:sz w:val="16"/>
                <w:lang w:eastAsia="zh-CN"/>
              </w:rPr>
              <w:t>政协委员</w:t>
            </w:r>
            <w:r>
              <w:rPr>
                <w:rFonts w:ascii="宋体" w:hAnsi="宋体" w:eastAsia="宋体"/>
                <w:sz w:val="16"/>
              </w:rPr>
              <w:t>经费</w:t>
            </w:r>
          </w:p>
        </w:tc>
      </w:tr>
      <w:tr w14:paraId="3C0326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EC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27133C">
            <w:pPr>
              <w:jc w:val="center"/>
            </w:pPr>
            <w:r>
              <w:rPr>
                <w:rFonts w:ascii="宋体" w:hAnsi="宋体" w:eastAsia="宋体"/>
                <w:sz w:val="16"/>
              </w:rPr>
              <w:t>中国人民政治协商会议乌鲁木齐市水磨沟区委员会办公室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2E1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F282E9">
            <w:pPr>
              <w:jc w:val="center"/>
            </w:pPr>
            <w:r>
              <w:rPr>
                <w:rFonts w:ascii="宋体" w:hAnsi="宋体" w:eastAsia="宋体"/>
                <w:sz w:val="16"/>
              </w:rPr>
              <w:t>中国人民政治协商会议乌鲁木齐市水磨沟区委员会办公室</w:t>
            </w:r>
          </w:p>
        </w:tc>
      </w:tr>
      <w:tr w14:paraId="145777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BCDC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0221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87C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AE9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B16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2848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85FB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861D7">
            <w:pPr>
              <w:jc w:val="center"/>
            </w:pPr>
            <w:r>
              <w:rPr>
                <w:rFonts w:ascii="宋体" w:hAnsi="宋体" w:eastAsia="宋体"/>
                <w:sz w:val="16"/>
              </w:rPr>
              <w:t>得分</w:t>
            </w:r>
          </w:p>
        </w:tc>
      </w:tr>
      <w:tr w14:paraId="0B7AB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022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8B8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72CC9">
            <w:pPr>
              <w:jc w:val="center"/>
            </w:pPr>
            <w:r>
              <w:rPr>
                <w:rFonts w:ascii="宋体" w:hAnsi="宋体" w:eastAsia="宋体"/>
                <w:sz w:val="16"/>
              </w:rPr>
              <w:t>19.62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E9DD1">
            <w:pPr>
              <w:jc w:val="center"/>
            </w:pPr>
            <w:r>
              <w:rPr>
                <w:rFonts w:ascii="宋体" w:hAnsi="宋体" w:eastAsia="宋体"/>
                <w:sz w:val="16"/>
              </w:rPr>
              <w:t>19.62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34184">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7A3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A6696">
            <w:pPr>
              <w:jc w:val="center"/>
            </w:pPr>
            <w:r>
              <w:rPr>
                <w:rFonts w:ascii="宋体" w:hAnsi="宋体" w:eastAsia="宋体"/>
                <w:sz w:val="16"/>
              </w:rPr>
              <w:t>79.1%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F869">
            <w:pPr>
              <w:jc w:val="center"/>
            </w:pPr>
            <w:r>
              <w:rPr>
                <w:rFonts w:ascii="宋体" w:hAnsi="宋体" w:eastAsia="宋体"/>
                <w:sz w:val="16"/>
              </w:rPr>
              <w:t>7.90分</w:t>
            </w:r>
          </w:p>
        </w:tc>
      </w:tr>
      <w:tr w14:paraId="4CFD79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D24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6E77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002D5">
            <w:pPr>
              <w:jc w:val="center"/>
            </w:pPr>
            <w:r>
              <w:rPr>
                <w:rFonts w:ascii="宋体" w:hAnsi="宋体" w:eastAsia="宋体"/>
                <w:sz w:val="16"/>
              </w:rPr>
              <w:t>19.62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32A71">
            <w:pPr>
              <w:jc w:val="center"/>
            </w:pPr>
            <w:r>
              <w:rPr>
                <w:rFonts w:ascii="宋体" w:hAnsi="宋体" w:eastAsia="宋体"/>
                <w:sz w:val="16"/>
              </w:rPr>
              <w:t>19.62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3E9F3">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02C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1CF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64774">
            <w:pPr>
              <w:jc w:val="center"/>
            </w:pPr>
            <w:r>
              <w:rPr>
                <w:rFonts w:ascii="宋体" w:hAnsi="宋体" w:eastAsia="宋体"/>
                <w:sz w:val="16"/>
              </w:rPr>
              <w:t>-</w:t>
            </w:r>
          </w:p>
        </w:tc>
      </w:tr>
      <w:tr w14:paraId="46E021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34B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C048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799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E3B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F6D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311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BB4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A7695">
            <w:pPr>
              <w:jc w:val="center"/>
            </w:pPr>
            <w:r>
              <w:rPr>
                <w:rFonts w:ascii="宋体" w:hAnsi="宋体" w:eastAsia="宋体"/>
                <w:sz w:val="16"/>
              </w:rPr>
              <w:t>-</w:t>
            </w:r>
          </w:p>
        </w:tc>
      </w:tr>
      <w:tr w14:paraId="03F87E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8C4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1F8F7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5CEAA6">
            <w:pPr>
              <w:jc w:val="center"/>
            </w:pPr>
            <w:r>
              <w:rPr>
                <w:rFonts w:ascii="宋体" w:hAnsi="宋体" w:eastAsia="宋体"/>
                <w:sz w:val="16"/>
              </w:rPr>
              <w:t>总体目标完成情况</w:t>
            </w:r>
          </w:p>
        </w:tc>
      </w:tr>
      <w:tr w14:paraId="6A34F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177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47E62F">
            <w:pPr>
              <w:jc w:val="both"/>
            </w:pPr>
            <w:r>
              <w:rPr>
                <w:rFonts w:ascii="宋体" w:hAnsi="宋体" w:eastAsia="宋体"/>
                <w:sz w:val="16"/>
              </w:rPr>
              <w:t>区第十届四次会议，会期2天， 参会人员：委员115名，列席及特邀人员23名，工作人员34名，合计223名。费用标准440元/人/天，合计299人×440元/人天×2天=196240元。通过召开政协会，依法履行政协委员参政议政民主监督的职责，坚持党的领导、人民当家作主和依法治国的有机统一，进一步健全和完善政协常委会工作机制，切实加强参政议政、民主监督工作，充分发挥好政协委员作用，认真履行好政协委员的各项职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A5A3BD">
            <w:pPr>
              <w:jc w:val="both"/>
            </w:pPr>
            <w:r>
              <w:rPr>
                <w:rFonts w:ascii="宋体" w:hAnsi="宋体" w:eastAsia="宋体"/>
                <w:sz w:val="16"/>
              </w:rPr>
              <w:t>区第十四届五次政协会议，会期3天， 参会人员：政协委员115名，列席及特邀人员23名，工作人员34名，合计223名。实际支付酒店场地、食宿等费用144467元，文印10673元，共计155140元。</w:t>
            </w:r>
          </w:p>
        </w:tc>
      </w:tr>
      <w:tr w14:paraId="465273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AD7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4E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637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B9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CE6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D65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ADE7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4429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0883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3B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CD2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C8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DB4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129C">
            <w:pPr>
              <w:jc w:val="center"/>
            </w:pPr>
            <w:r>
              <w:rPr>
                <w:rFonts w:ascii="宋体" w:hAnsi="宋体" w:eastAsia="宋体"/>
                <w:sz w:val="16"/>
              </w:rPr>
              <w:t>偏差原因分析及改进措施</w:t>
            </w:r>
          </w:p>
        </w:tc>
      </w:tr>
      <w:tr w14:paraId="4AD87A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FE9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C884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BB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C851">
            <w:pPr>
              <w:jc w:val="center"/>
            </w:pPr>
            <w:r>
              <w:rPr>
                <w:rFonts w:ascii="宋体" w:hAnsi="宋体" w:eastAsia="宋体"/>
                <w:sz w:val="16"/>
              </w:rPr>
              <w:t>参会人数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2135">
            <w:pPr>
              <w:jc w:val="center"/>
            </w:pPr>
            <w:r>
              <w:rPr>
                <w:rFonts w:ascii="宋体" w:hAnsi="宋体" w:eastAsia="宋体"/>
                <w:sz w:val="16"/>
              </w:rPr>
              <w:t>=223人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2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BDDD">
            <w:pPr>
              <w:jc w:val="center"/>
            </w:pPr>
            <w:r>
              <w:rPr>
                <w:rFonts w:ascii="宋体" w:hAnsi="宋体" w:eastAsia="宋体"/>
                <w:sz w:val="16"/>
              </w:rPr>
              <w:t>230人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BBF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A27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1B9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B765">
            <w:pPr>
              <w:jc w:val="center"/>
            </w:pPr>
            <w:r>
              <w:rPr>
                <w:rFonts w:ascii="宋体" w:hAnsi="宋体" w:eastAsia="宋体"/>
                <w:sz w:val="16"/>
              </w:rPr>
              <w:t>=223人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8E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01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28E3">
            <w:pPr>
              <w:jc w:val="center"/>
            </w:pPr>
          </w:p>
        </w:tc>
      </w:tr>
      <w:tr w14:paraId="472C87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7FF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974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CE1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9B4BF">
            <w:pPr>
              <w:jc w:val="center"/>
            </w:pPr>
            <w:r>
              <w:rPr>
                <w:rFonts w:ascii="宋体" w:hAnsi="宋体" w:eastAsia="宋体"/>
                <w:sz w:val="16"/>
              </w:rPr>
              <w:t>提案办理率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9EA4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F4E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752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C2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11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3B4D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0A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516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FD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DFE5">
            <w:pPr>
              <w:jc w:val="center"/>
            </w:pPr>
            <w:r>
              <w:rPr>
                <w:rFonts w:ascii="宋体" w:hAnsi="宋体" w:eastAsia="宋体"/>
                <w:sz w:val="16"/>
              </w:rPr>
              <w:t>提案办理率超额完成</w:t>
            </w:r>
          </w:p>
        </w:tc>
      </w:tr>
      <w:tr w14:paraId="466486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3E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EFF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6C22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9308">
            <w:pPr>
              <w:jc w:val="center"/>
            </w:pPr>
            <w:r>
              <w:rPr>
                <w:rFonts w:ascii="宋体" w:hAnsi="宋体" w:eastAsia="宋体"/>
                <w:sz w:val="16"/>
              </w:rPr>
              <w:t>会议期间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D0B4">
            <w:pPr>
              <w:jc w:val="center"/>
            </w:pPr>
            <w:r>
              <w:rPr>
                <w:rFonts w:ascii="宋体" w:hAnsi="宋体" w:eastAsia="宋体"/>
                <w:sz w:val="16"/>
              </w:rPr>
              <w:t>=2天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2C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F333">
            <w:pPr>
              <w:jc w:val="center"/>
            </w:pPr>
            <w:r>
              <w:rPr>
                <w:rFonts w:ascii="宋体" w:hAnsi="宋体" w:eastAsia="宋体"/>
                <w:sz w:val="16"/>
              </w:rPr>
              <w:t>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D6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54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6F6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93E1A">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8C06D">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A48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62D6">
            <w:pPr>
              <w:jc w:val="center"/>
            </w:pPr>
            <w:r>
              <w:rPr>
                <w:rFonts w:ascii="宋体" w:hAnsi="宋体" w:eastAsia="宋体"/>
                <w:sz w:val="16"/>
              </w:rPr>
              <w:t>原计划2天，改为3天。</w:t>
            </w:r>
          </w:p>
        </w:tc>
      </w:tr>
      <w:tr w14:paraId="216FD7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F5D5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2B5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008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7035">
            <w:pPr>
              <w:jc w:val="center"/>
            </w:pPr>
            <w:r>
              <w:rPr>
                <w:rFonts w:ascii="宋体" w:hAnsi="宋体" w:eastAsia="宋体"/>
                <w:sz w:val="16"/>
              </w:rPr>
              <w:t>住宿费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452F">
            <w:pPr>
              <w:jc w:val="center"/>
            </w:pPr>
            <w:r>
              <w:rPr>
                <w:rFonts w:ascii="宋体" w:hAnsi="宋体" w:eastAsia="宋体"/>
                <w:sz w:val="16"/>
              </w:rPr>
              <w:t>&lt;=107040元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AA81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8831">
            <w:pPr>
              <w:jc w:val="center"/>
            </w:pPr>
            <w:r>
              <w:rPr>
                <w:rFonts w:ascii="宋体" w:hAnsi="宋体" w:eastAsia="宋体"/>
                <w:sz w:val="16"/>
              </w:rPr>
              <w:t>52377元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1D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7C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C72F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C6A5">
            <w:pPr>
              <w:jc w:val="center"/>
            </w:pPr>
            <w:r>
              <w:rPr>
                <w:rFonts w:ascii="宋体" w:hAnsi="宋体" w:eastAsia="宋体"/>
                <w:sz w:val="16"/>
              </w:rPr>
              <w:t>=90625元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7705">
            <w:pPr>
              <w:jc w:val="center"/>
            </w:pPr>
            <w:r>
              <w:rPr>
                <w:rFonts w:ascii="宋体" w:hAnsi="宋体" w:eastAsia="宋体"/>
                <w:sz w:val="16"/>
              </w:rPr>
              <w:t>84.66%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AC0A">
            <w:pPr>
              <w:jc w:val="center"/>
            </w:pPr>
            <w:r>
              <w:rPr>
                <w:rFonts w:ascii="宋体" w:hAnsi="宋体" w:eastAsia="宋体"/>
                <w:sz w:val="16"/>
              </w:rPr>
              <w:t>8.47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8C27">
            <w:pPr>
              <w:jc w:val="center"/>
            </w:pPr>
            <w:r>
              <w:rPr>
                <w:rFonts w:ascii="宋体" w:hAnsi="宋体" w:eastAsia="宋体"/>
                <w:sz w:val="16"/>
              </w:rPr>
              <w:t>因财政库款紧张，优先用于“三保”支出，未能及时支付</w:t>
            </w:r>
          </w:p>
        </w:tc>
      </w:tr>
      <w:tr w14:paraId="44BFD8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7F6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536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08C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BB01">
            <w:pPr>
              <w:jc w:val="center"/>
            </w:pPr>
            <w:r>
              <w:rPr>
                <w:rFonts w:ascii="宋体" w:hAnsi="宋体" w:eastAsia="宋体"/>
                <w:sz w:val="16"/>
              </w:rPr>
              <w:t>伙食费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2646D">
            <w:pPr>
              <w:jc w:val="center"/>
            </w:pPr>
            <w:r>
              <w:rPr>
                <w:rFonts w:ascii="宋体" w:hAnsi="宋体" w:eastAsia="宋体"/>
                <w:sz w:val="16"/>
              </w:rPr>
              <w:t>&lt;=66900元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76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2480">
            <w:pPr>
              <w:jc w:val="center"/>
            </w:pPr>
            <w:r>
              <w:rPr>
                <w:rFonts w:ascii="宋体" w:hAnsi="宋体" w:eastAsia="宋体"/>
                <w:sz w:val="16"/>
              </w:rPr>
              <w:t>52377元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B1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F6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165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7CE2">
            <w:pPr>
              <w:jc w:val="center"/>
            </w:pPr>
            <w:r>
              <w:rPr>
                <w:rFonts w:ascii="宋体" w:hAnsi="宋体" w:eastAsia="宋体"/>
                <w:sz w:val="16"/>
              </w:rPr>
              <w:t>=53842元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BC3A">
            <w:pPr>
              <w:jc w:val="center"/>
            </w:pPr>
            <w:r>
              <w:rPr>
                <w:rFonts w:ascii="宋体" w:hAnsi="宋体" w:eastAsia="宋体"/>
                <w:sz w:val="16"/>
              </w:rPr>
              <w:t>80.48%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799A">
            <w:pPr>
              <w:jc w:val="center"/>
            </w:pPr>
            <w:r>
              <w:rPr>
                <w:rFonts w:ascii="宋体" w:hAnsi="宋体" w:eastAsia="宋体"/>
                <w:sz w:val="16"/>
              </w:rPr>
              <w:t>4.02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3338">
            <w:pPr>
              <w:jc w:val="center"/>
            </w:pPr>
            <w:r>
              <w:rPr>
                <w:rFonts w:ascii="宋体" w:hAnsi="宋体" w:eastAsia="宋体"/>
                <w:sz w:val="16"/>
              </w:rPr>
              <w:t>因财政库款紧张，优先用于“三保”支出，未能及时支付</w:t>
            </w:r>
          </w:p>
        </w:tc>
      </w:tr>
      <w:tr w14:paraId="711A2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F79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6D9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689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9143">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22FD9">
            <w:pPr>
              <w:jc w:val="center"/>
            </w:pPr>
            <w:r>
              <w:rPr>
                <w:rFonts w:ascii="宋体" w:hAnsi="宋体" w:eastAsia="宋体"/>
                <w:sz w:val="16"/>
              </w:rPr>
              <w:t>&lt;=22300元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A3A3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FAD6">
            <w:pPr>
              <w:jc w:val="center"/>
            </w:pPr>
            <w:r>
              <w:rPr>
                <w:rFonts w:ascii="宋体" w:hAnsi="宋体" w:eastAsia="宋体"/>
                <w:sz w:val="16"/>
              </w:rPr>
              <w:t>52377元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F1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9D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8E0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F4413">
            <w:pPr>
              <w:jc w:val="center"/>
            </w:pPr>
            <w:r>
              <w:rPr>
                <w:rFonts w:ascii="宋体" w:hAnsi="宋体" w:eastAsia="宋体"/>
                <w:sz w:val="16"/>
              </w:rPr>
              <w:t>=10673元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72EB4">
            <w:pPr>
              <w:jc w:val="center"/>
            </w:pPr>
            <w:r>
              <w:rPr>
                <w:rFonts w:ascii="宋体" w:hAnsi="宋体" w:eastAsia="宋体"/>
                <w:sz w:val="16"/>
              </w:rPr>
              <w:t>47.86%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3178">
            <w:pPr>
              <w:jc w:val="center"/>
            </w:pPr>
            <w:r>
              <w:rPr>
                <w:rFonts w:ascii="宋体" w:hAnsi="宋体" w:eastAsia="宋体"/>
                <w:sz w:val="16"/>
              </w:rPr>
              <w:t>2.39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F2D78">
            <w:pPr>
              <w:jc w:val="center"/>
            </w:pPr>
            <w:r>
              <w:rPr>
                <w:rFonts w:ascii="宋体" w:hAnsi="宋体" w:eastAsia="宋体"/>
                <w:sz w:val="16"/>
              </w:rPr>
              <w:t>因财政库款紧张，优先用于“三保”支出，未能及时支付</w:t>
            </w:r>
          </w:p>
        </w:tc>
      </w:tr>
      <w:tr w14:paraId="4DE76D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906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3075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53B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07BF1">
            <w:pPr>
              <w:jc w:val="center"/>
            </w:pPr>
            <w:r>
              <w:rPr>
                <w:rFonts w:ascii="宋体" w:hAnsi="宋体" w:eastAsia="宋体"/>
                <w:sz w:val="16"/>
              </w:rPr>
              <w:t>提升委员履职能力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588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557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A96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1D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27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62B7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9C8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AD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D7E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C451">
            <w:pPr>
              <w:jc w:val="center"/>
            </w:pPr>
          </w:p>
        </w:tc>
      </w:tr>
      <w:tr w14:paraId="74D64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108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7CA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63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6CB6F">
            <w:pPr>
              <w:jc w:val="center"/>
            </w:pPr>
            <w:r>
              <w:rPr>
                <w:rFonts w:ascii="宋体" w:hAnsi="宋体" w:eastAsia="宋体"/>
                <w:sz w:val="16"/>
              </w:rPr>
              <w:t>坚持和完善政协大会制度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F396">
            <w:pPr>
              <w:jc w:val="center"/>
            </w:pPr>
            <w:r>
              <w:rPr>
                <w:rFonts w:ascii="宋体" w:hAnsi="宋体" w:eastAsia="宋体"/>
                <w:sz w:val="16"/>
              </w:rPr>
              <w:t>长期有效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97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466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47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B1E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099B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A43A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97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4B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4FB5">
            <w:pPr>
              <w:jc w:val="center"/>
            </w:pPr>
          </w:p>
        </w:tc>
      </w:tr>
      <w:tr w14:paraId="1C881B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47F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6D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47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540C">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DCE9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7E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7F84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47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6284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1E4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F333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4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92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09B14">
            <w:pPr>
              <w:jc w:val="center"/>
            </w:pPr>
          </w:p>
        </w:tc>
      </w:tr>
      <w:tr w14:paraId="26DC22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0E8F7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A8EC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67E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D41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578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F90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F10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B2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99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9145">
            <w:pPr>
              <w:jc w:val="center"/>
            </w:pPr>
            <w:r>
              <w:rPr>
                <w:rFonts w:ascii="宋体" w:hAnsi="宋体" w:eastAsia="宋体"/>
                <w:sz w:val="16"/>
              </w:rPr>
              <w:t>92.78分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A3DF0"/>
        </w:tc>
      </w:tr>
    </w:tbl>
    <w:p w14:paraId="34AB5159">
      <w:r>
        <w:br w:type="page"/>
      </w:r>
    </w:p>
    <w:p w14:paraId="26C677B9">
      <w:pPr>
        <w:spacing w:line="640" w:lineRule="exact"/>
        <w:ind w:firstLine="640"/>
        <w:jc w:val="both"/>
        <w:outlineLvl w:val="2"/>
      </w:pPr>
      <w:r>
        <w:rPr>
          <w:rFonts w:ascii="黑体" w:hAnsi="黑体" w:eastAsia="黑体"/>
          <w:sz w:val="32"/>
        </w:rPr>
        <w:t>十二、其他需说明的事项</w:t>
      </w:r>
    </w:p>
    <w:p w14:paraId="596D9AC7">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33E9421E">
      <w:r>
        <w:br w:type="page"/>
      </w:r>
    </w:p>
    <w:p w14:paraId="0B9FBD14">
      <w:pPr>
        <w:spacing w:line="240" w:lineRule="auto"/>
        <w:jc w:val="center"/>
        <w:outlineLvl w:val="1"/>
      </w:pPr>
      <w:r>
        <w:rPr>
          <w:rFonts w:ascii="黑体" w:hAnsi="黑体" w:eastAsia="黑体"/>
          <w:sz w:val="32"/>
        </w:rPr>
        <w:t>第三部分 专业名词解释</w:t>
      </w:r>
    </w:p>
    <w:p w14:paraId="054DEA0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16FA0B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EF305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B853B3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1F742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542FB1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5A8DD9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D8ABAE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2CB9B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C01A14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2B5B94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85A27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C99AFB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9271C3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3CDC271">
      <w:r>
        <w:br w:type="page"/>
      </w:r>
    </w:p>
    <w:p w14:paraId="457395E1">
      <w:pPr>
        <w:spacing w:line="240" w:lineRule="auto"/>
        <w:jc w:val="center"/>
        <w:outlineLvl w:val="1"/>
      </w:pPr>
      <w:r>
        <w:rPr>
          <w:rFonts w:ascii="黑体" w:hAnsi="黑体" w:eastAsia="黑体"/>
          <w:sz w:val="32"/>
        </w:rPr>
        <w:t>第四部分 部门决算报表（见附表）</w:t>
      </w:r>
    </w:p>
    <w:p w14:paraId="1BBC8F48">
      <w:pPr>
        <w:spacing w:line="240" w:lineRule="auto"/>
        <w:ind w:firstLine="640"/>
        <w:jc w:val="both"/>
      </w:pPr>
      <w:r>
        <w:rPr>
          <w:rFonts w:ascii="仿宋_GB2312" w:hAnsi="仿宋_GB2312" w:eastAsia="仿宋_GB2312"/>
          <w:b w:val="0"/>
          <w:sz w:val="32"/>
        </w:rPr>
        <w:t>一、《收入支出决算总表》</w:t>
      </w:r>
    </w:p>
    <w:p w14:paraId="7A752BC3">
      <w:pPr>
        <w:spacing w:line="240" w:lineRule="auto"/>
        <w:ind w:firstLine="640"/>
        <w:jc w:val="both"/>
      </w:pPr>
      <w:r>
        <w:rPr>
          <w:rFonts w:ascii="仿宋_GB2312" w:hAnsi="仿宋_GB2312" w:eastAsia="仿宋_GB2312"/>
          <w:b w:val="0"/>
          <w:sz w:val="32"/>
        </w:rPr>
        <w:t>二、《收入决算表》</w:t>
      </w:r>
    </w:p>
    <w:p w14:paraId="1DD1C100">
      <w:pPr>
        <w:spacing w:line="240" w:lineRule="auto"/>
        <w:ind w:firstLine="640"/>
        <w:jc w:val="both"/>
      </w:pPr>
      <w:r>
        <w:rPr>
          <w:rFonts w:ascii="仿宋_GB2312" w:hAnsi="仿宋_GB2312" w:eastAsia="仿宋_GB2312"/>
          <w:b w:val="0"/>
          <w:sz w:val="32"/>
        </w:rPr>
        <w:t>三、《支出决算表》</w:t>
      </w:r>
    </w:p>
    <w:p w14:paraId="474BD3B9">
      <w:pPr>
        <w:spacing w:line="240" w:lineRule="auto"/>
        <w:ind w:firstLine="640"/>
        <w:jc w:val="both"/>
      </w:pPr>
      <w:r>
        <w:rPr>
          <w:rFonts w:ascii="仿宋_GB2312" w:hAnsi="仿宋_GB2312" w:eastAsia="仿宋_GB2312"/>
          <w:b w:val="0"/>
          <w:sz w:val="32"/>
        </w:rPr>
        <w:t>四、《财政拨款收入支出决算总表》</w:t>
      </w:r>
    </w:p>
    <w:p w14:paraId="68C38FFA">
      <w:pPr>
        <w:spacing w:line="240" w:lineRule="auto"/>
        <w:ind w:firstLine="640"/>
        <w:jc w:val="both"/>
      </w:pPr>
      <w:r>
        <w:rPr>
          <w:rFonts w:ascii="仿宋_GB2312" w:hAnsi="仿宋_GB2312" w:eastAsia="仿宋_GB2312"/>
          <w:b w:val="0"/>
          <w:sz w:val="32"/>
        </w:rPr>
        <w:t>五、《一般公共预算财政拨款支出决算表》</w:t>
      </w:r>
    </w:p>
    <w:p w14:paraId="4B681E0A">
      <w:pPr>
        <w:spacing w:line="240" w:lineRule="auto"/>
        <w:ind w:firstLine="640"/>
        <w:jc w:val="both"/>
      </w:pPr>
      <w:r>
        <w:rPr>
          <w:rFonts w:ascii="仿宋_GB2312" w:hAnsi="仿宋_GB2312" w:eastAsia="仿宋_GB2312"/>
          <w:b w:val="0"/>
          <w:sz w:val="32"/>
        </w:rPr>
        <w:t>六、《一般公共预算财政拨款基本支出决算表》</w:t>
      </w:r>
    </w:p>
    <w:p w14:paraId="205E1C51">
      <w:pPr>
        <w:spacing w:line="240" w:lineRule="auto"/>
        <w:ind w:firstLine="640"/>
        <w:jc w:val="both"/>
      </w:pPr>
      <w:r>
        <w:rPr>
          <w:rFonts w:ascii="仿宋_GB2312" w:hAnsi="仿宋_GB2312" w:eastAsia="仿宋_GB2312"/>
          <w:b w:val="0"/>
          <w:sz w:val="32"/>
        </w:rPr>
        <w:t>七、《政府性基金预算财政拨款收入支出决算表》</w:t>
      </w:r>
    </w:p>
    <w:p w14:paraId="06EABDD8">
      <w:pPr>
        <w:spacing w:line="240" w:lineRule="auto"/>
        <w:ind w:firstLine="640"/>
        <w:jc w:val="both"/>
      </w:pPr>
      <w:r>
        <w:rPr>
          <w:rFonts w:ascii="仿宋_GB2312" w:hAnsi="仿宋_GB2312" w:eastAsia="仿宋_GB2312"/>
          <w:b w:val="0"/>
          <w:sz w:val="32"/>
        </w:rPr>
        <w:t>八、《国有资本经营预算财政拨款收入支出决算表》</w:t>
      </w:r>
    </w:p>
    <w:p w14:paraId="71BD54DD">
      <w:pPr>
        <w:spacing w:line="240" w:lineRule="auto"/>
        <w:ind w:firstLine="640"/>
        <w:jc w:val="both"/>
      </w:pPr>
      <w:r>
        <w:rPr>
          <w:rFonts w:ascii="仿宋_GB2312" w:hAnsi="仿宋_GB2312" w:eastAsia="仿宋_GB2312"/>
          <w:b w:val="0"/>
          <w:sz w:val="32"/>
        </w:rPr>
        <w:t>九、《财政拨款“三公”经费支出决算表》</w:t>
      </w:r>
    </w:p>
    <w:p w14:paraId="18227C4A">
      <w:pPr>
        <w:spacing w:line="240" w:lineRule="auto"/>
        <w:ind w:firstLine="640"/>
        <w:jc w:val="both"/>
      </w:pPr>
    </w:p>
    <w:p w14:paraId="2348DCB5">
      <w:pPr>
        <w:spacing w:line="240" w:lineRule="auto"/>
        <w:ind w:firstLine="640"/>
        <w:jc w:val="both"/>
      </w:pPr>
    </w:p>
    <w:p w14:paraId="5D1C5197">
      <w:pPr>
        <w:spacing w:line="240" w:lineRule="auto"/>
        <w:ind w:firstLine="640"/>
        <w:jc w:val="both"/>
      </w:pPr>
    </w:p>
    <w:p w14:paraId="62C89F93">
      <w:pPr>
        <w:spacing w:line="240" w:lineRule="auto"/>
        <w:ind w:firstLine="640"/>
        <w:jc w:val="both"/>
      </w:pPr>
    </w:p>
    <w:p w14:paraId="5219C1C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9C212B"/>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CD36387"/>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6cc6e3ff-4713-47d0-ae87-9b40639fc310</errorID>
      <errorWord>常务委员会议、</errorWord>
      <group>L1_Word</group>
      <groupName>字词问题</groupName>
      <ability>L2_Typo</ability>
      <abilityName>字词错误</abilityName>
      <candidateList>
        <item>常务委员会会议、</item>
      </candidateList>
      <explain/>
      <paraID>74578FF5</paraID>
      <start>20</start>
      <end>28</end>
      <status>modified</status>
      <modifiedWord>常务委员会会议、</modifiedWord>
      <trackRevisions>false</trackRevisions>
    </reviewItem>
    <reviewItem>
      <errorID>eb87dd57-2980-4615-908e-f529ab68f8cc</errorID>
      <errorWord>民族</errorWord>
      <group>L1_Sensitive</group>
      <groupName>敏感问题</groupName>
      <ability>L2_UserSensitive</ability>
      <abilityName>自定义敏感词</abilityName>
      <candidateList/>
      <explain>来自自定义敏感词库。</explain>
      <paraID>2DC95ED0</paraID>
      <start>198</start>
      <end>200</end>
      <status>unmodified</status>
      <modifiedWord/>
      <trackRevisions>false</trackRevisions>
    </reviewItem>
    <reviewItem>
      <errorID>0177d1f6-0941-49b1-9379-7aca5cc62933</errorID>
      <errorWord>中央</errorWord>
      <group>L1_Sensitive</group>
      <groupName>敏感问题</groupName>
      <ability>L2_UserSensitive</ability>
      <abilityName>自定义敏感词</abilityName>
      <candidateList/>
      <explain>来自自定义敏感词库。</explain>
      <paraID>67EE2A78</paraID>
      <start>129</start>
      <end>131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df1df-7ece-4c82-a968-d4e1310d10a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5075</Words>
  <Characters>5681</Characters>
  <Lines>0</Lines>
  <Paragraphs>0</Paragraphs>
  <TotalTime>5</TotalTime>
  <ScaleCrop>false</ScaleCrop>
  <LinksUpToDate>false</LinksUpToDate>
  <CharactersWithSpaces>5689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2025-11-05T13:12:24Z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