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中共乌鲁木齐市水磨沟区委员会办公室2024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084E42E">
      <w:r>
        <w:br w:type="page"/>
      </w:r>
    </w:p>
    <w:p w14:paraId="320CEEB9">
      <w:pPr>
        <w:spacing w:line="640" w:lineRule="exact"/>
        <w:jc w:val="center"/>
        <w:outlineLvl w:val="1"/>
      </w:pPr>
      <w:r>
        <w:rPr>
          <w:rFonts w:ascii="黑体" w:hAnsi="黑体" w:eastAsia="黑体"/>
          <w:sz w:val="32"/>
        </w:rPr>
        <w:t>第一部分 单位概况</w:t>
      </w:r>
    </w:p>
    <w:p w14:paraId="75613072">
      <w:pPr>
        <w:spacing w:line="640" w:lineRule="exact"/>
        <w:ind w:firstLine="640"/>
        <w:jc w:val="both"/>
        <w:outlineLvl w:val="2"/>
      </w:pPr>
      <w:r>
        <w:rPr>
          <w:rFonts w:ascii="黑体" w:hAnsi="黑体" w:eastAsia="黑体"/>
          <w:sz w:val="32"/>
        </w:rPr>
        <w:t>一、主要职能</w:t>
      </w:r>
    </w:p>
    <w:p w14:paraId="2345F5FD">
      <w:pPr>
        <w:spacing w:line="580" w:lineRule="exact"/>
        <w:ind w:firstLine="640"/>
        <w:jc w:val="both"/>
      </w:pPr>
      <w:r>
        <w:rPr>
          <w:rFonts w:ascii="仿宋_GB2312" w:hAnsi="仿宋_GB2312" w:eastAsia="仿宋_GB2312"/>
          <w:sz w:val="32"/>
        </w:rPr>
        <w:t>（1）负责区委日常工作的综合协调，承担与区委各议事协调机构办公室的协调工作。</w:t>
      </w:r>
    </w:p>
    <w:p w14:paraId="16DE0A59">
      <w:pPr>
        <w:spacing w:line="580" w:lineRule="exact"/>
        <w:ind w:firstLine="640"/>
        <w:jc w:val="both"/>
      </w:pPr>
      <w:r>
        <w:rPr>
          <w:rFonts w:ascii="仿宋_GB2312" w:hAnsi="仿宋_GB2312" w:eastAsia="仿宋_GB2312"/>
          <w:sz w:val="32"/>
        </w:rPr>
        <w:t>（2）负责区委日常文电的处理工作，承担区委、区委办公室文件文稿的草拟、修改、审核和制发、立卷、归档工作。</w:t>
      </w:r>
    </w:p>
    <w:p w14:paraId="12D60DA3">
      <w:pPr>
        <w:spacing w:line="580" w:lineRule="exact"/>
        <w:ind w:firstLine="640"/>
        <w:jc w:val="both"/>
      </w:pPr>
      <w:r>
        <w:rPr>
          <w:rFonts w:ascii="仿宋_GB2312" w:hAnsi="仿宋_GB2312" w:eastAsia="仿宋_GB2312"/>
          <w:sz w:val="32"/>
        </w:rPr>
        <w:t>（3）承办对党中央、自治区党委、市委决策部署贯彻落实情况的督促检查和党中央、自治区党委、市委领导同志的指示批示、交办事项的催办落实；负责区委工作部署落实情况的督促检查和区委文件、区委领导同志指示批示的催办落实工作。</w:t>
      </w:r>
    </w:p>
    <w:p w14:paraId="5D6941EA">
      <w:pPr>
        <w:spacing w:line="580" w:lineRule="exact"/>
        <w:ind w:firstLine="640"/>
        <w:jc w:val="both"/>
      </w:pPr>
      <w:r>
        <w:rPr>
          <w:rFonts w:ascii="仿宋_GB2312" w:hAnsi="仿宋_GB2312" w:eastAsia="仿宋_GB2312"/>
          <w:sz w:val="32"/>
        </w:rPr>
        <w:t>（4）负责全面了解全区维护稳定、经济发展和城区建设等情况，及时掌握区属各部门工作重大动态，为区委科学决策发挥参谋助手作用；围绕区委总体工作部署，负责全区重要信息的收集处理，及时向市委办公厅和区委报送信息。</w:t>
      </w:r>
    </w:p>
    <w:p w14:paraId="68BBBA25">
      <w:pPr>
        <w:spacing w:line="580" w:lineRule="exact"/>
        <w:ind w:firstLine="640"/>
        <w:jc w:val="both"/>
      </w:pPr>
      <w:r>
        <w:rPr>
          <w:rFonts w:ascii="仿宋_GB2312" w:hAnsi="仿宋_GB2312" w:eastAsia="仿宋_GB2312"/>
          <w:sz w:val="32"/>
        </w:rPr>
        <w:t>（5）负责中央文件、自治区党委文件、市委文件、区委文件和党政军及其要害部门密级文件、信件的接收、传递工作。</w:t>
      </w:r>
    </w:p>
    <w:p w14:paraId="3A60C239">
      <w:pPr>
        <w:spacing w:line="580" w:lineRule="exact"/>
        <w:ind w:firstLine="640"/>
        <w:jc w:val="both"/>
      </w:pPr>
      <w:r>
        <w:rPr>
          <w:rFonts w:ascii="仿宋_GB2312" w:hAnsi="仿宋_GB2312" w:eastAsia="仿宋_GB2312"/>
          <w:sz w:val="32"/>
        </w:rPr>
        <w:t>（6）负责区委召开会议的筹备、组织和服务工作，负责区委领导同志的公务活动安排，负责党中央、自治区党委、市委和各地党委领导来我区进行公务活动的接待服务。</w:t>
      </w:r>
    </w:p>
    <w:p w14:paraId="09BCECF1">
      <w:pPr>
        <w:spacing w:line="580" w:lineRule="exact"/>
        <w:ind w:firstLine="640"/>
        <w:jc w:val="both"/>
      </w:pPr>
      <w:r>
        <w:rPr>
          <w:rFonts w:ascii="仿宋_GB2312" w:hAnsi="仿宋_GB2312" w:eastAsia="仿宋_GB2312"/>
          <w:sz w:val="32"/>
        </w:rPr>
        <w:t>（7）负责区委制定党内规范性文件。</w:t>
      </w:r>
    </w:p>
    <w:p w14:paraId="5425F7DD">
      <w:pPr>
        <w:spacing w:line="580" w:lineRule="exact"/>
        <w:ind w:firstLine="640"/>
        <w:jc w:val="both"/>
      </w:pPr>
      <w:r>
        <w:rPr>
          <w:rFonts w:ascii="仿宋_GB2312" w:hAnsi="仿宋_GB2312" w:eastAsia="仿宋_GB2312"/>
          <w:sz w:val="32"/>
        </w:rPr>
        <w:t>（8）承担区委党务公开具体工作，负责统筹协调和督促指导全区党务公开工作。</w:t>
      </w:r>
    </w:p>
    <w:p w14:paraId="6D7C3989">
      <w:pPr>
        <w:spacing w:line="580" w:lineRule="exact"/>
        <w:ind w:firstLine="640"/>
        <w:jc w:val="both"/>
      </w:pPr>
      <w:r>
        <w:rPr>
          <w:rFonts w:ascii="仿宋_GB2312" w:hAnsi="仿宋_GB2312" w:eastAsia="仿宋_GB2312"/>
          <w:sz w:val="32"/>
        </w:rPr>
        <w:t>（9）负责全区档案事业行政管理，负责区档案馆重要档案提供利用的审批工作。</w:t>
      </w:r>
    </w:p>
    <w:p w14:paraId="1142000F">
      <w:pPr>
        <w:spacing w:line="580" w:lineRule="exact"/>
        <w:ind w:firstLine="640"/>
        <w:jc w:val="both"/>
      </w:pPr>
      <w:r>
        <w:rPr>
          <w:rFonts w:ascii="仿宋_GB2312" w:hAnsi="仿宋_GB2312" w:eastAsia="仿宋_GB2312"/>
          <w:sz w:val="32"/>
        </w:rPr>
        <w:t>（10）统一领导区委机要保密局（区国家保密局、区密码管理局）。</w:t>
      </w:r>
    </w:p>
    <w:p w14:paraId="4D9B5A3D">
      <w:pPr>
        <w:spacing w:line="580" w:lineRule="exact"/>
        <w:ind w:firstLine="640"/>
        <w:jc w:val="both"/>
      </w:pPr>
      <w:r>
        <w:rPr>
          <w:rFonts w:ascii="仿宋_GB2312" w:hAnsi="仿宋_GB2312" w:eastAsia="仿宋_GB2312"/>
          <w:sz w:val="32"/>
        </w:rPr>
        <w:t>（11）承办区委交办的其他事项。</w:t>
      </w:r>
    </w:p>
    <w:p w14:paraId="0F810629">
      <w:pPr>
        <w:spacing w:line="640" w:lineRule="exact"/>
        <w:ind w:firstLine="640"/>
        <w:jc w:val="both"/>
        <w:outlineLvl w:val="2"/>
      </w:pPr>
      <w:r>
        <w:rPr>
          <w:rFonts w:ascii="黑体" w:hAnsi="黑体" w:eastAsia="黑体"/>
          <w:sz w:val="32"/>
        </w:rPr>
        <w:t>二、机构设置及人员情况</w:t>
      </w:r>
    </w:p>
    <w:p w14:paraId="72F616D4">
      <w:pPr>
        <w:spacing w:line="580" w:lineRule="exact"/>
        <w:ind w:firstLine="640"/>
        <w:jc w:val="both"/>
      </w:pPr>
      <w:r>
        <w:rPr>
          <w:rFonts w:ascii="仿宋_GB2312" w:hAnsi="仿宋_GB2312" w:eastAsia="仿宋_GB2312"/>
          <w:sz w:val="32"/>
        </w:rPr>
        <w:t>中共乌鲁木齐市水磨沟区委员会办公室2024年度，实有人数44人，其中：在职人员44人，增加7人；离休人员0人，增加0人；退休人员0人,增加0人。</w:t>
      </w:r>
    </w:p>
    <w:p w14:paraId="3D31F253">
      <w:pPr>
        <w:spacing w:line="580" w:lineRule="exact"/>
        <w:ind w:firstLine="640"/>
        <w:jc w:val="both"/>
      </w:pPr>
      <w:r>
        <w:rPr>
          <w:rFonts w:ascii="仿宋_GB2312" w:hAnsi="仿宋_GB2312" w:eastAsia="仿宋_GB2312"/>
          <w:sz w:val="32"/>
        </w:rPr>
        <w:t>中共乌鲁木齐市水磨沟区委员会办公室无下属预算单位，下设4个科室，分别是：区委办公室、水磨沟区</w:t>
      </w:r>
      <w:r>
        <w:rPr>
          <w:rFonts w:hint="eastAsia" w:ascii="仿宋_GB2312" w:hAnsi="仿宋_GB2312" w:eastAsia="仿宋_GB2312"/>
          <w:sz w:val="32"/>
          <w:lang w:eastAsia="zh-CN"/>
        </w:rPr>
        <w:t>档案馆</w:t>
      </w:r>
      <w:r>
        <w:rPr>
          <w:rFonts w:ascii="仿宋_GB2312" w:hAnsi="仿宋_GB2312" w:eastAsia="仿宋_GB2312"/>
          <w:sz w:val="32"/>
        </w:rPr>
        <w:t>、水磨沟区金融服务中心、水磨沟</w:t>
      </w:r>
      <w:r>
        <w:rPr>
          <w:rFonts w:hint="eastAsia" w:ascii="仿宋_GB2312" w:hAnsi="仿宋_GB2312" w:eastAsia="仿宋_GB2312"/>
          <w:sz w:val="32"/>
          <w:lang w:eastAsia="zh-CN"/>
        </w:rPr>
        <w:t>区委国安办</w:t>
      </w:r>
      <w:r>
        <w:rPr>
          <w:rFonts w:ascii="仿宋_GB2312" w:hAnsi="仿宋_GB2312" w:eastAsia="仿宋_GB2312"/>
          <w:sz w:val="32"/>
        </w:rPr>
        <w:t>。</w:t>
      </w:r>
    </w:p>
    <w:p w14:paraId="63E890FD">
      <w:r>
        <w:br w:type="page"/>
      </w:r>
    </w:p>
    <w:p w14:paraId="33154BF6">
      <w:pPr>
        <w:spacing w:line="240" w:lineRule="auto"/>
        <w:jc w:val="center"/>
        <w:outlineLvl w:val="1"/>
      </w:pPr>
      <w:r>
        <w:rPr>
          <w:rFonts w:ascii="黑体" w:hAnsi="黑体" w:eastAsia="黑体"/>
          <w:sz w:val="32"/>
        </w:rPr>
        <w:t>第二部分 部门决算情况说明</w:t>
      </w:r>
    </w:p>
    <w:p w14:paraId="2996F7DD">
      <w:pPr>
        <w:spacing w:line="640" w:lineRule="exact"/>
        <w:ind w:firstLine="640"/>
        <w:jc w:val="both"/>
        <w:outlineLvl w:val="2"/>
      </w:pPr>
      <w:r>
        <w:rPr>
          <w:rFonts w:ascii="黑体" w:hAnsi="黑体" w:eastAsia="黑体"/>
          <w:sz w:val="32"/>
        </w:rPr>
        <w:t>一、收入支出决算总体情况说明</w:t>
      </w:r>
    </w:p>
    <w:p w14:paraId="4F75F0FE">
      <w:pPr>
        <w:spacing w:line="580" w:lineRule="exact"/>
        <w:ind w:firstLine="640"/>
        <w:jc w:val="both"/>
      </w:pPr>
      <w:r>
        <w:rPr>
          <w:rFonts w:ascii="仿宋_GB2312" w:hAnsi="仿宋_GB2312" w:eastAsia="仿宋_GB2312"/>
          <w:b/>
          <w:sz w:val="32"/>
        </w:rPr>
        <w:t>2024年度收入总计745.41万元，</w:t>
      </w:r>
      <w:r>
        <w:rPr>
          <w:rFonts w:ascii="仿宋_GB2312" w:hAnsi="仿宋_GB2312" w:eastAsia="仿宋_GB2312"/>
          <w:b w:val="0"/>
          <w:sz w:val="32"/>
        </w:rPr>
        <w:t>其中：本年收入合计725.51万元，使用非财政拨款结余（含专用结余）0.00万元，年初结转和结余19.89万元。</w:t>
      </w:r>
    </w:p>
    <w:p w14:paraId="300152AD">
      <w:pPr>
        <w:spacing w:line="580" w:lineRule="exact"/>
        <w:ind w:firstLine="640"/>
        <w:jc w:val="both"/>
      </w:pPr>
      <w:r>
        <w:rPr>
          <w:rFonts w:ascii="仿宋_GB2312" w:hAnsi="仿宋_GB2312" w:eastAsia="仿宋_GB2312"/>
          <w:b/>
          <w:sz w:val="32"/>
        </w:rPr>
        <w:t>2024年度支出总计745.41万元，</w:t>
      </w:r>
      <w:r>
        <w:rPr>
          <w:rFonts w:ascii="仿宋_GB2312" w:hAnsi="仿宋_GB2312" w:eastAsia="仿宋_GB2312"/>
          <w:b w:val="0"/>
          <w:sz w:val="32"/>
        </w:rPr>
        <w:t>其中：本年支出合计735.60万元，结余分配0.00万元，年末结转和结余9.81万元。</w:t>
      </w:r>
    </w:p>
    <w:p w14:paraId="7E98E352">
      <w:pPr>
        <w:spacing w:line="580" w:lineRule="exact"/>
        <w:ind w:firstLine="640"/>
        <w:jc w:val="both"/>
      </w:pPr>
      <w:r>
        <w:rPr>
          <w:rFonts w:ascii="仿宋_GB2312" w:hAnsi="仿宋_GB2312" w:eastAsia="仿宋_GB2312"/>
          <w:b w:val="0"/>
          <w:sz w:val="32"/>
        </w:rPr>
        <w:t>收入支出总体与上年相比，增加61.77万元，增长9.04%，主要原因是：1.本年增加</w:t>
      </w:r>
      <w:r>
        <w:rPr>
          <w:rFonts w:hint="eastAsia" w:ascii="仿宋_GB2312" w:hAnsi="仿宋_GB2312" w:eastAsia="仿宋_GB2312"/>
          <w:b w:val="0"/>
          <w:sz w:val="32"/>
          <w:lang w:val="en-US" w:eastAsia="zh-CN"/>
        </w:rPr>
        <w:t>存量资金安排的</w:t>
      </w:r>
      <w:r>
        <w:rPr>
          <w:rFonts w:ascii="仿宋_GB2312" w:hAnsi="仿宋_GB2312" w:eastAsia="仿宋_GB2312"/>
          <w:b w:val="0"/>
          <w:sz w:val="32"/>
        </w:rPr>
        <w:t>法律顾问服务费</w:t>
      </w:r>
      <w:r>
        <w:rPr>
          <w:rFonts w:hint="eastAsia" w:ascii="仿宋_GB2312" w:hAnsi="仿宋_GB2312" w:eastAsia="仿宋_GB2312"/>
          <w:b w:val="0"/>
          <w:sz w:val="32"/>
          <w:lang w:eastAsia="zh-CN"/>
        </w:rPr>
        <w:t>；</w:t>
      </w:r>
      <w:r>
        <w:rPr>
          <w:rFonts w:ascii="仿宋_GB2312" w:hAnsi="仿宋_GB2312" w:eastAsia="仿宋_GB2312"/>
          <w:b w:val="0"/>
          <w:sz w:val="32"/>
        </w:rPr>
        <w:t>2.本年在职人员增加，在职人员工资调增、社保、公积金基数调增，人员经费增加。</w:t>
      </w:r>
    </w:p>
    <w:p w14:paraId="56A3E992">
      <w:pPr>
        <w:spacing w:line="640" w:lineRule="exact"/>
        <w:ind w:firstLine="640"/>
        <w:jc w:val="both"/>
        <w:outlineLvl w:val="2"/>
      </w:pPr>
      <w:r>
        <w:rPr>
          <w:rFonts w:ascii="黑体" w:hAnsi="黑体" w:eastAsia="黑体"/>
          <w:sz w:val="32"/>
        </w:rPr>
        <w:t>二、收入决算情况说明</w:t>
      </w:r>
    </w:p>
    <w:p w14:paraId="355FF1B5">
      <w:pPr>
        <w:spacing w:line="580" w:lineRule="exact"/>
        <w:ind w:firstLine="640"/>
        <w:jc w:val="both"/>
      </w:pPr>
      <w:r>
        <w:rPr>
          <w:rFonts w:ascii="仿宋_GB2312" w:hAnsi="仿宋_GB2312" w:eastAsia="仿宋_GB2312"/>
          <w:b/>
          <w:sz w:val="32"/>
        </w:rPr>
        <w:t>本年收入725.51万元，</w:t>
      </w:r>
      <w:r>
        <w:rPr>
          <w:rFonts w:ascii="仿宋_GB2312" w:hAnsi="仿宋_GB2312" w:eastAsia="仿宋_GB2312"/>
          <w:b w:val="0"/>
          <w:sz w:val="32"/>
        </w:rPr>
        <w:t>其中：财政拨款收入677.20万元，占93.34%；上级补助收入0.00万元，占0.00%；事业收入0.00万元，占0.00%；经营收入0.00万元，占0.00%；附属单位上缴收入0.00万元，占0.00%；其他收入48.31万元，占6.66%。</w:t>
      </w:r>
    </w:p>
    <w:p w14:paraId="17E091EA">
      <w:pPr>
        <w:spacing w:line="640" w:lineRule="exact"/>
        <w:ind w:firstLine="640"/>
        <w:jc w:val="both"/>
        <w:outlineLvl w:val="2"/>
      </w:pPr>
      <w:r>
        <w:rPr>
          <w:rFonts w:ascii="黑体" w:hAnsi="黑体" w:eastAsia="黑体"/>
          <w:sz w:val="32"/>
        </w:rPr>
        <w:t>三、支出决算情况说明</w:t>
      </w:r>
    </w:p>
    <w:p w14:paraId="26DD033A">
      <w:pPr>
        <w:spacing w:line="580" w:lineRule="exact"/>
        <w:ind w:firstLine="640"/>
        <w:jc w:val="both"/>
      </w:pPr>
      <w:r>
        <w:rPr>
          <w:rFonts w:ascii="仿宋_GB2312" w:hAnsi="仿宋_GB2312" w:eastAsia="仿宋_GB2312"/>
          <w:b/>
          <w:sz w:val="32"/>
        </w:rPr>
        <w:t>本年支出735.60万元，</w:t>
      </w:r>
      <w:r>
        <w:rPr>
          <w:rFonts w:ascii="仿宋_GB2312" w:hAnsi="仿宋_GB2312" w:eastAsia="仿宋_GB2312"/>
          <w:b w:val="0"/>
          <w:sz w:val="32"/>
        </w:rPr>
        <w:t>其中：基本支出681.10万元，占92.59%；项目支出54.50万元，占7.41%；上缴上级支出0.00万元，占0.00%；经营支出0.00万元，占0.00%；对附属单位补助支出0.00万元，占0.00%。</w:t>
      </w:r>
    </w:p>
    <w:p w14:paraId="1BCA74C0">
      <w:pPr>
        <w:spacing w:line="640" w:lineRule="exact"/>
        <w:ind w:firstLine="640"/>
        <w:jc w:val="both"/>
        <w:outlineLvl w:val="2"/>
      </w:pPr>
      <w:r>
        <w:rPr>
          <w:rFonts w:ascii="黑体" w:hAnsi="黑体" w:eastAsia="黑体"/>
          <w:sz w:val="32"/>
        </w:rPr>
        <w:t>四、财政拨款收入支出决算总体情况说明</w:t>
      </w:r>
    </w:p>
    <w:p w14:paraId="67C77C4A">
      <w:pPr>
        <w:spacing w:line="580" w:lineRule="exact"/>
        <w:ind w:firstLine="640"/>
        <w:jc w:val="both"/>
      </w:pPr>
      <w:r>
        <w:rPr>
          <w:rFonts w:ascii="仿宋_GB2312" w:hAnsi="仿宋_GB2312" w:eastAsia="仿宋_GB2312"/>
          <w:b/>
          <w:sz w:val="32"/>
        </w:rPr>
        <w:t>2024年度财政拨款收入总计695.35万元，</w:t>
      </w:r>
      <w:r>
        <w:rPr>
          <w:rFonts w:ascii="仿宋_GB2312" w:hAnsi="仿宋_GB2312" w:eastAsia="仿宋_GB2312"/>
          <w:b w:val="0"/>
          <w:sz w:val="32"/>
        </w:rPr>
        <w:t>其中：年初财政拨款结转和结余18.15万元，本年财政拨款收入677.20万元。</w:t>
      </w:r>
      <w:r>
        <w:rPr>
          <w:rFonts w:ascii="仿宋_GB2312" w:hAnsi="仿宋_GB2312" w:eastAsia="仿宋_GB2312"/>
          <w:b/>
          <w:sz w:val="32"/>
        </w:rPr>
        <w:t>财政拨款支出总计695.35万元，</w:t>
      </w:r>
      <w:r>
        <w:rPr>
          <w:rFonts w:ascii="仿宋_GB2312" w:hAnsi="仿宋_GB2312" w:eastAsia="仿宋_GB2312"/>
          <w:b w:val="0"/>
          <w:sz w:val="32"/>
        </w:rPr>
        <w:t>其中：年末财政拨款结转和结余8.02万元，本年财政拨款支出687.33万元。</w:t>
      </w:r>
    </w:p>
    <w:p w14:paraId="5A00E26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增加26.48万元，增长3.96%，主要原因是：本年在职人员增加，在职人员工资调增、社保、公积金基数调增，人员经费增加。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年初预算数701.93万元，决算数695.35万元，预决算差异率-0.94%，主要原因是：</w:t>
      </w:r>
      <w:r>
        <w:rPr>
          <w:rFonts w:hint="eastAsia" w:ascii="仿宋_GB2312" w:hAnsi="仿宋_GB2312" w:eastAsia="仿宋_GB2312"/>
          <w:b w:val="0"/>
          <w:sz w:val="32"/>
          <w:lang w:val="en-US" w:eastAsia="zh-CN"/>
        </w:rPr>
        <w:t>年中调减</w:t>
      </w:r>
      <w:r>
        <w:rPr>
          <w:rFonts w:ascii="仿宋_GB2312" w:hAnsi="仿宋_GB2312" w:eastAsia="仿宋_GB2312"/>
          <w:b w:val="0"/>
          <w:sz w:val="32"/>
        </w:rPr>
        <w:t>包联工作经费、慰问经费，导致预决算存在差异。</w:t>
      </w:r>
    </w:p>
    <w:p w14:paraId="206120B2">
      <w:pPr>
        <w:spacing w:line="640" w:lineRule="exact"/>
        <w:ind w:firstLine="640"/>
        <w:jc w:val="both"/>
        <w:outlineLvl w:val="2"/>
      </w:pPr>
      <w:r>
        <w:rPr>
          <w:rFonts w:ascii="黑体" w:hAnsi="黑体" w:eastAsia="黑体"/>
          <w:sz w:val="32"/>
        </w:rPr>
        <w:t>五、一般公共预算财政拨款支出决算情况说明</w:t>
      </w:r>
    </w:p>
    <w:p w14:paraId="75EE71FB">
      <w:pPr>
        <w:spacing w:line="640" w:lineRule="exact"/>
        <w:ind w:firstLine="640"/>
        <w:jc w:val="both"/>
        <w:outlineLvl w:val="3"/>
      </w:pPr>
      <w:r>
        <w:rPr>
          <w:rFonts w:ascii="楷体_GB2312" w:hAnsi="楷体_GB2312" w:eastAsia="楷体_GB2312"/>
          <w:b/>
          <w:sz w:val="32"/>
        </w:rPr>
        <w:t>（一）一般公共预算财政拨款支出决算总体情况</w:t>
      </w:r>
    </w:p>
    <w:p w14:paraId="0AB9835D">
      <w:pPr>
        <w:spacing w:line="580" w:lineRule="exact"/>
        <w:ind w:firstLine="640"/>
        <w:jc w:val="both"/>
      </w:pPr>
      <w:r>
        <w:rPr>
          <w:rFonts w:ascii="仿宋_GB2312" w:hAnsi="仿宋_GB2312" w:eastAsia="仿宋_GB2312"/>
          <w:b/>
          <w:sz w:val="32"/>
        </w:rPr>
        <w:t>2024年度一般公共预算财政拨款支出687.33万元，</w:t>
      </w:r>
      <w:r>
        <w:rPr>
          <w:rFonts w:ascii="仿宋_GB2312" w:hAnsi="仿宋_GB2312" w:eastAsia="仿宋_GB2312"/>
          <w:b w:val="0"/>
          <w:sz w:val="32"/>
        </w:rPr>
        <w:t>占本年支出合计的93.44%。</w:t>
      </w:r>
      <w:r>
        <w:rPr>
          <w:rFonts w:ascii="仿宋_GB2312" w:hAnsi="仿宋_GB2312" w:eastAsia="仿宋_GB2312"/>
          <w:b/>
          <w:sz w:val="32"/>
        </w:rPr>
        <w:t>与上年相比，</w:t>
      </w:r>
      <w:r>
        <w:rPr>
          <w:rFonts w:ascii="仿宋_GB2312" w:hAnsi="仿宋_GB2312" w:eastAsia="仿宋_GB2312"/>
          <w:b w:val="0"/>
          <w:sz w:val="32"/>
        </w:rPr>
        <w:t>增加40.35万元，增长6.24%，主要原因是：本年在职人员增加，在职人员工资调增、社保、公积金基数调增，人员经费增加。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年初预算数701.93万元，决算数687.33万元，预决算差异率-2.08%，主要原因是：</w:t>
      </w:r>
      <w:r>
        <w:rPr>
          <w:rFonts w:hint="eastAsia" w:ascii="仿宋_GB2312" w:hAnsi="仿宋_GB2312" w:eastAsia="仿宋_GB2312"/>
          <w:b w:val="0"/>
          <w:sz w:val="32"/>
          <w:lang w:val="en-US" w:eastAsia="zh-CN"/>
        </w:rPr>
        <w:t>年中调减</w:t>
      </w:r>
      <w:r>
        <w:rPr>
          <w:rFonts w:ascii="仿宋_GB2312" w:hAnsi="仿宋_GB2312" w:eastAsia="仿宋_GB2312"/>
          <w:b w:val="0"/>
          <w:sz w:val="32"/>
        </w:rPr>
        <w:t>包联工作经费、慰问经费，导致预决算存在差异。</w:t>
      </w:r>
    </w:p>
    <w:p w14:paraId="0F935298">
      <w:pPr>
        <w:spacing w:line="640" w:lineRule="exact"/>
        <w:ind w:firstLine="640"/>
        <w:jc w:val="both"/>
        <w:outlineLvl w:val="3"/>
      </w:pPr>
      <w:r>
        <w:rPr>
          <w:rFonts w:ascii="楷体_GB2312" w:hAnsi="楷体_GB2312" w:eastAsia="楷体_GB2312"/>
          <w:b/>
          <w:sz w:val="32"/>
        </w:rPr>
        <w:t>（二）一般公共预算财政拨款支出决算结构情况</w:t>
      </w:r>
    </w:p>
    <w:p w14:paraId="33F87110">
      <w:pPr>
        <w:spacing w:line="580" w:lineRule="exact"/>
        <w:ind w:firstLine="640"/>
        <w:jc w:val="both"/>
      </w:pPr>
      <w:r>
        <w:rPr>
          <w:rFonts w:ascii="仿宋_GB2312" w:hAnsi="仿宋_GB2312" w:eastAsia="仿宋_GB2312"/>
          <w:b w:val="0"/>
          <w:sz w:val="32"/>
        </w:rPr>
        <w:t>1.一般公共服务支出(类)621.30万元,占90.39%。</w:t>
      </w:r>
    </w:p>
    <w:p w14:paraId="2ABE710A">
      <w:pPr>
        <w:spacing w:line="580" w:lineRule="exact"/>
        <w:ind w:firstLine="640"/>
        <w:jc w:val="both"/>
      </w:pPr>
      <w:r>
        <w:rPr>
          <w:rFonts w:ascii="仿宋_GB2312" w:hAnsi="仿宋_GB2312" w:eastAsia="仿宋_GB2312"/>
          <w:b w:val="0"/>
          <w:sz w:val="32"/>
        </w:rPr>
        <w:t>2.社会保障和就业支出(类)66.02万元,占9.61%。</w:t>
      </w:r>
    </w:p>
    <w:p w14:paraId="2C795567">
      <w:pPr>
        <w:spacing w:line="640" w:lineRule="exact"/>
        <w:ind w:firstLine="640"/>
        <w:jc w:val="both"/>
        <w:outlineLvl w:val="3"/>
      </w:pPr>
      <w:r>
        <w:rPr>
          <w:rFonts w:ascii="楷体_GB2312" w:hAnsi="楷体_GB2312" w:eastAsia="楷体_GB2312"/>
          <w:b/>
          <w:sz w:val="32"/>
        </w:rPr>
        <w:t>（三）一般公共预算财政拨款支出决算具体情况</w:t>
      </w:r>
    </w:p>
    <w:p w14:paraId="648866B5">
      <w:pPr>
        <w:spacing w:line="580" w:lineRule="exact"/>
        <w:ind w:firstLine="640"/>
        <w:jc w:val="both"/>
      </w:pPr>
      <w:r>
        <w:rPr>
          <w:rFonts w:ascii="仿宋_GB2312" w:hAnsi="仿宋_GB2312" w:eastAsia="仿宋_GB2312"/>
          <w:b w:val="0"/>
          <w:sz w:val="32"/>
        </w:rPr>
        <w:t>1.一般公共服务支出(类)党委办公厅（室）及相关机构事务(款)行政运行(项):支出决算数为398.95万元，比上年决算增加131.42万元，增长49.12%,主要原因是：本年在职人员增加，在职人员工资调增、公积金基数调增，人员经费增加。</w:t>
      </w:r>
    </w:p>
    <w:p w14:paraId="76EDCCA6">
      <w:pPr>
        <w:spacing w:line="580" w:lineRule="exact"/>
        <w:ind w:firstLine="640"/>
        <w:jc w:val="both"/>
      </w:pPr>
      <w:r>
        <w:rPr>
          <w:rFonts w:ascii="仿宋_GB2312" w:hAnsi="仿宋_GB2312" w:eastAsia="仿宋_GB2312"/>
          <w:b w:val="0"/>
          <w:sz w:val="32"/>
        </w:rPr>
        <w:t>2.一般公共服务支出(类)党委办公厅（室）及相关机构事务(款)事业运行(项):支出决算数为216.12万元，比上年决算增加8.69万元，增长4.19%,主要原因是：本年在职人员工资调增，导致相关人员经费较上年有所增加。</w:t>
      </w:r>
    </w:p>
    <w:p w14:paraId="40AE417D">
      <w:pPr>
        <w:spacing w:line="580" w:lineRule="exact"/>
        <w:ind w:firstLine="640"/>
        <w:jc w:val="both"/>
      </w:pPr>
      <w:r>
        <w:rPr>
          <w:rFonts w:ascii="仿宋_GB2312" w:hAnsi="仿宋_GB2312" w:eastAsia="仿宋_GB2312"/>
          <w:b w:val="0"/>
          <w:sz w:val="32"/>
        </w:rPr>
        <w:t>3.一般公共服务支出(类)党委办公厅（室）及相关机构事务(款)其他党委办公厅（室）及相关机构事务支出(项):支出决算数为6.24万元，比上年决算减少120.29万元，下降95.07%,主要原因是：本年度减少业务经费、临聘人员经费。</w:t>
      </w:r>
    </w:p>
    <w:p w14:paraId="2AEC4F69">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4.社会保障和就业支出(类)民政管理事务(款)基层政权建设和社区治理(项):支出决算数为0.00万元，比上年决算减少1.65万元，下降100.00%,主要原因是：本年度减少工作队成员补助经费。</w:t>
      </w:r>
    </w:p>
    <w:p w14:paraId="58968BB4">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66.02万元，比上年决算增加22.19万元，增长50.63%,主要原因是：本年度人员增加，人员工资调增，养老保险缴费支出增加。</w:t>
      </w:r>
    </w:p>
    <w:p w14:paraId="329AA96B">
      <w:pPr>
        <w:spacing w:line="640" w:lineRule="exact"/>
        <w:ind w:firstLine="640"/>
        <w:jc w:val="both"/>
        <w:outlineLvl w:val="2"/>
      </w:pPr>
      <w:r>
        <w:rPr>
          <w:rFonts w:ascii="黑体" w:hAnsi="黑体" w:eastAsia="黑体"/>
          <w:sz w:val="32"/>
        </w:rPr>
        <w:t>六、一般公共预算财政拨款基本支出决算情况说明</w:t>
      </w:r>
    </w:p>
    <w:p w14:paraId="5325328A">
      <w:pPr>
        <w:spacing w:line="580" w:lineRule="exact"/>
        <w:ind w:firstLine="640"/>
        <w:jc w:val="both"/>
      </w:pPr>
      <w:r>
        <w:rPr>
          <w:rFonts w:ascii="仿宋_GB2312" w:hAnsi="仿宋_GB2312" w:eastAsia="仿宋_GB2312"/>
          <w:b w:val="0"/>
          <w:sz w:val="32"/>
        </w:rPr>
        <w:t>2024年度一般公共预算财政拨款基本支出681.09万元，其中：</w:t>
      </w:r>
      <w:r>
        <w:rPr>
          <w:rFonts w:ascii="仿宋_GB2312" w:hAnsi="仿宋_GB2312" w:eastAsia="仿宋_GB2312"/>
          <w:b/>
          <w:sz w:val="32"/>
        </w:rPr>
        <w:t>人员经费664.21万元，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w:t>
      </w:r>
    </w:p>
    <w:p w14:paraId="2117A7DE">
      <w:pPr>
        <w:spacing w:line="580" w:lineRule="exact"/>
        <w:ind w:firstLine="640"/>
        <w:jc w:val="both"/>
      </w:pPr>
      <w:r>
        <w:rPr>
          <w:rFonts w:ascii="仿宋_GB2312" w:hAnsi="仿宋_GB2312" w:eastAsia="仿宋_GB2312"/>
          <w:b/>
          <w:sz w:val="32"/>
        </w:rPr>
        <w:t>公用经费16.89万元，</w:t>
      </w:r>
      <w:r>
        <w:rPr>
          <w:rFonts w:ascii="仿宋_GB2312" w:hAnsi="仿宋_GB2312" w:eastAsia="仿宋_GB2312"/>
          <w:b w:val="0"/>
          <w:sz w:val="32"/>
        </w:rPr>
        <w:t>包括：办公费、邮电费、差旅费、培训费、福利费、公务用车运行维护费。</w:t>
      </w:r>
    </w:p>
    <w:p w14:paraId="685B8CBE">
      <w:pPr>
        <w:spacing w:line="640" w:lineRule="exact"/>
        <w:ind w:firstLine="640"/>
        <w:jc w:val="both"/>
        <w:outlineLvl w:val="2"/>
      </w:pPr>
      <w:r>
        <w:rPr>
          <w:rFonts w:ascii="黑体" w:hAnsi="黑体" w:eastAsia="黑体"/>
          <w:sz w:val="32"/>
        </w:rPr>
        <w:t>七、政府性基金预算财政拨款收入支出决算情况说明</w:t>
      </w:r>
    </w:p>
    <w:p w14:paraId="46B4193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6EA6729">
      <w:pPr>
        <w:spacing w:line="640" w:lineRule="exact"/>
        <w:ind w:firstLine="640"/>
        <w:jc w:val="both"/>
        <w:outlineLvl w:val="2"/>
      </w:pPr>
      <w:r>
        <w:rPr>
          <w:rFonts w:ascii="黑体" w:hAnsi="黑体" w:eastAsia="黑体"/>
          <w:sz w:val="32"/>
        </w:rPr>
        <w:t>八、国有资本经营预算财政拨款收入支出决算情况说明</w:t>
      </w:r>
    </w:p>
    <w:p w14:paraId="777640A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104CAF6">
      <w:pPr>
        <w:spacing w:line="640" w:lineRule="exact"/>
        <w:ind w:firstLine="640"/>
        <w:jc w:val="both"/>
        <w:outlineLvl w:val="2"/>
      </w:pPr>
      <w:r>
        <w:rPr>
          <w:rFonts w:ascii="黑体" w:hAnsi="黑体" w:eastAsia="黑体"/>
          <w:sz w:val="32"/>
        </w:rPr>
        <w:t>九、财政拨款“三公”经费支出决算情况说明</w:t>
      </w:r>
    </w:p>
    <w:p w14:paraId="39A20E87">
      <w:pPr>
        <w:spacing w:line="580" w:lineRule="exact"/>
        <w:ind w:firstLine="640"/>
        <w:jc w:val="both"/>
      </w:pPr>
      <w:r>
        <w:rPr>
          <w:rFonts w:ascii="仿宋_GB2312" w:hAnsi="仿宋_GB2312" w:eastAsia="仿宋_GB2312"/>
          <w:b/>
          <w:sz w:val="32"/>
        </w:rPr>
        <w:t>2024年度财政拨款“三公”经费支出2.09万元，</w:t>
      </w:r>
      <w:r>
        <w:rPr>
          <w:rFonts w:ascii="仿宋_GB2312" w:hAnsi="仿宋_GB2312" w:eastAsia="仿宋_GB2312"/>
          <w:b w:val="0"/>
          <w:sz w:val="32"/>
        </w:rPr>
        <w:t>比上年增加0.42万元，增长25.15%，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2.09万元，占100.00%，比上年增加0.42万元，增长25.15%，主要原因是：本单位公务用车日渐老化，维修维护成本增加，导致公务用车运行维护费较上年增加。公务接待费支出0.00万元，占0.00%，比上年增加0.00万元，增长0.00%，主要原因是：2023年与2024年均未安排公务接待费支出。</w:t>
      </w:r>
    </w:p>
    <w:p w14:paraId="0CFCB111">
      <w:pPr>
        <w:spacing w:line="580" w:lineRule="exact"/>
        <w:ind w:firstLine="640"/>
        <w:jc w:val="both"/>
      </w:pPr>
      <w:r>
        <w:rPr>
          <w:rFonts w:ascii="仿宋_GB2312" w:hAnsi="仿宋_GB2312" w:eastAsia="仿宋_GB2312"/>
          <w:b/>
          <w:sz w:val="32"/>
        </w:rPr>
        <w:t>具体情况如下：</w:t>
      </w:r>
    </w:p>
    <w:p w14:paraId="63E9C8D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7FA8B3A">
      <w:pPr>
        <w:spacing w:line="580" w:lineRule="exact"/>
        <w:ind w:firstLine="640"/>
        <w:jc w:val="both"/>
      </w:pPr>
      <w:r>
        <w:rPr>
          <w:rFonts w:ascii="仿宋_GB2312" w:hAnsi="仿宋_GB2312" w:eastAsia="仿宋_GB2312"/>
          <w:b w:val="0"/>
          <w:sz w:val="32"/>
        </w:rPr>
        <w:t>公务用车购置及运行维护费2.09万元，其中：公务用车购置费0.00万元，公务用车运行维护费2.09万元。公务用车运行维护费开支内容包括车辆维修费、保险费、审车费。公务用车购置数0辆，公务用车保有量3辆。国有资产占用情况中固定资产车辆10辆，与公务用车保有量差异原因是：5辆</w:t>
      </w:r>
      <w:r>
        <w:rPr>
          <w:rFonts w:hint="eastAsia" w:ascii="仿宋_GB2312" w:hAnsi="仿宋_GB2312" w:eastAsia="仿宋_GB2312"/>
          <w:b w:val="0"/>
          <w:sz w:val="32"/>
          <w:lang w:val="en-US" w:eastAsia="zh-CN"/>
        </w:rPr>
        <w:t>车</w:t>
      </w:r>
      <w:r>
        <w:rPr>
          <w:rFonts w:ascii="仿宋_GB2312" w:hAnsi="仿宋_GB2312" w:eastAsia="仿宋_GB2312"/>
          <w:b w:val="0"/>
          <w:sz w:val="32"/>
        </w:rPr>
        <w:t>待报废、2辆业务用车，以上车辆均未使用，未产生车辆运行经费。</w:t>
      </w:r>
    </w:p>
    <w:p w14:paraId="7E24365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A1D661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2.09万元，决算数2.09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2.09万元，决算数2.09万元，预决算差异率0.00%，主要原因是：严格按照预算执行，预决算无差异。公务接待费全年预算数0.00万元，决算数0.00万元，预决算差异率0.00%，主要原因是：本单位无公务接待费。</w:t>
      </w:r>
    </w:p>
    <w:p w14:paraId="032F319B">
      <w:pPr>
        <w:spacing w:line="640" w:lineRule="exact"/>
        <w:ind w:firstLine="640"/>
        <w:jc w:val="both"/>
        <w:outlineLvl w:val="2"/>
      </w:pPr>
      <w:r>
        <w:rPr>
          <w:rFonts w:ascii="黑体" w:hAnsi="黑体" w:eastAsia="黑体"/>
          <w:sz w:val="32"/>
        </w:rPr>
        <w:t>十、其他重要事项的情况说明</w:t>
      </w:r>
    </w:p>
    <w:p w14:paraId="76298457">
      <w:pPr>
        <w:spacing w:line="640" w:lineRule="exact"/>
        <w:ind w:firstLine="640"/>
        <w:jc w:val="both"/>
        <w:outlineLvl w:val="3"/>
      </w:pPr>
      <w:r>
        <w:rPr>
          <w:rFonts w:ascii="楷体_GB2312" w:hAnsi="楷体_GB2312" w:eastAsia="楷体_GB2312"/>
          <w:b/>
          <w:sz w:val="32"/>
        </w:rPr>
        <w:t>（一）机关运行经费及公用经费支出情况</w:t>
      </w:r>
    </w:p>
    <w:p w14:paraId="5C2F7AB7">
      <w:pPr>
        <w:spacing w:line="580" w:lineRule="exact"/>
        <w:ind w:firstLine="640"/>
        <w:jc w:val="both"/>
      </w:pPr>
      <w:r>
        <w:rPr>
          <w:rFonts w:ascii="仿宋_GB2312" w:hAnsi="仿宋_GB2312" w:eastAsia="仿宋_GB2312"/>
          <w:b w:val="0"/>
          <w:sz w:val="32"/>
        </w:rPr>
        <w:t>2024年度中共乌鲁木齐市水磨沟区委员会办公室（行政单位和参照公务员法管理事业单位）机关运行经费支出16.89万元，比上年增加6.81万元，增长67.56%，主要原因是：本年度增加办公费、差旅费、培训费支出。</w:t>
      </w:r>
    </w:p>
    <w:p w14:paraId="77043976">
      <w:pPr>
        <w:spacing w:line="640" w:lineRule="exact"/>
        <w:ind w:firstLine="640"/>
        <w:jc w:val="both"/>
        <w:outlineLvl w:val="3"/>
      </w:pPr>
      <w:r>
        <w:rPr>
          <w:rFonts w:ascii="楷体_GB2312" w:hAnsi="楷体_GB2312" w:eastAsia="楷体_GB2312"/>
          <w:b/>
          <w:sz w:val="32"/>
        </w:rPr>
        <w:t>（二）政府采购情况</w:t>
      </w:r>
    </w:p>
    <w:p w14:paraId="7F0F7344">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6C59A2C4">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30BCAFF5">
      <w:pPr>
        <w:spacing w:line="640" w:lineRule="exact"/>
        <w:ind w:firstLine="640"/>
        <w:jc w:val="both"/>
        <w:outlineLvl w:val="3"/>
      </w:pPr>
      <w:r>
        <w:rPr>
          <w:rFonts w:ascii="楷体_GB2312" w:hAnsi="楷体_GB2312" w:eastAsia="楷体_GB2312"/>
          <w:b/>
          <w:sz w:val="32"/>
        </w:rPr>
        <w:t>（三）国有资产占用情况说明</w:t>
      </w:r>
    </w:p>
    <w:p w14:paraId="7837598D">
      <w:pPr>
        <w:spacing w:line="580" w:lineRule="exact"/>
        <w:ind w:firstLine="640"/>
        <w:jc w:val="both"/>
      </w:pPr>
      <w:r>
        <w:rPr>
          <w:rFonts w:ascii="仿宋_GB2312" w:hAnsi="仿宋_GB2312" w:eastAsia="仿宋_GB2312"/>
          <w:b w:val="0"/>
          <w:sz w:val="32"/>
        </w:rPr>
        <w:t>截至2024年12月31日，房屋0.00平方米，价值0.00万元。车辆10辆，价值196.73万元，其中：副部（省）级及以上领导用车0辆、主要负责人用车0辆、机要通信用车0辆、应急保障用车0辆、执法执勤用车0辆、特种专业技术用车0辆、离退休干部服务用车0辆、其他用车10辆，其他用车主要是：一般公务用车和单位业务用车。单价100万元（含）以上设备（不含车辆）0台（套）。</w:t>
      </w:r>
    </w:p>
    <w:p w14:paraId="641BD43B">
      <w:pPr>
        <w:spacing w:line="640" w:lineRule="exact"/>
        <w:ind w:firstLine="640"/>
        <w:jc w:val="both"/>
        <w:outlineLvl w:val="2"/>
      </w:pPr>
      <w:r>
        <w:rPr>
          <w:rFonts w:ascii="黑体" w:hAnsi="黑体" w:eastAsia="黑体"/>
          <w:sz w:val="32"/>
        </w:rPr>
        <w:t>十一、预算绩效的情况说明</w:t>
      </w:r>
    </w:p>
    <w:p w14:paraId="448E379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745.41万元，实际执行总额735.60万元；预算绩效评价项目3个，全年预算数60.39万元，全年执行数53.23万元。预算绩效管理取得的成效：1.严格执行预算，提高资金管理规范性。严格按照区财政批复的运行预算进行开支，确保资金使用规范。2.严格项目资金财务管理制度。按照项目管理制度及财务管理制度实施，加强项目管理和监督，确保项目实施规范。3.加强监督管理，确保资金使用到位。加强资金使用的监督管理工作，严格按照相关管理规范，根据需要随时召开会议，及时研究各项工作进展情况，解决工作进展中遇到的各种问题，确保工作稳步推进，并按工作开展情况及时完成支付。4.分工明确，落实责任。实施计划完善，流程顺畅，确保各项指标顺利完成。发现的问题及原因：根据当前年度的财力状况，单位整体绩效未能按照年初计划和实际需要执行，为确保单位各项工作顺利开展，保障各项经费按时发放到位，有效整合了单位资源，节约了单位人员力量及经费的投入，保证了单位经费开支良性发展，本年度绩效目标完成一般，离</w:t>
      </w:r>
      <w:r>
        <w:rPr>
          <w:rFonts w:hint="eastAsia" w:ascii="仿宋_GB2312" w:hAnsi="仿宋_GB2312" w:eastAsia="仿宋_GB2312"/>
          <w:b w:val="0"/>
          <w:sz w:val="32"/>
          <w:lang w:eastAsia="zh-CN"/>
        </w:rPr>
        <w:t>达到</w:t>
      </w:r>
      <w:r>
        <w:rPr>
          <w:rFonts w:ascii="仿宋_GB2312" w:hAnsi="仿宋_GB2312" w:eastAsia="仿宋_GB2312"/>
          <w:b w:val="0"/>
          <w:sz w:val="32"/>
        </w:rPr>
        <w:t>预期目标还有距离。下一步改进措施：</w:t>
      </w:r>
      <w:r>
        <w:rPr>
          <w:rFonts w:hint="eastAsia" w:ascii="仿宋_GB2312" w:hAnsi="仿宋_GB2312" w:eastAsia="仿宋_GB2312"/>
          <w:b w:val="0"/>
          <w:sz w:val="32"/>
          <w:lang w:val="en-US" w:eastAsia="zh-CN"/>
        </w:rPr>
        <w:t>1.</w:t>
      </w:r>
      <w:r>
        <w:rPr>
          <w:rFonts w:ascii="仿宋_GB2312" w:hAnsi="仿宋_GB2312" w:eastAsia="仿宋_GB2312"/>
          <w:b w:val="0"/>
          <w:sz w:val="32"/>
        </w:rPr>
        <w:t>绩效目标贯穿项目实施的整个周期，指导着项目的发展方向，绩效指标是绩效目标的具体化对项目实施的各个阶段起着考核、监督、引导的作用。</w:t>
      </w:r>
      <w:r>
        <w:rPr>
          <w:rFonts w:hint="eastAsia" w:ascii="仿宋_GB2312" w:hAnsi="仿宋_GB2312" w:eastAsia="仿宋_GB2312"/>
          <w:b w:val="0"/>
          <w:sz w:val="32"/>
          <w:lang w:eastAsia="zh-CN"/>
        </w:rPr>
        <w:t>本单位</w:t>
      </w:r>
      <w:r>
        <w:rPr>
          <w:rFonts w:ascii="仿宋_GB2312" w:hAnsi="仿宋_GB2312" w:eastAsia="仿宋_GB2312"/>
          <w:b w:val="0"/>
          <w:sz w:val="32"/>
        </w:rPr>
        <w:t>在以后年度财政项目绩效目标申报工作中将结合项目实施内容及特点，设定项目总目标、年度绩效目标及绩效指标，形成项目有目标、工作有计划、绩效可量化、考核有依据的计划目标管理机制，便于有效考核执行效果。</w:t>
      </w:r>
      <w:r>
        <w:rPr>
          <w:rFonts w:hint="eastAsia" w:ascii="仿宋_GB2312" w:hAnsi="仿宋_GB2312" w:eastAsia="仿宋_GB2312"/>
          <w:b w:val="0"/>
          <w:sz w:val="32"/>
          <w:lang w:val="en-US" w:eastAsia="zh-CN"/>
        </w:rPr>
        <w:t>2.</w:t>
      </w:r>
      <w:r>
        <w:rPr>
          <w:rFonts w:ascii="仿宋_GB2312" w:hAnsi="仿宋_GB2312" w:eastAsia="仿宋_GB2312"/>
          <w:b w:val="0"/>
          <w:sz w:val="32"/>
        </w:rPr>
        <w:t>继续加强绩效管理理念与方法培训，进一步提高全体干部职工对绩效管理的认识及对绩效管理工具的应用能力，不断提升绩效工作水平。具体附整体支出绩效自评表，项目支出绩效自评表和评价报告。</w:t>
      </w:r>
    </w:p>
    <w:p w14:paraId="28BB3FA6">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B7797A5">
        <w:tblPrEx>
          <w:tblCellMar>
            <w:top w:w="0" w:type="dxa"/>
            <w:left w:w="108" w:type="dxa"/>
            <w:bottom w:w="0" w:type="dxa"/>
            <w:right w:w="108" w:type="dxa"/>
          </w:tblCellMar>
        </w:tblPrEx>
        <w:tc>
          <w:tcPr>
            <w:tcW w:w="8840" w:type="dxa"/>
            <w:gridSpan w:val="8"/>
            <w:vAlign w:val="center"/>
          </w:tcPr>
          <w:p w14:paraId="1C40E29D">
            <w:pPr>
              <w:jc w:val="center"/>
            </w:pPr>
            <w:r>
              <w:rPr>
                <w:rFonts w:ascii="宋体" w:hAnsi="宋体" w:eastAsia="宋体"/>
                <w:sz w:val="24"/>
              </w:rPr>
              <w:t>单位整体支出绩效自评表</w:t>
            </w:r>
          </w:p>
        </w:tc>
      </w:tr>
      <w:tr w14:paraId="480B3CC0">
        <w:tblPrEx>
          <w:tblCellMar>
            <w:top w:w="0" w:type="dxa"/>
            <w:left w:w="108" w:type="dxa"/>
            <w:bottom w:w="0" w:type="dxa"/>
            <w:right w:w="108" w:type="dxa"/>
          </w:tblCellMar>
        </w:tblPrEx>
        <w:tc>
          <w:tcPr>
            <w:tcW w:w="8840" w:type="dxa"/>
            <w:gridSpan w:val="8"/>
            <w:vAlign w:val="center"/>
          </w:tcPr>
          <w:p w14:paraId="5F302050">
            <w:pPr>
              <w:jc w:val="center"/>
            </w:pPr>
            <w:r>
              <w:rPr>
                <w:rFonts w:ascii="宋体" w:hAnsi="宋体" w:eastAsia="宋体"/>
                <w:sz w:val="24"/>
              </w:rPr>
              <w:t>（2024年度）</w:t>
            </w:r>
          </w:p>
        </w:tc>
      </w:tr>
      <w:tr w14:paraId="5B2D7B0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E173C9">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F5B4CE">
            <w:pPr>
              <w:jc w:val="center"/>
            </w:pPr>
            <w:r>
              <w:rPr>
                <w:rFonts w:ascii="宋体" w:hAnsi="宋体" w:eastAsia="宋体"/>
                <w:sz w:val="16"/>
              </w:rPr>
              <w:t>中共乌鲁木齐市水磨沟区委员会办公室</w:t>
            </w:r>
          </w:p>
        </w:tc>
      </w:tr>
      <w:tr w14:paraId="521379D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D2D32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2F8ABD">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2ACE0E">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50907D">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17F7FE">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08FB1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28AF75">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942F9B">
            <w:pPr>
              <w:jc w:val="center"/>
            </w:pPr>
            <w:r>
              <w:rPr>
                <w:rFonts w:ascii="宋体" w:hAnsi="宋体" w:eastAsia="宋体"/>
                <w:sz w:val="16"/>
              </w:rPr>
              <w:t>得分</w:t>
            </w:r>
          </w:p>
        </w:tc>
      </w:tr>
      <w:tr w14:paraId="21470B5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AE8CA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3BFE05">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2959C0">
            <w:pPr>
              <w:jc w:val="center"/>
            </w:pPr>
            <w:r>
              <w:rPr>
                <w:rFonts w:ascii="宋体" w:hAnsi="宋体" w:eastAsia="宋体"/>
                <w:sz w:val="16"/>
              </w:rPr>
              <w:t>701.93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983707">
            <w:pPr>
              <w:jc w:val="center"/>
            </w:pPr>
            <w:r>
              <w:rPr>
                <w:rFonts w:ascii="宋体" w:hAnsi="宋体" w:eastAsia="宋体"/>
                <w:sz w:val="16"/>
              </w:rPr>
              <w:t>745.41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1AB928">
            <w:pPr>
              <w:jc w:val="center"/>
            </w:pPr>
            <w:r>
              <w:rPr>
                <w:rFonts w:ascii="宋体" w:hAnsi="宋体" w:eastAsia="宋体"/>
                <w:sz w:val="16"/>
              </w:rPr>
              <w:t>735.60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673FEE">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E3583D">
            <w:pPr>
              <w:jc w:val="center"/>
            </w:pPr>
            <w:r>
              <w:rPr>
                <w:rFonts w:ascii="宋体" w:hAnsi="宋体" w:eastAsia="宋体"/>
                <w:sz w:val="16"/>
              </w:rPr>
              <w:t>98.68%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8A8E7B">
            <w:pPr>
              <w:jc w:val="center"/>
            </w:pPr>
            <w:r>
              <w:rPr>
                <w:rFonts w:ascii="宋体" w:hAnsi="宋体" w:eastAsia="宋体"/>
                <w:sz w:val="16"/>
              </w:rPr>
              <w:t>9.87</w:t>
            </w:r>
          </w:p>
        </w:tc>
      </w:tr>
      <w:tr w14:paraId="54160CC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60E69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1E6384">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E4A33C">
            <w:pPr>
              <w:jc w:val="center"/>
            </w:pPr>
            <w:r>
              <w:rPr>
                <w:rFonts w:ascii="宋体" w:hAnsi="宋体" w:eastAsia="宋体"/>
                <w:sz w:val="16"/>
              </w:rPr>
              <w:t>7.07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E0C2E8">
            <w:pPr>
              <w:jc w:val="center"/>
            </w:pPr>
            <w:r>
              <w:rPr>
                <w:rFonts w:ascii="宋体" w:hAnsi="宋体" w:eastAsia="宋体"/>
                <w:sz w:val="16"/>
              </w:rPr>
              <w:t>7.07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34D3AD">
            <w:pPr>
              <w:jc w:val="center"/>
            </w:pPr>
            <w:r>
              <w:rPr>
                <w:rFonts w:ascii="宋体" w:hAnsi="宋体" w:eastAsia="宋体"/>
                <w:sz w:val="16"/>
              </w:rPr>
              <w:t>7.07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595D3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29C81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4A7D95">
            <w:pPr>
              <w:jc w:val="center"/>
            </w:pPr>
            <w:r>
              <w:rPr>
                <w:rFonts w:ascii="宋体" w:hAnsi="宋体" w:eastAsia="宋体"/>
                <w:sz w:val="16"/>
              </w:rPr>
              <w:t>-</w:t>
            </w:r>
          </w:p>
        </w:tc>
      </w:tr>
      <w:tr w14:paraId="761ABE8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0FF285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926F21">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BCF51D">
            <w:pPr>
              <w:jc w:val="center"/>
            </w:pPr>
            <w:r>
              <w:rPr>
                <w:rFonts w:ascii="宋体" w:hAnsi="宋体" w:eastAsia="宋体"/>
                <w:sz w:val="16"/>
              </w:rPr>
              <w:t>694.86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7BBA63">
            <w:pPr>
              <w:jc w:val="center"/>
            </w:pPr>
            <w:r>
              <w:rPr>
                <w:rFonts w:ascii="宋体" w:hAnsi="宋体" w:eastAsia="宋体"/>
                <w:sz w:val="16"/>
              </w:rPr>
              <w:t>738.34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E8BA01">
            <w:pPr>
              <w:jc w:val="center"/>
            </w:pPr>
            <w:r>
              <w:rPr>
                <w:rFonts w:ascii="宋体" w:hAnsi="宋体" w:eastAsia="宋体"/>
                <w:sz w:val="16"/>
              </w:rPr>
              <w:t>728.53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20723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5074B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03EFB0">
            <w:pPr>
              <w:jc w:val="center"/>
            </w:pPr>
            <w:r>
              <w:rPr>
                <w:rFonts w:ascii="宋体" w:hAnsi="宋体" w:eastAsia="宋体"/>
                <w:sz w:val="16"/>
              </w:rPr>
              <w:t>-</w:t>
            </w:r>
          </w:p>
        </w:tc>
      </w:tr>
      <w:tr w14:paraId="4739B3D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07F423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4C351E">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7557B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22979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721F5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DE4A6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4F34E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559604">
            <w:pPr>
              <w:jc w:val="center"/>
            </w:pPr>
            <w:r>
              <w:rPr>
                <w:rFonts w:ascii="宋体" w:hAnsi="宋体" w:eastAsia="宋体"/>
                <w:sz w:val="16"/>
              </w:rPr>
              <w:t>-</w:t>
            </w:r>
          </w:p>
        </w:tc>
      </w:tr>
      <w:tr w14:paraId="744EF14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983859">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2DA279">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5FCD8F">
            <w:pPr>
              <w:jc w:val="center"/>
            </w:pPr>
            <w:r>
              <w:rPr>
                <w:rFonts w:ascii="宋体" w:hAnsi="宋体" w:eastAsia="宋体"/>
                <w:sz w:val="16"/>
              </w:rPr>
              <w:t>实际完成情况</w:t>
            </w:r>
          </w:p>
        </w:tc>
      </w:tr>
      <w:tr w14:paraId="6077934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B695687"/>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CBF6E3">
            <w:pPr>
              <w:jc w:val="both"/>
            </w:pPr>
            <w:r>
              <w:rPr>
                <w:rFonts w:ascii="宋体" w:hAnsi="宋体" w:eastAsia="宋体"/>
                <w:sz w:val="16"/>
              </w:rPr>
              <w:t>围绕区委中心工作，做好统筹协调、参谋助手、督促检查、服务保障等工作。（一）深化岗位职责，强化使命担当。1、扎实做好综合文字工作；2、精简规范做好公文办理；3、严谨细致做好会务和公务接待工作；4、抓紧抓实信息督查工作</w:t>
            </w:r>
            <w:r>
              <w:rPr>
                <w:rFonts w:hint="eastAsia" w:ascii="宋体" w:hAnsi="宋体"/>
                <w:sz w:val="16"/>
                <w:lang w:eastAsia="zh-CN"/>
              </w:rPr>
              <w:t>。</w:t>
            </w:r>
            <w:r>
              <w:rPr>
                <w:rFonts w:ascii="宋体" w:hAnsi="宋体" w:eastAsia="宋体"/>
                <w:sz w:val="16"/>
              </w:rPr>
              <w:t>5、严把收文拟办关、内部运转关、督办存档关。（二）主动谋事创业，强化统筹协调。1、认真做好深化改革工作；2、抓好国家安全工作；3、规范做好金融财经工作；4、扎实做好档案各项工作；5、不断提升基层减负实效。</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314A80">
            <w:pPr>
              <w:jc w:val="both"/>
            </w:pPr>
            <w:r>
              <w:rPr>
                <w:rFonts w:ascii="宋体" w:hAnsi="宋体" w:eastAsia="宋体"/>
                <w:sz w:val="16"/>
              </w:rPr>
              <w:t>一是扎实做好文稿服务。完善以文辅政工作机制，准确把握领导意图和工作实际，精心构思、反复修改，切实提升文稿质量，其中《关于赴伊犁招商考察的工作报告》等文稿受到市委领导的肯定性批示。二是认真做好文件制发和文件收发管理工作。坚持从严</w:t>
            </w:r>
            <w:bookmarkStart w:id="0" w:name="_GoBack"/>
            <w:r>
              <w:rPr>
                <w:rFonts w:ascii="宋体" w:hAnsi="宋体" w:eastAsia="宋体"/>
                <w:sz w:val="16"/>
              </w:rPr>
              <w:t>、及</w:t>
            </w:r>
            <w:bookmarkEnd w:id="0"/>
            <w:r>
              <w:rPr>
                <w:rFonts w:ascii="宋体" w:hAnsi="宋体" w:eastAsia="宋体"/>
                <w:sz w:val="16"/>
              </w:rPr>
              <w:t>时、实效的原则，严把公文政治关、质量关，力求主题突出、格式规范、表述准确，确保发文工作规范有序。三是认真完成信息督查工作。全年编发上报工作信息141篇，充分发挥了党委信息参谋助手作用。加大督查落实力度，严格落实挂账督办制度，完善日常督查、政治督察、考核评估机制，及时掌握进度、发现问题，提出整改措施，印发各类督办通知22份，督办领导批办事项511件，回复市级督查事项8项，督办事项办结率100%。</w:t>
            </w:r>
          </w:p>
        </w:tc>
      </w:tr>
      <w:tr w14:paraId="14B4FAE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1176F1">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9D6134">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AE7236">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6B52A0">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625BA5">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016F92">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7FCD9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B0EDC5">
            <w:pPr>
              <w:jc w:val="center"/>
            </w:pPr>
            <w:r>
              <w:rPr>
                <w:rFonts w:ascii="宋体" w:hAnsi="宋体" w:eastAsia="宋体"/>
                <w:sz w:val="16"/>
              </w:rPr>
              <w:t>得分</w:t>
            </w:r>
          </w:p>
        </w:tc>
      </w:tr>
      <w:tr w14:paraId="5AF135F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2A4D7C">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4AD31B">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EE9F41">
            <w:pPr>
              <w:jc w:val="center"/>
            </w:pPr>
            <w:r>
              <w:rPr>
                <w:rFonts w:ascii="宋体" w:hAnsi="宋体" w:eastAsia="宋体"/>
                <w:sz w:val="16"/>
              </w:rPr>
              <w:t>全年综合文稿撰写</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6C8F25">
            <w:pPr>
              <w:jc w:val="center"/>
            </w:pPr>
            <w:r>
              <w:rPr>
                <w:rFonts w:ascii="宋体" w:hAnsi="宋体" w:eastAsia="宋体"/>
                <w:sz w:val="16"/>
              </w:rPr>
              <w:t>&gt;=100篇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88E3BE">
            <w:pPr>
              <w:jc w:val="center"/>
            </w:pPr>
            <w:r>
              <w:rPr>
                <w:rFonts w:ascii="宋体" w:hAnsi="宋体" w:eastAsia="宋体"/>
                <w:sz w:val="16"/>
              </w:rPr>
              <w:t>区委办公室2023年度工作总结</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5028B9">
            <w:pPr>
              <w:jc w:val="center"/>
            </w:pPr>
            <w:r>
              <w:rPr>
                <w:rFonts w:ascii="宋体" w:hAnsi="宋体" w:eastAsia="宋体"/>
                <w:sz w:val="16"/>
              </w:rPr>
              <w:t>114篇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6CB39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FAE59A">
            <w:pPr>
              <w:jc w:val="center"/>
            </w:pPr>
            <w:r>
              <w:rPr>
                <w:rFonts w:ascii="宋体" w:hAnsi="宋体" w:eastAsia="宋体"/>
                <w:sz w:val="16"/>
              </w:rPr>
              <w:t>30</w:t>
            </w:r>
          </w:p>
        </w:tc>
      </w:tr>
      <w:tr w14:paraId="2E5C6EA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741681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34DF09">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21DB14">
            <w:pPr>
              <w:jc w:val="center"/>
            </w:pPr>
            <w:r>
              <w:rPr>
                <w:rFonts w:ascii="宋体" w:hAnsi="宋体" w:eastAsia="宋体"/>
                <w:sz w:val="16"/>
              </w:rPr>
              <w:t>各类督办事项办结率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C78AF4">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5DA2B4">
            <w:pPr>
              <w:jc w:val="center"/>
            </w:pPr>
            <w:r>
              <w:rPr>
                <w:rFonts w:ascii="宋体" w:hAnsi="宋体" w:eastAsia="宋体"/>
                <w:sz w:val="16"/>
              </w:rPr>
              <w:t>区委办公室2023年度工作总结</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76600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A0D98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17BEC9">
            <w:pPr>
              <w:jc w:val="center"/>
            </w:pPr>
            <w:r>
              <w:rPr>
                <w:rFonts w:ascii="宋体" w:hAnsi="宋体" w:eastAsia="宋体"/>
                <w:sz w:val="16"/>
              </w:rPr>
              <w:t>30</w:t>
            </w:r>
          </w:p>
        </w:tc>
      </w:tr>
      <w:tr w14:paraId="25C81B9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1507C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89DB2E">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966968">
            <w:pPr>
              <w:jc w:val="center"/>
            </w:pPr>
            <w:r>
              <w:rPr>
                <w:rFonts w:ascii="宋体" w:hAnsi="宋体" w:eastAsia="宋体"/>
                <w:sz w:val="16"/>
              </w:rPr>
              <w:t>向上级编发上报工作信息频次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C3552A">
            <w:pPr>
              <w:jc w:val="center"/>
            </w:pPr>
            <w:r>
              <w:rPr>
                <w:rFonts w:ascii="宋体" w:hAnsi="宋体" w:eastAsia="宋体"/>
                <w:sz w:val="16"/>
              </w:rPr>
              <w:t>&gt;=10篇/月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B6954E">
            <w:pPr>
              <w:jc w:val="center"/>
            </w:pPr>
            <w:r>
              <w:rPr>
                <w:rFonts w:ascii="宋体" w:hAnsi="宋体" w:eastAsia="宋体"/>
                <w:sz w:val="16"/>
              </w:rPr>
              <w:t>区委办公室2023年度工作总结</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0A6F18">
            <w:pPr>
              <w:jc w:val="center"/>
            </w:pPr>
            <w:r>
              <w:rPr>
                <w:rFonts w:ascii="宋体" w:hAnsi="宋体" w:eastAsia="宋体"/>
                <w:sz w:val="16"/>
              </w:rPr>
              <w:tab/>
            </w:r>
            <w:r>
              <w:rPr>
                <w:rFonts w:ascii="宋体" w:hAnsi="宋体" w:eastAsia="宋体"/>
                <w:sz w:val="16"/>
              </w:rPr>
              <w:t>&gt;=11篇/月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7222B8">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A7DF33">
            <w:pPr>
              <w:jc w:val="center"/>
            </w:pPr>
            <w:r>
              <w:rPr>
                <w:rFonts w:ascii="宋体" w:hAnsi="宋体" w:eastAsia="宋体"/>
                <w:sz w:val="16"/>
              </w:rPr>
              <w:t>30</w:t>
            </w:r>
          </w:p>
        </w:tc>
      </w:tr>
    </w:tbl>
    <w:p w14:paraId="7E53545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1423DF9E">
        <w:tblPrEx>
          <w:tblCellMar>
            <w:top w:w="0" w:type="dxa"/>
            <w:left w:w="108" w:type="dxa"/>
            <w:bottom w:w="0" w:type="dxa"/>
            <w:right w:w="108" w:type="dxa"/>
          </w:tblCellMar>
        </w:tblPrEx>
        <w:tc>
          <w:tcPr>
            <w:tcW w:w="8848" w:type="dxa"/>
            <w:gridSpan w:val="14"/>
            <w:vAlign w:val="center"/>
          </w:tcPr>
          <w:p w14:paraId="322BB813">
            <w:pPr>
              <w:jc w:val="center"/>
            </w:pPr>
            <w:r>
              <w:rPr>
                <w:rFonts w:ascii="宋体" w:hAnsi="宋体" w:eastAsia="宋体"/>
                <w:sz w:val="24"/>
              </w:rPr>
              <w:t>项目支出绩效自评表</w:t>
            </w:r>
          </w:p>
        </w:tc>
      </w:tr>
      <w:tr w14:paraId="58E6D028">
        <w:tblPrEx>
          <w:tblCellMar>
            <w:top w:w="0" w:type="dxa"/>
            <w:left w:w="108" w:type="dxa"/>
            <w:bottom w:w="0" w:type="dxa"/>
            <w:right w:w="108" w:type="dxa"/>
          </w:tblCellMar>
        </w:tblPrEx>
        <w:tc>
          <w:tcPr>
            <w:tcW w:w="8848" w:type="dxa"/>
            <w:gridSpan w:val="14"/>
            <w:vAlign w:val="center"/>
          </w:tcPr>
          <w:p w14:paraId="3C3B3BF9">
            <w:pPr>
              <w:jc w:val="center"/>
            </w:pPr>
            <w:r>
              <w:rPr>
                <w:rFonts w:ascii="宋体" w:hAnsi="宋体" w:eastAsia="宋体"/>
                <w:sz w:val="24"/>
              </w:rPr>
              <w:t>(2024年度)</w:t>
            </w:r>
          </w:p>
        </w:tc>
      </w:tr>
      <w:tr w14:paraId="0A8225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CC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2A62DF">
            <w:pPr>
              <w:jc w:val="center"/>
            </w:pPr>
            <w:r>
              <w:rPr>
                <w:rFonts w:ascii="宋体" w:hAnsi="宋体" w:eastAsia="宋体"/>
                <w:sz w:val="16"/>
              </w:rPr>
              <w:t>总体国家安全观主题公园揭牌仪式活动经费（第五次财政事项会）</w:t>
            </w:r>
          </w:p>
        </w:tc>
      </w:tr>
      <w:tr w14:paraId="24858B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264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E048B1">
            <w:pPr>
              <w:jc w:val="center"/>
            </w:pPr>
            <w:r>
              <w:rPr>
                <w:rFonts w:ascii="宋体" w:hAnsi="宋体" w:eastAsia="宋体"/>
                <w:sz w:val="16"/>
              </w:rPr>
              <w:t>中共乌鲁木齐市水磨沟区委员会办公室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7F64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BBAD22">
            <w:pPr>
              <w:jc w:val="center"/>
            </w:pPr>
            <w:r>
              <w:rPr>
                <w:rFonts w:ascii="宋体" w:hAnsi="宋体" w:eastAsia="宋体"/>
                <w:sz w:val="16"/>
              </w:rPr>
              <w:t>中共乌鲁木齐市水磨沟区委员会办公室</w:t>
            </w:r>
          </w:p>
        </w:tc>
      </w:tr>
      <w:tr w14:paraId="292485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3481F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FDD6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EC0D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33C4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4496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C3CD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B0CE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4BB6">
            <w:pPr>
              <w:jc w:val="center"/>
            </w:pPr>
            <w:r>
              <w:rPr>
                <w:rFonts w:ascii="宋体" w:hAnsi="宋体" w:eastAsia="宋体"/>
                <w:sz w:val="16"/>
              </w:rPr>
              <w:t>得分</w:t>
            </w:r>
          </w:p>
        </w:tc>
      </w:tr>
      <w:tr w14:paraId="69B3DE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A31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E8C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E5C23">
            <w:pPr>
              <w:jc w:val="center"/>
            </w:pPr>
            <w:r>
              <w:rPr>
                <w:rFonts w:ascii="宋体" w:hAnsi="宋体" w:eastAsia="宋体"/>
                <w:sz w:val="16"/>
              </w:rPr>
              <w:t>8.39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DE0C1">
            <w:pPr>
              <w:jc w:val="center"/>
            </w:pPr>
            <w:r>
              <w:rPr>
                <w:rFonts w:ascii="宋体" w:hAnsi="宋体" w:eastAsia="宋体"/>
                <w:sz w:val="16"/>
              </w:rPr>
              <w:t>8.39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235DE">
            <w:pPr>
              <w:jc w:val="center"/>
            </w:pPr>
            <w:r>
              <w:rPr>
                <w:rFonts w:ascii="宋体" w:hAnsi="宋体" w:eastAsia="宋体"/>
                <w:sz w:val="16"/>
              </w:rPr>
              <w:t>4.39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A92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21B2F">
            <w:pPr>
              <w:jc w:val="center"/>
            </w:pPr>
            <w:r>
              <w:rPr>
                <w:rFonts w:ascii="宋体" w:hAnsi="宋体" w:eastAsia="宋体"/>
                <w:sz w:val="16"/>
              </w:rPr>
              <w:t>52.3%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4040D">
            <w:pPr>
              <w:jc w:val="center"/>
            </w:pPr>
            <w:r>
              <w:rPr>
                <w:rFonts w:ascii="宋体" w:hAnsi="宋体" w:eastAsia="宋体"/>
                <w:sz w:val="16"/>
              </w:rPr>
              <w:t>5.23分</w:t>
            </w:r>
          </w:p>
        </w:tc>
      </w:tr>
      <w:tr w14:paraId="490941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037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8DA7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C7684">
            <w:pPr>
              <w:jc w:val="center"/>
            </w:pPr>
            <w:r>
              <w:rPr>
                <w:rFonts w:ascii="宋体" w:hAnsi="宋体" w:eastAsia="宋体"/>
                <w:sz w:val="16"/>
              </w:rPr>
              <w:t>8.39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869C8">
            <w:pPr>
              <w:jc w:val="center"/>
            </w:pPr>
            <w:r>
              <w:rPr>
                <w:rFonts w:ascii="宋体" w:hAnsi="宋体" w:eastAsia="宋体"/>
                <w:sz w:val="16"/>
              </w:rPr>
              <w:t>8.39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ED1DF">
            <w:pPr>
              <w:jc w:val="center"/>
            </w:pPr>
            <w:r>
              <w:rPr>
                <w:rFonts w:ascii="宋体" w:hAnsi="宋体" w:eastAsia="宋体"/>
                <w:sz w:val="16"/>
              </w:rPr>
              <w:t>4.39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BE2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F1D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20AB2">
            <w:pPr>
              <w:jc w:val="center"/>
            </w:pPr>
            <w:r>
              <w:rPr>
                <w:rFonts w:ascii="宋体" w:hAnsi="宋体" w:eastAsia="宋体"/>
                <w:sz w:val="16"/>
              </w:rPr>
              <w:t>-</w:t>
            </w:r>
          </w:p>
        </w:tc>
      </w:tr>
      <w:tr w14:paraId="031964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C97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35D4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A53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E68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CB9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6DB5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ADE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CB1E">
            <w:pPr>
              <w:jc w:val="center"/>
            </w:pPr>
            <w:r>
              <w:rPr>
                <w:rFonts w:ascii="宋体" w:hAnsi="宋体" w:eastAsia="宋体"/>
                <w:sz w:val="16"/>
              </w:rPr>
              <w:t>-</w:t>
            </w:r>
          </w:p>
        </w:tc>
      </w:tr>
      <w:tr w14:paraId="3427C7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38E09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E3D99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EA1346">
            <w:pPr>
              <w:jc w:val="center"/>
            </w:pPr>
            <w:r>
              <w:rPr>
                <w:rFonts w:ascii="宋体" w:hAnsi="宋体" w:eastAsia="宋体"/>
                <w:sz w:val="16"/>
              </w:rPr>
              <w:t>总体目标完成情况</w:t>
            </w:r>
          </w:p>
        </w:tc>
      </w:tr>
      <w:tr w14:paraId="0D5CDB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4703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FB3AC1">
            <w:pPr>
              <w:jc w:val="both"/>
            </w:pPr>
            <w:r>
              <w:rPr>
                <w:rFonts w:ascii="宋体" w:hAnsi="宋体" w:eastAsia="宋体"/>
                <w:sz w:val="16"/>
              </w:rPr>
              <w:t>该项目为一次性项目，新疆野人易拓文化发展有限公司为区委办提供保障《乌鲁木齐总体国家安全观主题公园揭牌仪式暨“4·15”全民国家安全教育日现场宣传教育活动》，承担舞台搭建、背景展板制作与安装、活动现场音响、话筒、视频播放器、电子屏等设施设备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FED00D">
            <w:pPr>
              <w:jc w:val="both"/>
            </w:pPr>
            <w:r>
              <w:rPr>
                <w:rFonts w:ascii="宋体" w:hAnsi="宋体" w:eastAsia="宋体"/>
                <w:sz w:val="16"/>
              </w:rPr>
              <w:t>保障了乌鲁木齐总体国家安全观主题公园揭牌仪式暨“4·15”全民国家安全教育日现场宣传教育活动，承担了舞台的搭建、背景展板制作与安装、活动现场音响、话筒、视频播放器、电子屏等设施设备。</w:t>
            </w:r>
          </w:p>
        </w:tc>
      </w:tr>
      <w:tr w14:paraId="1C6A3E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F04B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6D8E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8F0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8BA3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3F04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16F5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B078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9104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F185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2768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D26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A73D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F0F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3F11">
            <w:pPr>
              <w:jc w:val="center"/>
            </w:pPr>
            <w:r>
              <w:rPr>
                <w:rFonts w:ascii="宋体" w:hAnsi="宋体" w:eastAsia="宋体"/>
                <w:sz w:val="16"/>
              </w:rPr>
              <w:t>偏差原因分析及改进措施</w:t>
            </w:r>
          </w:p>
        </w:tc>
      </w:tr>
      <w:tr w14:paraId="67B6A2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80E1B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F232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AE4C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59C7B">
            <w:pPr>
              <w:jc w:val="center"/>
            </w:pPr>
            <w:r>
              <w:rPr>
                <w:rFonts w:ascii="宋体" w:hAnsi="宋体" w:eastAsia="宋体"/>
                <w:sz w:val="16"/>
              </w:rPr>
              <w:t>行业宣传推广活动举办次数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7DE5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46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53ED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A88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78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8CF6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182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CA7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877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9A091">
            <w:pPr>
              <w:jc w:val="center"/>
            </w:pPr>
          </w:p>
        </w:tc>
      </w:tr>
      <w:tr w14:paraId="136214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8D48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EAF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1AA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0E0BC">
            <w:pPr>
              <w:jc w:val="center"/>
            </w:pPr>
            <w:r>
              <w:rPr>
                <w:rFonts w:ascii="宋体" w:hAnsi="宋体" w:eastAsia="宋体"/>
                <w:sz w:val="16"/>
              </w:rPr>
              <w:t>组织学习总体国家安全观次数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3846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D5B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9A9E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F42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A0D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32E5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F2EF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44D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CE8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83D8">
            <w:pPr>
              <w:jc w:val="center"/>
            </w:pPr>
          </w:p>
        </w:tc>
      </w:tr>
      <w:tr w14:paraId="03F1F9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B99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D16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2BF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41D13">
            <w:pPr>
              <w:jc w:val="center"/>
            </w:pPr>
            <w:r>
              <w:rPr>
                <w:rFonts w:ascii="宋体" w:hAnsi="宋体" w:eastAsia="宋体"/>
                <w:sz w:val="16"/>
              </w:rPr>
              <w:t>举办专题教育培训次数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848C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67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BA06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DD3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398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E45D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DF4E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E10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813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3A02B">
            <w:pPr>
              <w:jc w:val="center"/>
            </w:pPr>
          </w:p>
        </w:tc>
      </w:tr>
      <w:tr w14:paraId="43E005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E0A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826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AFD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65BC1">
            <w:pPr>
              <w:jc w:val="center"/>
            </w:pPr>
            <w:r>
              <w:rPr>
                <w:rFonts w:ascii="宋体" w:hAnsi="宋体" w:eastAsia="宋体"/>
                <w:sz w:val="16"/>
              </w:rPr>
              <w:t>参与专题培训出席人数1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EC2C">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FC16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9419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CD3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C16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144E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EF9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5D408">
            <w:pPr>
              <w:jc w:val="center"/>
            </w:pPr>
            <w:r>
              <w:rPr>
                <w:rFonts w:ascii="宋体" w:hAnsi="宋体" w:eastAsia="宋体"/>
                <w:sz w:val="16"/>
              </w:rPr>
              <w:t>104.17%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064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252D">
            <w:pPr>
              <w:jc w:val="center"/>
            </w:pPr>
            <w:r>
              <w:rPr>
                <w:rFonts w:ascii="宋体" w:hAnsi="宋体" w:eastAsia="宋体"/>
                <w:sz w:val="16"/>
              </w:rPr>
              <w:t>绩效目标设置不精准，今后精准目标值的设置。</w:t>
            </w:r>
          </w:p>
        </w:tc>
      </w:tr>
      <w:tr w14:paraId="2BDDF3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2CE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3BE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648B9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E7797">
            <w:pPr>
              <w:jc w:val="center"/>
            </w:pPr>
            <w:r>
              <w:rPr>
                <w:rFonts w:ascii="宋体" w:hAnsi="宋体" w:eastAsia="宋体"/>
                <w:sz w:val="16"/>
              </w:rPr>
              <w:t>提升群众国安意识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78123">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D465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6CFA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399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39A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AD76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2B9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8B83A">
            <w:pPr>
              <w:jc w:val="center"/>
            </w:pPr>
            <w:r>
              <w:rPr>
                <w:rFonts w:ascii="宋体" w:hAnsi="宋体" w:eastAsia="宋体"/>
                <w:sz w:val="16"/>
              </w:rPr>
              <w:t>104.17%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D50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A06CB">
            <w:pPr>
              <w:jc w:val="center"/>
            </w:pPr>
            <w:r>
              <w:rPr>
                <w:rFonts w:ascii="宋体" w:hAnsi="宋体" w:eastAsia="宋体"/>
                <w:sz w:val="16"/>
              </w:rPr>
              <w:t>绩效目标设置不精准，今后精准目标值的设置。</w:t>
            </w:r>
          </w:p>
        </w:tc>
      </w:tr>
      <w:tr w14:paraId="56C19A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A84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DEA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839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18043">
            <w:pPr>
              <w:jc w:val="center"/>
            </w:pPr>
            <w:r>
              <w:rPr>
                <w:rFonts w:ascii="宋体" w:hAnsi="宋体" w:eastAsia="宋体"/>
                <w:sz w:val="16"/>
              </w:rPr>
              <w:t>组织学习人员出席率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A8685">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34C8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F19C7">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DA1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DA3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D0DA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FBA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B8482">
            <w:pPr>
              <w:jc w:val="center"/>
            </w:pPr>
            <w:r>
              <w:rPr>
                <w:rFonts w:ascii="宋体" w:hAnsi="宋体" w:eastAsia="宋体"/>
                <w:sz w:val="16"/>
              </w:rPr>
              <w:t>104.17%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261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6C86D">
            <w:pPr>
              <w:jc w:val="center"/>
            </w:pPr>
            <w:r>
              <w:rPr>
                <w:rFonts w:ascii="宋体" w:hAnsi="宋体" w:eastAsia="宋体"/>
                <w:sz w:val="16"/>
              </w:rPr>
              <w:t>绩效目标设置不精准，今后精准目标值的设置。</w:t>
            </w:r>
          </w:p>
        </w:tc>
      </w:tr>
      <w:tr w14:paraId="04B803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4FA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655F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6E6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098C">
            <w:pPr>
              <w:jc w:val="center"/>
            </w:pPr>
            <w:r>
              <w:rPr>
                <w:rFonts w:ascii="宋体" w:hAnsi="宋体" w:eastAsia="宋体"/>
                <w:sz w:val="16"/>
              </w:rPr>
              <w:t>提升群众国家安全意识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51CA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7C86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DEC8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63525">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A4F6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018D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FF99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75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D8EE8">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A5D84">
            <w:pPr>
              <w:jc w:val="center"/>
            </w:pPr>
          </w:p>
        </w:tc>
      </w:tr>
      <w:tr w14:paraId="213BBEE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BBE93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5ADB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B029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FB0B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5F1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4CE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CB29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C078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1D1F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177A">
            <w:pPr>
              <w:jc w:val="center"/>
            </w:pPr>
            <w:r>
              <w:rPr>
                <w:rFonts w:ascii="宋体" w:hAnsi="宋体" w:eastAsia="宋体"/>
                <w:sz w:val="16"/>
              </w:rPr>
              <w:t>95.23分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FB0920"/>
        </w:tc>
      </w:tr>
    </w:tbl>
    <w:p w14:paraId="76D03CEA">
      <w:r>
        <w:br w:type="page"/>
      </w:r>
    </w:p>
    <w:tbl>
      <w:tblPr>
        <w:tblStyle w:val="9"/>
        <w:tblW w:w="9158" w:type="dxa"/>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798"/>
      </w:tblGrid>
      <w:tr w14:paraId="69E2048E">
        <w:tblPrEx>
          <w:tblCellMar>
            <w:top w:w="0" w:type="dxa"/>
            <w:left w:w="108" w:type="dxa"/>
            <w:bottom w:w="0" w:type="dxa"/>
            <w:right w:w="108" w:type="dxa"/>
          </w:tblCellMar>
        </w:tblPrEx>
        <w:trPr>
          <w:wAfter w:w="0" w:type="auto"/>
        </w:trPr>
        <w:tc>
          <w:tcPr>
            <w:tcW w:w="9158" w:type="dxa"/>
            <w:gridSpan w:val="14"/>
            <w:vAlign w:val="center"/>
          </w:tcPr>
          <w:p w14:paraId="69131577">
            <w:pPr>
              <w:jc w:val="center"/>
            </w:pPr>
            <w:r>
              <w:rPr>
                <w:rFonts w:ascii="宋体" w:hAnsi="宋体" w:eastAsia="宋体"/>
                <w:sz w:val="24"/>
              </w:rPr>
              <w:t>项目支出绩效自评表</w:t>
            </w:r>
          </w:p>
        </w:tc>
      </w:tr>
      <w:tr w14:paraId="56D349FB">
        <w:tblPrEx>
          <w:tblCellMar>
            <w:top w:w="0" w:type="dxa"/>
            <w:left w:w="108" w:type="dxa"/>
            <w:bottom w:w="0" w:type="dxa"/>
            <w:right w:w="108" w:type="dxa"/>
          </w:tblCellMar>
        </w:tblPrEx>
        <w:trPr>
          <w:wAfter w:w="0" w:type="auto"/>
        </w:trPr>
        <w:tc>
          <w:tcPr>
            <w:tcW w:w="9158" w:type="dxa"/>
            <w:gridSpan w:val="14"/>
            <w:vAlign w:val="center"/>
          </w:tcPr>
          <w:p w14:paraId="52D5981B">
            <w:pPr>
              <w:jc w:val="center"/>
            </w:pPr>
            <w:r>
              <w:rPr>
                <w:rFonts w:ascii="宋体" w:hAnsi="宋体" w:eastAsia="宋体"/>
                <w:sz w:val="24"/>
              </w:rPr>
              <w:t>(2024年度)</w:t>
            </w:r>
          </w:p>
        </w:tc>
      </w:tr>
      <w:tr w14:paraId="137B7FAA">
        <w:tblPrEx>
          <w:tblCellMar>
            <w:top w:w="0" w:type="dxa"/>
            <w:left w:w="108" w:type="dxa"/>
            <w:bottom w:w="0" w:type="dxa"/>
            <w:right w:w="108" w:type="dxa"/>
          </w:tblCellMar>
        </w:tblPrEx>
        <w:trPr>
          <w:wAfter w:w="0" w:type="auto"/>
        </w:trPr>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CDFD8">
            <w:pPr>
              <w:jc w:val="center"/>
            </w:pPr>
            <w:r>
              <w:rPr>
                <w:rFonts w:ascii="宋体" w:hAnsi="宋体" w:eastAsia="宋体"/>
                <w:sz w:val="16"/>
              </w:rPr>
              <w:t>项目名称</w:t>
            </w:r>
          </w:p>
        </w:tc>
        <w:tc>
          <w:tcPr>
            <w:tcW w:w="852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6A9013">
            <w:pPr>
              <w:jc w:val="center"/>
            </w:pPr>
            <w:r>
              <w:rPr>
                <w:rFonts w:ascii="宋体" w:hAnsi="宋体" w:eastAsia="宋体"/>
                <w:sz w:val="16"/>
              </w:rPr>
              <w:t>慰问经费</w:t>
            </w:r>
          </w:p>
        </w:tc>
      </w:tr>
      <w:tr w14:paraId="0C68CDAE">
        <w:tblPrEx>
          <w:tblCellMar>
            <w:top w:w="0" w:type="dxa"/>
            <w:left w:w="108" w:type="dxa"/>
            <w:bottom w:w="0" w:type="dxa"/>
            <w:right w:w="108" w:type="dxa"/>
          </w:tblCellMar>
        </w:tblPrEx>
        <w:trPr>
          <w:wAfter w:w="0" w:type="auto"/>
        </w:trPr>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1BA6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BC4186">
            <w:pPr>
              <w:jc w:val="center"/>
            </w:pPr>
            <w:r>
              <w:rPr>
                <w:rFonts w:ascii="宋体" w:hAnsi="宋体" w:eastAsia="宋体"/>
                <w:sz w:val="16"/>
              </w:rPr>
              <w:t>中共乌鲁木齐市水磨沟区委员会办公室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3B4FB">
            <w:pPr>
              <w:jc w:val="center"/>
            </w:pPr>
            <w:r>
              <w:rPr>
                <w:rFonts w:ascii="宋体" w:hAnsi="宋体" w:eastAsia="宋体"/>
                <w:sz w:val="16"/>
              </w:rPr>
              <w:t>实施单位</w:t>
            </w:r>
          </w:p>
        </w:tc>
        <w:tc>
          <w:tcPr>
            <w:tcW w:w="347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F1B6D8">
            <w:pPr>
              <w:jc w:val="center"/>
            </w:pPr>
            <w:r>
              <w:rPr>
                <w:rFonts w:ascii="宋体" w:hAnsi="宋体" w:eastAsia="宋体"/>
                <w:sz w:val="16"/>
              </w:rPr>
              <w:t>中共乌鲁木齐市水磨沟区委员会办公室</w:t>
            </w:r>
          </w:p>
        </w:tc>
      </w:tr>
      <w:tr w14:paraId="429DF578">
        <w:tblPrEx>
          <w:tblCellMar>
            <w:top w:w="0" w:type="dxa"/>
            <w:left w:w="108" w:type="dxa"/>
            <w:bottom w:w="0" w:type="dxa"/>
            <w:right w:w="108" w:type="dxa"/>
          </w:tblCellMar>
        </w:tblPrEx>
        <w:trPr>
          <w:wAfter w:w="0" w:type="auto"/>
        </w:trPr>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F161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CE13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64AC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CBBC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8482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F9D9D">
            <w:pPr>
              <w:jc w:val="center"/>
            </w:pPr>
            <w:r>
              <w:rPr>
                <w:rFonts w:ascii="宋体" w:hAnsi="宋体" w:eastAsia="宋体"/>
                <w:sz w:val="16"/>
              </w:rPr>
              <w:t>分值权重</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F5CC9">
            <w:pPr>
              <w:jc w:val="center"/>
            </w:pPr>
            <w:r>
              <w:rPr>
                <w:rFonts w:ascii="宋体" w:hAnsi="宋体" w:eastAsia="宋体"/>
                <w:sz w:val="16"/>
              </w:rPr>
              <w:t>执行率</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4915A781">
            <w:pPr>
              <w:jc w:val="center"/>
            </w:pPr>
            <w:r>
              <w:rPr>
                <w:rFonts w:ascii="宋体" w:hAnsi="宋体" w:eastAsia="宋体"/>
                <w:sz w:val="16"/>
              </w:rPr>
              <w:t>得分</w:t>
            </w:r>
          </w:p>
        </w:tc>
      </w:tr>
      <w:tr w14:paraId="76DBF7C4">
        <w:tblPrEx>
          <w:tblCellMar>
            <w:top w:w="0" w:type="dxa"/>
            <w:left w:w="108" w:type="dxa"/>
            <w:bottom w:w="0" w:type="dxa"/>
            <w:right w:w="108" w:type="dxa"/>
          </w:tblCellMar>
        </w:tblPrEx>
        <w:trPr>
          <w:wAfter w:w="0" w:type="auto"/>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9A5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41E3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29B6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8C02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23606">
            <w:pPr>
              <w:jc w:val="center"/>
            </w:pPr>
            <w:r>
              <w:rPr>
                <w:rFonts w:ascii="宋体" w:hAnsi="宋体" w:eastAsia="宋体"/>
                <w:sz w:val="16"/>
              </w:rPr>
              <w:t>1.84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26264">
            <w:pPr>
              <w:jc w:val="center"/>
            </w:pPr>
            <w:r>
              <w:rPr>
                <w:rFonts w:ascii="宋体" w:hAnsi="宋体" w:eastAsia="宋体"/>
                <w:sz w:val="16"/>
              </w:rPr>
              <w:t>10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6BECD">
            <w:pPr>
              <w:jc w:val="center"/>
            </w:pPr>
            <w:r>
              <w:rPr>
                <w:rFonts w:ascii="宋体" w:hAnsi="宋体" w:eastAsia="宋体"/>
                <w:sz w:val="16"/>
              </w:rPr>
              <w:t>36.8%</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6D7C6459">
            <w:pPr>
              <w:jc w:val="center"/>
            </w:pPr>
            <w:r>
              <w:rPr>
                <w:rFonts w:ascii="宋体" w:hAnsi="宋体" w:eastAsia="宋体"/>
                <w:sz w:val="16"/>
              </w:rPr>
              <w:t>3.68分</w:t>
            </w:r>
          </w:p>
        </w:tc>
      </w:tr>
      <w:tr w14:paraId="3B8F118D">
        <w:tblPrEx>
          <w:tblCellMar>
            <w:top w:w="0" w:type="dxa"/>
            <w:left w:w="108" w:type="dxa"/>
            <w:bottom w:w="0" w:type="dxa"/>
            <w:right w:w="108" w:type="dxa"/>
          </w:tblCellMar>
        </w:tblPrEx>
        <w:trPr>
          <w:wAfter w:w="0" w:type="auto"/>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890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F66B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5554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3C77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3ACC4">
            <w:pPr>
              <w:jc w:val="center"/>
            </w:pPr>
            <w:r>
              <w:rPr>
                <w:rFonts w:ascii="宋体" w:hAnsi="宋体" w:eastAsia="宋体"/>
                <w:sz w:val="16"/>
              </w:rPr>
              <w:t>1.84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9F11F">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94177">
            <w:pPr>
              <w:jc w:val="center"/>
            </w:pPr>
            <w:r>
              <w:rPr>
                <w:rFonts w:ascii="宋体" w:hAnsi="宋体" w:eastAsia="宋体"/>
                <w:sz w:val="16"/>
              </w:rPr>
              <w:t>-</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79D8E684">
            <w:pPr>
              <w:jc w:val="center"/>
            </w:pPr>
            <w:r>
              <w:rPr>
                <w:rFonts w:ascii="宋体" w:hAnsi="宋体" w:eastAsia="宋体"/>
                <w:sz w:val="16"/>
              </w:rPr>
              <w:t>-</w:t>
            </w:r>
          </w:p>
        </w:tc>
      </w:tr>
      <w:tr w14:paraId="1124A93D">
        <w:tblPrEx>
          <w:tblCellMar>
            <w:top w:w="0" w:type="dxa"/>
            <w:left w:w="108" w:type="dxa"/>
            <w:bottom w:w="0" w:type="dxa"/>
            <w:right w:w="108" w:type="dxa"/>
          </w:tblCellMar>
        </w:tblPrEx>
        <w:trPr>
          <w:wAfter w:w="0" w:type="auto"/>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1CA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1604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F28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692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65D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1E272">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1547C">
            <w:pPr>
              <w:jc w:val="center"/>
            </w:pPr>
            <w:r>
              <w:rPr>
                <w:rFonts w:ascii="宋体" w:hAnsi="宋体" w:eastAsia="宋体"/>
                <w:sz w:val="16"/>
              </w:rPr>
              <w:t>-</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6E072E57">
            <w:pPr>
              <w:jc w:val="center"/>
            </w:pPr>
            <w:r>
              <w:rPr>
                <w:rFonts w:ascii="宋体" w:hAnsi="宋体" w:eastAsia="宋体"/>
                <w:sz w:val="16"/>
              </w:rPr>
              <w:t>-</w:t>
            </w:r>
          </w:p>
        </w:tc>
      </w:tr>
      <w:tr w14:paraId="3F4D17AE">
        <w:tblPrEx>
          <w:tblCellMar>
            <w:top w:w="0" w:type="dxa"/>
            <w:left w:w="108" w:type="dxa"/>
            <w:bottom w:w="0" w:type="dxa"/>
            <w:right w:w="108" w:type="dxa"/>
          </w:tblCellMar>
        </w:tblPrEx>
        <w:trPr>
          <w:wAfter w:w="0" w:type="auto"/>
        </w:trPr>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E408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ED0CB6">
            <w:pPr>
              <w:jc w:val="center"/>
            </w:pPr>
            <w:r>
              <w:rPr>
                <w:rFonts w:ascii="宋体" w:hAnsi="宋体" w:eastAsia="宋体"/>
                <w:sz w:val="16"/>
              </w:rPr>
              <w:t>总体目标</w:t>
            </w:r>
          </w:p>
        </w:tc>
        <w:tc>
          <w:tcPr>
            <w:tcW w:w="410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EFF61F">
            <w:pPr>
              <w:jc w:val="center"/>
            </w:pPr>
            <w:r>
              <w:rPr>
                <w:rFonts w:ascii="宋体" w:hAnsi="宋体" w:eastAsia="宋体"/>
                <w:sz w:val="16"/>
              </w:rPr>
              <w:t>总体目标完成情况</w:t>
            </w:r>
          </w:p>
        </w:tc>
      </w:tr>
      <w:tr w14:paraId="32D9414F">
        <w:tblPrEx>
          <w:tblCellMar>
            <w:top w:w="0" w:type="dxa"/>
            <w:left w:w="108" w:type="dxa"/>
            <w:bottom w:w="0" w:type="dxa"/>
            <w:right w:w="108" w:type="dxa"/>
          </w:tblCellMar>
        </w:tblPrEx>
        <w:trPr>
          <w:wAfter w:w="0" w:type="auto"/>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4E74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481D33">
            <w:pPr>
              <w:jc w:val="both"/>
            </w:pPr>
            <w:r>
              <w:rPr>
                <w:rFonts w:ascii="宋体" w:hAnsi="宋体" w:eastAsia="宋体"/>
                <w:sz w:val="16"/>
              </w:rPr>
              <w:t>严格把控项目资金的使用，及时上报资金的使用情况，保障项目资金5万元按计划执行。通过开展走访慰问活动，使干部职工切实感受到党和政府的温暖，体现区委、区政府对干部、职工的关爱，使工作人员思想上有触动，认识上有提高，作风上有转变。</w:t>
            </w:r>
          </w:p>
        </w:tc>
        <w:tc>
          <w:tcPr>
            <w:tcW w:w="410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F6B2EE">
            <w:pPr>
              <w:jc w:val="both"/>
            </w:pPr>
            <w:r>
              <w:rPr>
                <w:rFonts w:ascii="宋体" w:hAnsi="宋体" w:eastAsia="宋体"/>
                <w:sz w:val="16"/>
              </w:rPr>
              <w:t>严格把控项目资金的使用，保障项目资金按计划执行。通过开展走访慰问活动，使干部职工切实感受了党和政府的温暖，体现了区委、区政府对干部、职工的关爱，使工作人员思想上有触动，认识上有提高，作风上有转变。</w:t>
            </w:r>
            <w:r>
              <w:rPr>
                <w:rFonts w:ascii="宋体" w:hAnsi="宋体" w:eastAsia="宋体"/>
                <w:sz w:val="16"/>
              </w:rPr>
              <w:br w:type="textWrapping"/>
            </w:r>
          </w:p>
        </w:tc>
      </w:tr>
      <w:tr w14:paraId="01426568">
        <w:tblPrEx>
          <w:tblCellMar>
            <w:top w:w="0" w:type="dxa"/>
            <w:left w:w="108" w:type="dxa"/>
            <w:bottom w:w="0" w:type="dxa"/>
            <w:right w:w="108" w:type="dxa"/>
          </w:tblCellMar>
        </w:tblPrEx>
        <w:trPr>
          <w:wAfter w:w="0" w:type="auto"/>
        </w:trPr>
        <w:tc>
          <w:tcPr>
            <w:tcW w:w="632" w:type="dxa"/>
            <w:tcBorders>
              <w:top w:val="single" w:color="auto" w:sz="10" w:space="0"/>
              <w:left w:val="single" w:color="auto" w:sz="10" w:space="0"/>
              <w:bottom w:val="single" w:color="auto" w:sz="10" w:space="0"/>
              <w:right w:val="single" w:color="auto" w:sz="10" w:space="0"/>
              <w:insideV w:val="single" w:sz="10" w:space="0"/>
            </w:tcBorders>
          </w:tcPr>
          <w:p w14:paraId="49ABE8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BC7E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42B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BDC2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3E49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92E0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3AB1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76BB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F6E6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6A9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AAA19">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5661B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BC5BB">
            <w:pPr>
              <w:jc w:val="center"/>
            </w:pPr>
            <w:r>
              <w:rPr>
                <w:rFonts w:ascii="宋体" w:hAnsi="宋体" w:eastAsia="宋体"/>
                <w:sz w:val="16"/>
              </w:rPr>
              <w:t>指标得分</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45C19A80">
            <w:pPr>
              <w:jc w:val="center"/>
            </w:pPr>
            <w:r>
              <w:rPr>
                <w:rFonts w:ascii="宋体" w:hAnsi="宋体" w:eastAsia="宋体"/>
                <w:sz w:val="16"/>
              </w:rPr>
              <w:t>偏差原因分析及改进措施</w:t>
            </w:r>
          </w:p>
        </w:tc>
      </w:tr>
      <w:tr w14:paraId="1FB090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65AC9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3099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416D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092EB">
            <w:pPr>
              <w:jc w:val="center"/>
            </w:pPr>
            <w:r>
              <w:rPr>
                <w:rFonts w:ascii="宋体" w:hAnsi="宋体" w:eastAsia="宋体"/>
                <w:sz w:val="16"/>
              </w:rPr>
              <w:t>召开会议次数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BA7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286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2635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053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4BF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362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AE248">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DF6577">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5AE8A">
            <w:pPr>
              <w:jc w:val="center"/>
            </w:pPr>
            <w:r>
              <w:rPr>
                <w:rFonts w:ascii="宋体" w:hAnsi="宋体" w:eastAsia="宋体"/>
                <w:sz w:val="16"/>
              </w:rPr>
              <w:t>10</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63417EF6">
            <w:pPr>
              <w:jc w:val="center"/>
            </w:pPr>
            <w:r>
              <w:rPr>
                <w:rFonts w:ascii="宋体" w:hAnsi="宋体" w:eastAsia="宋体"/>
                <w:sz w:val="16"/>
              </w:rPr>
              <w:t>2024年实际召开慰问工作会议2次，使得实际值高于指标设定值，存在偏差率。</w:t>
            </w:r>
          </w:p>
        </w:tc>
      </w:tr>
      <w:tr w14:paraId="49F209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CA1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37E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D04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ACF33">
            <w:pPr>
              <w:jc w:val="center"/>
            </w:pPr>
            <w:r>
              <w:rPr>
                <w:rFonts w:ascii="宋体" w:hAnsi="宋体" w:eastAsia="宋体"/>
                <w:sz w:val="16"/>
              </w:rPr>
              <w:t>全年慰问次数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D583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977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1272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B58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1A2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D03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7B23">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35E343">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9B7E">
            <w:pPr>
              <w:jc w:val="center"/>
            </w:pPr>
            <w:r>
              <w:rPr>
                <w:rFonts w:ascii="宋体" w:hAnsi="宋体" w:eastAsia="宋体"/>
                <w:sz w:val="16"/>
              </w:rPr>
              <w:t>10</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2BC69C26">
            <w:pPr>
              <w:jc w:val="center"/>
            </w:pPr>
            <w:r>
              <w:rPr>
                <w:rFonts w:ascii="宋体" w:hAnsi="宋体" w:eastAsia="宋体"/>
                <w:sz w:val="16"/>
              </w:rPr>
              <w:t>2024年实际开展慰问工作2次，使得实际值高于指标设定值，存在偏差率。</w:t>
            </w:r>
          </w:p>
        </w:tc>
      </w:tr>
      <w:tr w14:paraId="0DE255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2E0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A88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B7F3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261AD">
            <w:pPr>
              <w:jc w:val="center"/>
            </w:pPr>
            <w:r>
              <w:rPr>
                <w:rFonts w:ascii="宋体" w:hAnsi="宋体" w:eastAsia="宋体"/>
                <w:sz w:val="16"/>
              </w:rPr>
              <w:t>慰问活动完成率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4C8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5ADD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299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114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05D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F6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B196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94187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08F1D">
            <w:pPr>
              <w:jc w:val="center"/>
            </w:pPr>
            <w:r>
              <w:rPr>
                <w:rFonts w:ascii="宋体" w:hAnsi="宋体" w:eastAsia="宋体"/>
                <w:sz w:val="16"/>
              </w:rPr>
              <w:t>10</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1DC8D0CF">
            <w:pPr>
              <w:jc w:val="center"/>
            </w:pPr>
            <w:r>
              <w:rPr>
                <w:rFonts w:ascii="宋体" w:hAnsi="宋体" w:eastAsia="宋体"/>
                <w:sz w:val="16"/>
              </w:rPr>
              <w:t>绩效目标值设置不精准，今后精准目标值的设置。</w:t>
            </w:r>
          </w:p>
        </w:tc>
      </w:tr>
      <w:tr w14:paraId="168EEF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FA2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D96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40C0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9DD2">
            <w:pPr>
              <w:jc w:val="center"/>
            </w:pPr>
            <w:r>
              <w:rPr>
                <w:rFonts w:ascii="宋体" w:hAnsi="宋体" w:eastAsia="宋体"/>
                <w:sz w:val="16"/>
              </w:rPr>
              <w:t>慰问金发放及时率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E3A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E10F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902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067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826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393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C786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BA661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BF76A">
            <w:pPr>
              <w:jc w:val="center"/>
            </w:pPr>
            <w:r>
              <w:rPr>
                <w:rFonts w:ascii="宋体" w:hAnsi="宋体" w:eastAsia="宋体"/>
                <w:sz w:val="16"/>
              </w:rPr>
              <w:t>10</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60DA817F">
            <w:pPr>
              <w:jc w:val="center"/>
            </w:pPr>
            <w:r>
              <w:rPr>
                <w:rFonts w:ascii="宋体" w:hAnsi="宋体" w:eastAsia="宋体"/>
                <w:sz w:val="16"/>
              </w:rPr>
              <w:t>绩效目标值设置不精准，今后精准目标值的设置。</w:t>
            </w:r>
          </w:p>
        </w:tc>
      </w:tr>
      <w:tr w14:paraId="42D1BF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4F4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6486E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7BF48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5C416">
            <w:pPr>
              <w:jc w:val="center"/>
            </w:pPr>
            <w:r>
              <w:rPr>
                <w:rFonts w:ascii="宋体" w:hAnsi="宋体" w:eastAsia="宋体"/>
                <w:sz w:val="16"/>
              </w:rPr>
              <w:t>慰问公安干警费用金额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E86C2">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C829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E6E93">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008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B0A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4CA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5A2C0">
            <w:pPr>
              <w:jc w:val="center"/>
            </w:pPr>
            <w:r>
              <w:rPr>
                <w:rFonts w:ascii="宋体" w:hAnsi="宋体" w:eastAsia="宋体"/>
                <w:sz w:val="16"/>
              </w:rPr>
              <w:t>=1.99万元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5E6022">
            <w:pPr>
              <w:jc w:val="center"/>
            </w:pPr>
            <w:r>
              <w:rPr>
                <w:rFonts w:ascii="宋体" w:hAnsi="宋体" w:eastAsia="宋体"/>
                <w:sz w:val="16"/>
              </w:rPr>
              <w:t>79.6%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7C16F">
            <w:pPr>
              <w:jc w:val="center"/>
            </w:pPr>
            <w:r>
              <w:rPr>
                <w:rFonts w:ascii="宋体" w:hAnsi="宋体" w:eastAsia="宋体"/>
                <w:sz w:val="16"/>
              </w:rPr>
              <w:t>7.96</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3597480C">
            <w:pPr>
              <w:jc w:val="center"/>
            </w:pPr>
            <w:r>
              <w:rPr>
                <w:rFonts w:ascii="宋体" w:hAnsi="宋体" w:eastAsia="宋体"/>
                <w:sz w:val="16"/>
              </w:rPr>
              <w:t>2024年实际开展慰问产生费用1.99万元，实际值低于指标设定值，存在</w:t>
            </w:r>
            <w:r>
              <w:rPr>
                <w:rFonts w:hint="eastAsia" w:ascii="宋体" w:hAnsi="宋体"/>
                <w:sz w:val="16"/>
                <w:lang w:eastAsia="zh-CN"/>
              </w:rPr>
              <w:t>偏差</w:t>
            </w:r>
            <w:r>
              <w:rPr>
                <w:rFonts w:ascii="宋体" w:hAnsi="宋体" w:eastAsia="宋体"/>
                <w:sz w:val="16"/>
              </w:rPr>
              <w:t>。</w:t>
            </w:r>
          </w:p>
        </w:tc>
      </w:tr>
      <w:tr w14:paraId="059FB6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FCB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BBA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20F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8F15">
            <w:pPr>
              <w:jc w:val="center"/>
            </w:pPr>
            <w:r>
              <w:rPr>
                <w:rFonts w:ascii="宋体" w:hAnsi="宋体" w:eastAsia="宋体"/>
                <w:sz w:val="16"/>
              </w:rPr>
              <w:t>慰问基层一线费用金额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BD7F0">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CBB8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5C0E4">
            <w:pPr>
              <w:jc w:val="center"/>
            </w:pPr>
            <w:r>
              <w:rPr>
                <w:rFonts w:ascii="宋体" w:hAnsi="宋体" w:eastAsia="宋体"/>
                <w:sz w:val="16"/>
              </w:rPr>
              <w:t>新增指标，无上年完成情况。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BE2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3CA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876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3F8FC">
            <w:pPr>
              <w:jc w:val="center"/>
            </w:pPr>
            <w:r>
              <w:rPr>
                <w:rFonts w:ascii="宋体" w:hAnsi="宋体" w:eastAsia="宋体"/>
                <w:sz w:val="16"/>
              </w:rPr>
              <w:t>=1.99万元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6F3E67">
            <w:pPr>
              <w:jc w:val="center"/>
            </w:pPr>
            <w:r>
              <w:rPr>
                <w:rFonts w:ascii="宋体" w:hAnsi="宋体" w:eastAsia="宋体"/>
                <w:sz w:val="16"/>
              </w:rPr>
              <w:t>79.6%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E981A">
            <w:pPr>
              <w:jc w:val="center"/>
            </w:pPr>
            <w:r>
              <w:rPr>
                <w:rFonts w:ascii="宋体" w:hAnsi="宋体" w:eastAsia="宋体"/>
                <w:sz w:val="16"/>
              </w:rPr>
              <w:t>7.96</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730179D7">
            <w:pPr>
              <w:jc w:val="center"/>
            </w:pPr>
            <w:r>
              <w:rPr>
                <w:rFonts w:ascii="宋体" w:hAnsi="宋体" w:eastAsia="宋体"/>
                <w:sz w:val="16"/>
              </w:rPr>
              <w:t>2024年实际开展慰问产生费用1.99万元，实际值低于指标设定值，存在偏差率</w:t>
            </w:r>
          </w:p>
        </w:tc>
      </w:tr>
      <w:tr w14:paraId="3AD710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663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CBC9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0DE8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5D8EB">
            <w:pPr>
              <w:jc w:val="center"/>
            </w:pPr>
            <w:r>
              <w:rPr>
                <w:rFonts w:ascii="宋体" w:hAnsi="宋体" w:eastAsia="宋体"/>
                <w:sz w:val="16"/>
              </w:rPr>
              <w:t>促进经济社会和谐发展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7912">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E53C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6A715">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F0E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243C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D9F3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14416">
            <w:pPr>
              <w:jc w:val="center"/>
            </w:pPr>
            <w:r>
              <w:rPr>
                <w:rFonts w:ascii="宋体" w:hAnsi="宋体" w:eastAsia="宋体"/>
                <w:sz w:val="16"/>
              </w:rPr>
              <w:t>有效促进</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47ED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C074C">
            <w:pPr>
              <w:jc w:val="center"/>
            </w:pPr>
            <w:r>
              <w:rPr>
                <w:rFonts w:ascii="宋体" w:hAnsi="宋体" w:eastAsia="宋体"/>
                <w:sz w:val="16"/>
              </w:rPr>
              <w:t>20</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7BC76169">
            <w:pPr>
              <w:jc w:val="center"/>
            </w:pPr>
          </w:p>
        </w:tc>
      </w:tr>
      <w:tr w14:paraId="5DE81E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E4F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76C2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D6D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FBE14">
            <w:pPr>
              <w:jc w:val="center"/>
            </w:pPr>
            <w:r>
              <w:rPr>
                <w:rFonts w:ascii="宋体" w:hAnsi="宋体" w:eastAsia="宋体"/>
                <w:sz w:val="16"/>
              </w:rPr>
              <w:t>被慰问对象满意度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EC9FF">
            <w:pPr>
              <w:jc w:val="center"/>
            </w:pPr>
            <w:r>
              <w:rPr>
                <w:rFonts w:ascii="宋体" w:hAnsi="宋体" w:eastAsia="宋体"/>
                <w:sz w:val="16"/>
              </w:rPr>
              <w:t>&gt;=92%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82BB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6C23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85F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65E8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8100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3126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B5557B">
            <w:pPr>
              <w:jc w:val="center"/>
            </w:pPr>
            <w:r>
              <w:rPr>
                <w:rFonts w:ascii="宋体" w:hAnsi="宋体" w:eastAsia="宋体"/>
                <w:sz w:val="16"/>
              </w:rPr>
              <w:t>108.7%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099E2">
            <w:pPr>
              <w:jc w:val="center"/>
            </w:pPr>
            <w:r>
              <w:rPr>
                <w:rFonts w:ascii="宋体" w:hAnsi="宋体" w:eastAsia="宋体"/>
                <w:sz w:val="16"/>
              </w:rPr>
              <w:t>10</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0559399F">
            <w:pPr>
              <w:jc w:val="center"/>
            </w:pPr>
            <w:r>
              <w:rPr>
                <w:rFonts w:ascii="宋体" w:hAnsi="宋体" w:eastAsia="宋体"/>
                <w:sz w:val="16"/>
              </w:rPr>
              <w:t>被慰问对象满意度100%</w:t>
            </w:r>
          </w:p>
        </w:tc>
      </w:tr>
      <w:tr w14:paraId="39173D3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BFB5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F6A6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E290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607A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AC0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4A68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0AD2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404B5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F606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AEFB5">
            <w:pPr>
              <w:jc w:val="center"/>
            </w:pPr>
            <w:r>
              <w:rPr>
                <w:rFonts w:ascii="宋体" w:hAnsi="宋体" w:eastAsia="宋体"/>
                <w:sz w:val="16"/>
              </w:rPr>
              <w:t>89.6分</w:t>
            </w:r>
          </w:p>
        </w:tc>
        <w:tc>
          <w:tcPr>
            <w:tcW w:w="798" w:type="dxa"/>
            <w:tcBorders>
              <w:top w:val="single" w:color="auto" w:sz="10" w:space="0"/>
              <w:left w:val="single" w:color="auto" w:sz="10" w:space="0"/>
              <w:bottom w:val="single" w:color="auto" w:sz="10" w:space="0"/>
              <w:right w:val="single" w:color="auto" w:sz="10" w:space="0"/>
              <w:insideV w:val="single" w:sz="10" w:space="0"/>
            </w:tcBorders>
          </w:tcPr>
          <w:p w14:paraId="2052D761"/>
        </w:tc>
      </w:tr>
    </w:tbl>
    <w:p w14:paraId="5217B8D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776"/>
        <w:gridCol w:w="632"/>
        <w:gridCol w:w="632"/>
      </w:tblGrid>
      <w:tr w14:paraId="3B68E799">
        <w:tblPrEx>
          <w:tblCellMar>
            <w:top w:w="0" w:type="dxa"/>
            <w:left w:w="108" w:type="dxa"/>
            <w:bottom w:w="0" w:type="dxa"/>
            <w:right w:w="108" w:type="dxa"/>
          </w:tblCellMar>
        </w:tblPrEx>
        <w:tc>
          <w:tcPr>
            <w:tcW w:w="8848" w:type="dxa"/>
            <w:gridSpan w:val="14"/>
            <w:vAlign w:val="center"/>
          </w:tcPr>
          <w:p w14:paraId="29D37B6E">
            <w:pPr>
              <w:jc w:val="center"/>
            </w:pPr>
            <w:r>
              <w:rPr>
                <w:rFonts w:ascii="宋体" w:hAnsi="宋体" w:eastAsia="宋体"/>
                <w:sz w:val="24"/>
              </w:rPr>
              <w:t>项目支出绩效自评表</w:t>
            </w:r>
          </w:p>
        </w:tc>
      </w:tr>
      <w:tr w14:paraId="6DC021B9">
        <w:tblPrEx>
          <w:tblCellMar>
            <w:top w:w="0" w:type="dxa"/>
            <w:left w:w="108" w:type="dxa"/>
            <w:bottom w:w="0" w:type="dxa"/>
            <w:right w:w="108" w:type="dxa"/>
          </w:tblCellMar>
        </w:tblPrEx>
        <w:tc>
          <w:tcPr>
            <w:tcW w:w="8848" w:type="dxa"/>
            <w:gridSpan w:val="14"/>
            <w:vAlign w:val="center"/>
          </w:tcPr>
          <w:p w14:paraId="414639BB">
            <w:pPr>
              <w:jc w:val="center"/>
            </w:pPr>
            <w:r>
              <w:rPr>
                <w:rFonts w:ascii="宋体" w:hAnsi="宋体" w:eastAsia="宋体"/>
                <w:sz w:val="24"/>
              </w:rPr>
              <w:t>(2024年度)</w:t>
            </w:r>
          </w:p>
        </w:tc>
      </w:tr>
      <w:tr w14:paraId="17C1AB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9D22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BE9CAC">
            <w:pPr>
              <w:jc w:val="center"/>
            </w:pPr>
            <w:r>
              <w:rPr>
                <w:rFonts w:ascii="宋体" w:hAnsi="宋体" w:eastAsia="宋体"/>
                <w:sz w:val="16"/>
              </w:rPr>
              <w:t>法律顾问服务费（第十二次财政事项会）</w:t>
            </w:r>
          </w:p>
        </w:tc>
      </w:tr>
      <w:tr w14:paraId="56E9B0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82BB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D8EB8D">
            <w:pPr>
              <w:jc w:val="center"/>
            </w:pPr>
            <w:r>
              <w:rPr>
                <w:rFonts w:ascii="宋体" w:hAnsi="宋体" w:eastAsia="宋体"/>
                <w:sz w:val="16"/>
              </w:rPr>
              <w:t>中共乌鲁木齐市水磨沟区委员会办公室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B507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A6E46D">
            <w:pPr>
              <w:jc w:val="center"/>
            </w:pPr>
            <w:r>
              <w:rPr>
                <w:rFonts w:ascii="宋体" w:hAnsi="宋体" w:eastAsia="宋体"/>
                <w:sz w:val="16"/>
              </w:rPr>
              <w:t>中共乌鲁木齐市水磨沟区委员会办公室</w:t>
            </w:r>
          </w:p>
        </w:tc>
      </w:tr>
      <w:tr w14:paraId="4AC6A1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6C3B5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9771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406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5E64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0A9F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B0F2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F90D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076BB">
            <w:pPr>
              <w:jc w:val="center"/>
            </w:pPr>
            <w:r>
              <w:rPr>
                <w:rFonts w:ascii="宋体" w:hAnsi="宋体" w:eastAsia="宋体"/>
                <w:sz w:val="16"/>
              </w:rPr>
              <w:t>得分</w:t>
            </w:r>
          </w:p>
        </w:tc>
      </w:tr>
      <w:tr w14:paraId="3A5F7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980D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14A5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2A926">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291F6">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2315F">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1B30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0221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BBA5D">
            <w:pPr>
              <w:jc w:val="center"/>
            </w:pPr>
            <w:r>
              <w:rPr>
                <w:rFonts w:ascii="宋体" w:hAnsi="宋体" w:eastAsia="宋体"/>
                <w:sz w:val="16"/>
              </w:rPr>
              <w:t>10.00分</w:t>
            </w:r>
          </w:p>
        </w:tc>
      </w:tr>
      <w:tr w14:paraId="72D1C5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0EB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2EE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EACB1">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50F8B">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822B3">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74F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FBF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FF681">
            <w:pPr>
              <w:jc w:val="center"/>
            </w:pPr>
            <w:r>
              <w:rPr>
                <w:rFonts w:ascii="宋体" w:hAnsi="宋体" w:eastAsia="宋体"/>
                <w:sz w:val="16"/>
              </w:rPr>
              <w:t>-</w:t>
            </w:r>
          </w:p>
        </w:tc>
      </w:tr>
      <w:tr w14:paraId="3B30B7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631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515C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B0E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4B9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CCF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242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52D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6E979">
            <w:pPr>
              <w:jc w:val="center"/>
            </w:pPr>
            <w:r>
              <w:rPr>
                <w:rFonts w:ascii="宋体" w:hAnsi="宋体" w:eastAsia="宋体"/>
                <w:sz w:val="16"/>
              </w:rPr>
              <w:t>-</w:t>
            </w:r>
          </w:p>
        </w:tc>
      </w:tr>
      <w:tr w14:paraId="5C1137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C48E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AC52D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AA56ED">
            <w:pPr>
              <w:jc w:val="center"/>
            </w:pPr>
            <w:r>
              <w:rPr>
                <w:rFonts w:ascii="宋体" w:hAnsi="宋体" w:eastAsia="宋体"/>
                <w:sz w:val="16"/>
              </w:rPr>
              <w:t>总体目标完成情况</w:t>
            </w:r>
          </w:p>
        </w:tc>
      </w:tr>
      <w:tr w14:paraId="4D7EA4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58A1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78940F">
            <w:pPr>
              <w:jc w:val="both"/>
            </w:pPr>
            <w:r>
              <w:rPr>
                <w:rFonts w:ascii="宋体" w:hAnsi="宋体" w:eastAsia="宋体"/>
                <w:sz w:val="16"/>
              </w:rPr>
              <w:t>该项目为2023年-2026年，2024年度，新疆元正盛业律师事务所为区委提供合同审查、法律咨询、诉讼代理等法律顾问服务，从而深入推进依法行政、积极推进党政法律顾问制度及党政机关内部重大决策合法性审查机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34A470">
            <w:pPr>
              <w:jc w:val="both"/>
            </w:pPr>
            <w:r>
              <w:rPr>
                <w:rFonts w:ascii="宋体" w:hAnsi="宋体" w:eastAsia="宋体"/>
                <w:sz w:val="16"/>
              </w:rPr>
              <w:t>2024年度，新疆元正盛业律师事务所按照法律服务合同约定完成该年度法律顾问服务,深入推进依法行政、积极推进党政法律顾问制度及党政机关内部重大决策合法性审查机制。</w:t>
            </w:r>
          </w:p>
        </w:tc>
      </w:tr>
      <w:tr w14:paraId="08CA23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3E33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A8D8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4AE5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A480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AB2A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D3C8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A613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950B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CD2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B7A3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F7AC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C81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7121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9FDCD">
            <w:pPr>
              <w:jc w:val="center"/>
            </w:pPr>
            <w:r>
              <w:rPr>
                <w:rFonts w:ascii="宋体" w:hAnsi="宋体" w:eastAsia="宋体"/>
                <w:sz w:val="16"/>
              </w:rPr>
              <w:t>偏差原因分析及改进措施</w:t>
            </w:r>
          </w:p>
        </w:tc>
      </w:tr>
      <w:tr w14:paraId="58BAE8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72CB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08DC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A7E06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6629F">
            <w:pPr>
              <w:jc w:val="center"/>
            </w:pPr>
            <w:r>
              <w:rPr>
                <w:rFonts w:ascii="宋体" w:hAnsi="宋体" w:eastAsia="宋体"/>
                <w:sz w:val="16"/>
              </w:rPr>
              <w:t>开展</w:t>
            </w:r>
            <w:r>
              <w:rPr>
                <w:rFonts w:hint="eastAsia" w:ascii="宋体" w:hAnsi="宋体"/>
                <w:sz w:val="16"/>
                <w:lang w:eastAsia="zh-CN"/>
              </w:rPr>
              <w:t>法治宣传</w:t>
            </w:r>
            <w:r>
              <w:rPr>
                <w:rFonts w:ascii="宋体" w:hAnsi="宋体" w:eastAsia="宋体"/>
                <w:sz w:val="16"/>
              </w:rPr>
              <w:t>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CECCE">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6F1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41E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CEA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92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A9A0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7B477">
            <w:pPr>
              <w:jc w:val="center"/>
            </w:pPr>
            <w:r>
              <w:rPr>
                <w:rFonts w:ascii="宋体" w:hAnsi="宋体" w:eastAsia="宋体"/>
                <w:sz w:val="16"/>
              </w:rPr>
              <w:t>=17次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D90A6">
            <w:pPr>
              <w:jc w:val="center"/>
            </w:pPr>
            <w:r>
              <w:rPr>
                <w:rFonts w:ascii="宋体" w:hAnsi="宋体" w:eastAsia="宋体"/>
                <w:sz w:val="16"/>
              </w:rPr>
              <w:t>141.66%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A32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C9BB">
            <w:pPr>
              <w:jc w:val="center"/>
            </w:pPr>
            <w:r>
              <w:rPr>
                <w:rFonts w:ascii="宋体" w:hAnsi="宋体" w:eastAsia="宋体"/>
                <w:sz w:val="16"/>
              </w:rPr>
              <w:t>2024年较2023年相比法律相关业务工作增多，深入推进依法行政、积极推进党政法律顾问制度，文书审查、行政诉讼、法制培训重视程度上升，工作增多，使得实际值高于指标设定值，偏差率过高。</w:t>
            </w:r>
          </w:p>
        </w:tc>
      </w:tr>
      <w:tr w14:paraId="4690F4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045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395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055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6B0E7">
            <w:pPr>
              <w:jc w:val="center"/>
            </w:pPr>
            <w:r>
              <w:rPr>
                <w:rFonts w:ascii="宋体" w:hAnsi="宋体" w:eastAsia="宋体"/>
                <w:sz w:val="16"/>
              </w:rPr>
              <w:t>参加法律文书审查数量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A8F82">
            <w:pPr>
              <w:jc w:val="center"/>
            </w:pPr>
            <w:r>
              <w:rPr>
                <w:rFonts w:ascii="宋体" w:hAnsi="宋体" w:eastAsia="宋体"/>
                <w:sz w:val="16"/>
              </w:rPr>
              <w:t>&gt;=100件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1D98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6F5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722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D1F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655D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A1B0D">
            <w:pPr>
              <w:jc w:val="center"/>
            </w:pPr>
            <w:r>
              <w:rPr>
                <w:rFonts w:ascii="宋体" w:hAnsi="宋体" w:eastAsia="宋体"/>
                <w:sz w:val="16"/>
              </w:rPr>
              <w:t>=132件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7F7E1">
            <w:pPr>
              <w:jc w:val="center"/>
            </w:pPr>
            <w:r>
              <w:rPr>
                <w:rFonts w:ascii="宋体" w:hAnsi="宋体" w:eastAsia="宋体"/>
                <w:sz w:val="16"/>
              </w:rPr>
              <w:t>132%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C35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F9B77">
            <w:pPr>
              <w:jc w:val="center"/>
            </w:pPr>
            <w:r>
              <w:rPr>
                <w:rFonts w:ascii="宋体" w:hAnsi="宋体" w:eastAsia="宋体"/>
                <w:sz w:val="16"/>
              </w:rPr>
              <w:t>2024年较2023年相比法律相关业务工作增多，深入推进依法行政、积极推进党政法律顾问制度，文书审查、行政诉讼、法制培训重视程度上升，工作增多，使得实际值高于指标设定值，偏差率过高。</w:t>
            </w:r>
          </w:p>
        </w:tc>
      </w:tr>
      <w:tr w14:paraId="7F3DDF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519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AC1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9D6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624C9">
            <w:pPr>
              <w:jc w:val="center"/>
            </w:pPr>
            <w:r>
              <w:rPr>
                <w:rFonts w:ascii="宋体" w:hAnsi="宋体" w:eastAsia="宋体"/>
                <w:sz w:val="16"/>
              </w:rPr>
              <w:t>参与行政复议次数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AA3B0">
            <w:pPr>
              <w:jc w:val="center"/>
            </w:pPr>
            <w:r>
              <w:rPr>
                <w:rFonts w:ascii="宋体" w:hAnsi="宋体" w:eastAsia="宋体"/>
                <w:sz w:val="16"/>
              </w:rPr>
              <w:t>&gt;=25次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C335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E81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88A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DF1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44B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EDF5">
            <w:pPr>
              <w:jc w:val="center"/>
            </w:pPr>
            <w:r>
              <w:rPr>
                <w:rFonts w:ascii="宋体" w:hAnsi="宋体" w:eastAsia="宋体"/>
                <w:sz w:val="16"/>
              </w:rPr>
              <w:t>=55次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5F04B">
            <w:pPr>
              <w:jc w:val="center"/>
            </w:pPr>
            <w:r>
              <w:rPr>
                <w:rFonts w:ascii="宋体" w:hAnsi="宋体" w:eastAsia="宋体"/>
                <w:sz w:val="16"/>
              </w:rPr>
              <w:t>220%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48E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48056">
            <w:pPr>
              <w:jc w:val="center"/>
            </w:pPr>
            <w:r>
              <w:rPr>
                <w:rFonts w:ascii="宋体" w:hAnsi="宋体" w:eastAsia="宋体"/>
                <w:sz w:val="16"/>
              </w:rPr>
              <w:t>2024年较2023年相比法律相关业务工作增多，深入推进依法行政、积极推进党政法律顾问制度，文书审查、行政诉讼、法制培训重视程度上升，工作增多，使得实际值高于指标设定值，偏差率过高。</w:t>
            </w:r>
          </w:p>
        </w:tc>
      </w:tr>
      <w:tr w14:paraId="397D13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F8F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9AE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232F7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094E5">
            <w:pPr>
              <w:jc w:val="center"/>
            </w:pPr>
            <w:r>
              <w:rPr>
                <w:rFonts w:ascii="宋体" w:hAnsi="宋体" w:eastAsia="宋体"/>
                <w:sz w:val="16"/>
              </w:rPr>
              <w:t>参与审查的法律文书会议审议通过率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0803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F7EE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5AC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0F7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2CC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B3B3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0FF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3A0CF">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AC7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07B43">
            <w:pPr>
              <w:jc w:val="center"/>
            </w:pPr>
            <w:r>
              <w:rPr>
                <w:rFonts w:ascii="宋体" w:hAnsi="宋体" w:eastAsia="宋体"/>
                <w:sz w:val="16"/>
              </w:rPr>
              <w:t>2024年较2023年相比法律相关业务工作增多，深入推进依法行政、积极推进党政法律顾问制度，文书审查、行政诉讼、法制培训重视程度上升，工作增多，使得实际值高于指标设定值，偏差率过高。</w:t>
            </w:r>
          </w:p>
        </w:tc>
      </w:tr>
      <w:tr w14:paraId="55304B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0E5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C42F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128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8C6AC">
            <w:pPr>
              <w:jc w:val="center"/>
            </w:pPr>
            <w:r>
              <w:rPr>
                <w:rFonts w:ascii="宋体" w:hAnsi="宋体" w:eastAsia="宋体"/>
                <w:sz w:val="16"/>
              </w:rPr>
              <w:t>行政诉讼胜诉率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BFAB8">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27CC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495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B28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D94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DB60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1805D">
            <w:pPr>
              <w:jc w:val="center"/>
            </w:pPr>
            <w:r>
              <w:rPr>
                <w:rFonts w:ascii="宋体" w:hAnsi="宋体" w:eastAsia="宋体"/>
                <w:sz w:val="16"/>
              </w:rPr>
              <w:t>=97.6%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A4D88">
            <w:pPr>
              <w:jc w:val="center"/>
            </w:pPr>
            <w:r>
              <w:rPr>
                <w:rFonts w:ascii="宋体" w:hAnsi="宋体" w:eastAsia="宋体"/>
                <w:sz w:val="16"/>
              </w:rPr>
              <w:t>139.43%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0AB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68327">
            <w:pPr>
              <w:jc w:val="center"/>
            </w:pPr>
            <w:r>
              <w:rPr>
                <w:rFonts w:ascii="宋体" w:hAnsi="宋体" w:eastAsia="宋体"/>
                <w:sz w:val="16"/>
              </w:rPr>
              <w:t>2024年较2023年相比法律相关业务工作增多，深入推进依法行政、积极推进党政法律顾问制度，文书审查、行政诉讼、法制培训重视程度上升，工作增多，使得实际值高于指标设定值，偏差率过高。</w:t>
            </w:r>
          </w:p>
        </w:tc>
      </w:tr>
      <w:tr w14:paraId="1A9DB5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D55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DD0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CE8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C0D66">
            <w:pPr>
              <w:jc w:val="center"/>
            </w:pPr>
            <w:r>
              <w:rPr>
                <w:rFonts w:ascii="宋体" w:hAnsi="宋体" w:eastAsia="宋体"/>
                <w:sz w:val="16"/>
              </w:rPr>
              <w:t>法治培训出席率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F4430">
            <w:pPr>
              <w:jc w:val="center"/>
            </w:pPr>
            <w:r>
              <w:rPr>
                <w:rFonts w:ascii="宋体" w:hAnsi="宋体" w:eastAsia="宋体"/>
                <w:sz w:val="16"/>
              </w:rPr>
              <w:t>&gt;=75%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3E0D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34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313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B2C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F26C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0E0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60A01">
            <w:pPr>
              <w:jc w:val="center"/>
            </w:pPr>
            <w:r>
              <w:rPr>
                <w:rFonts w:ascii="宋体" w:hAnsi="宋体" w:eastAsia="宋体"/>
                <w:sz w:val="16"/>
              </w:rPr>
              <w:t>133.33%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460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DFACD">
            <w:pPr>
              <w:jc w:val="center"/>
            </w:pPr>
            <w:r>
              <w:rPr>
                <w:rFonts w:ascii="宋体" w:hAnsi="宋体" w:eastAsia="宋体"/>
                <w:sz w:val="16"/>
              </w:rPr>
              <w:t>2024年较2023年相比法律相关业务工作增多，深入推进依法行政、积极推进党政法律顾问制度，文书审查、行政诉讼、法制培训重视程度上升，工作增多，使得实际值高于指标设定值，偏差率过高。</w:t>
            </w:r>
          </w:p>
        </w:tc>
      </w:tr>
      <w:tr w14:paraId="4AAD75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5CA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53DE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E2CB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4D107">
            <w:pPr>
              <w:jc w:val="center"/>
            </w:pPr>
            <w:r>
              <w:rPr>
                <w:rFonts w:ascii="宋体" w:hAnsi="宋体" w:eastAsia="宋体"/>
                <w:sz w:val="16"/>
              </w:rPr>
              <w:t>保障党政机关依法行政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BC59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F2BD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080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05A60">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587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5812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8EAC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ECF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00022">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D6E36">
            <w:pPr>
              <w:jc w:val="center"/>
            </w:pPr>
          </w:p>
        </w:tc>
      </w:tr>
      <w:tr w14:paraId="082FF8A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4B025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8D38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6B4C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F8B2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F8A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7E1E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29AB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EA53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7E8F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CAC56">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E3183D"/>
        </w:tc>
      </w:tr>
    </w:tbl>
    <w:p w14:paraId="4FC26D14">
      <w:r>
        <w:br w:type="page"/>
      </w:r>
    </w:p>
    <w:p w14:paraId="2C0277E0">
      <w:pPr>
        <w:spacing w:line="640" w:lineRule="exact"/>
        <w:ind w:firstLine="640"/>
        <w:jc w:val="both"/>
        <w:outlineLvl w:val="2"/>
      </w:pPr>
      <w:r>
        <w:rPr>
          <w:rFonts w:ascii="黑体" w:hAnsi="黑体" w:eastAsia="黑体"/>
          <w:sz w:val="32"/>
        </w:rPr>
        <w:t>十二、其他需说明的事项</w:t>
      </w:r>
    </w:p>
    <w:p w14:paraId="4FE7A4BE">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383B0211">
      <w:r>
        <w:br w:type="page"/>
      </w:r>
    </w:p>
    <w:p w14:paraId="39C05BD6">
      <w:pPr>
        <w:spacing w:line="240" w:lineRule="auto"/>
        <w:jc w:val="center"/>
        <w:outlineLvl w:val="1"/>
      </w:pPr>
      <w:r>
        <w:rPr>
          <w:rFonts w:ascii="黑体" w:hAnsi="黑体" w:eastAsia="黑体"/>
          <w:sz w:val="32"/>
        </w:rPr>
        <w:t>第三部分 专业名词解释</w:t>
      </w:r>
    </w:p>
    <w:p w14:paraId="0E78E98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99FA57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D438B1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DC574E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E09532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37F0AD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B576F5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9982A7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41FB7B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63187A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B912D3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9A2405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70D1BE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773118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FE808E8">
      <w:r>
        <w:br w:type="page"/>
      </w:r>
    </w:p>
    <w:p w14:paraId="15CF5C88">
      <w:pPr>
        <w:spacing w:line="240" w:lineRule="auto"/>
        <w:jc w:val="center"/>
        <w:outlineLvl w:val="1"/>
      </w:pPr>
      <w:r>
        <w:rPr>
          <w:rFonts w:ascii="黑体" w:hAnsi="黑体" w:eastAsia="黑体"/>
          <w:sz w:val="32"/>
        </w:rPr>
        <w:t>第四部分 部门决算报表（见附表）</w:t>
      </w:r>
    </w:p>
    <w:p w14:paraId="3DF749DF">
      <w:pPr>
        <w:spacing w:line="240" w:lineRule="auto"/>
        <w:ind w:firstLine="640"/>
        <w:jc w:val="both"/>
      </w:pPr>
      <w:r>
        <w:rPr>
          <w:rFonts w:ascii="仿宋_GB2312" w:hAnsi="仿宋_GB2312" w:eastAsia="仿宋_GB2312"/>
          <w:b w:val="0"/>
          <w:sz w:val="32"/>
        </w:rPr>
        <w:t>一、《收入支出决算总表》</w:t>
      </w:r>
    </w:p>
    <w:p w14:paraId="4BA99B59">
      <w:pPr>
        <w:spacing w:line="240" w:lineRule="auto"/>
        <w:ind w:firstLine="640"/>
        <w:jc w:val="both"/>
      </w:pPr>
      <w:r>
        <w:rPr>
          <w:rFonts w:ascii="仿宋_GB2312" w:hAnsi="仿宋_GB2312" w:eastAsia="仿宋_GB2312"/>
          <w:b w:val="0"/>
          <w:sz w:val="32"/>
        </w:rPr>
        <w:t>二、《收入决算表》</w:t>
      </w:r>
    </w:p>
    <w:p w14:paraId="522A6D3D">
      <w:pPr>
        <w:spacing w:line="240" w:lineRule="auto"/>
        <w:ind w:firstLine="640"/>
        <w:jc w:val="both"/>
      </w:pPr>
      <w:r>
        <w:rPr>
          <w:rFonts w:ascii="仿宋_GB2312" w:hAnsi="仿宋_GB2312" w:eastAsia="仿宋_GB2312"/>
          <w:b w:val="0"/>
          <w:sz w:val="32"/>
        </w:rPr>
        <w:t>三、《支出决算表》</w:t>
      </w:r>
    </w:p>
    <w:p w14:paraId="1E0819B5">
      <w:pPr>
        <w:spacing w:line="240" w:lineRule="auto"/>
        <w:ind w:firstLine="640"/>
        <w:jc w:val="both"/>
      </w:pPr>
      <w:r>
        <w:rPr>
          <w:rFonts w:ascii="仿宋_GB2312" w:hAnsi="仿宋_GB2312" w:eastAsia="仿宋_GB2312"/>
          <w:b w:val="0"/>
          <w:sz w:val="32"/>
        </w:rPr>
        <w:t>四、《财政拨款收入支出决算总表》</w:t>
      </w:r>
    </w:p>
    <w:p w14:paraId="359C500D">
      <w:pPr>
        <w:spacing w:line="240" w:lineRule="auto"/>
        <w:ind w:firstLine="640"/>
        <w:jc w:val="both"/>
      </w:pPr>
      <w:r>
        <w:rPr>
          <w:rFonts w:ascii="仿宋_GB2312" w:hAnsi="仿宋_GB2312" w:eastAsia="仿宋_GB2312"/>
          <w:b w:val="0"/>
          <w:sz w:val="32"/>
        </w:rPr>
        <w:t>五、《一般公共预算财政拨款支出决算表》</w:t>
      </w:r>
    </w:p>
    <w:p w14:paraId="627F1B62">
      <w:pPr>
        <w:spacing w:line="240" w:lineRule="auto"/>
        <w:ind w:firstLine="640"/>
        <w:jc w:val="both"/>
      </w:pPr>
      <w:r>
        <w:rPr>
          <w:rFonts w:ascii="仿宋_GB2312" w:hAnsi="仿宋_GB2312" w:eastAsia="仿宋_GB2312"/>
          <w:b w:val="0"/>
          <w:sz w:val="32"/>
        </w:rPr>
        <w:t>六、《一般公共预算财政拨款基本支出决算表》</w:t>
      </w:r>
    </w:p>
    <w:p w14:paraId="3EBC4AFB">
      <w:pPr>
        <w:spacing w:line="240" w:lineRule="auto"/>
        <w:ind w:firstLine="640"/>
        <w:jc w:val="both"/>
      </w:pPr>
      <w:r>
        <w:rPr>
          <w:rFonts w:ascii="仿宋_GB2312" w:hAnsi="仿宋_GB2312" w:eastAsia="仿宋_GB2312"/>
          <w:b w:val="0"/>
          <w:sz w:val="32"/>
        </w:rPr>
        <w:t>七、《政府性基金预算财政拨款收入支出决算表》</w:t>
      </w:r>
    </w:p>
    <w:p w14:paraId="09259C04">
      <w:pPr>
        <w:spacing w:line="240" w:lineRule="auto"/>
        <w:ind w:firstLine="640"/>
        <w:jc w:val="both"/>
      </w:pPr>
      <w:r>
        <w:rPr>
          <w:rFonts w:ascii="仿宋_GB2312" w:hAnsi="仿宋_GB2312" w:eastAsia="仿宋_GB2312"/>
          <w:b w:val="0"/>
          <w:sz w:val="32"/>
        </w:rPr>
        <w:t>八、《国有资本经营预算财政拨款收入支出决算表》</w:t>
      </w:r>
    </w:p>
    <w:p w14:paraId="3C41EEA3">
      <w:pPr>
        <w:spacing w:line="240" w:lineRule="auto"/>
        <w:ind w:firstLine="640"/>
        <w:jc w:val="both"/>
      </w:pPr>
      <w:r>
        <w:rPr>
          <w:rFonts w:ascii="仿宋_GB2312" w:hAnsi="仿宋_GB2312" w:eastAsia="仿宋_GB2312"/>
          <w:b w:val="0"/>
          <w:sz w:val="32"/>
        </w:rPr>
        <w:t>九、《财政拨款“三公”经费支出决算表》</w:t>
      </w:r>
    </w:p>
    <w:p w14:paraId="5C622DEA">
      <w:pPr>
        <w:spacing w:line="240" w:lineRule="auto"/>
        <w:ind w:firstLine="640"/>
        <w:jc w:val="both"/>
      </w:pPr>
    </w:p>
    <w:p w14:paraId="23A2548D">
      <w:pPr>
        <w:spacing w:line="240" w:lineRule="auto"/>
        <w:ind w:firstLine="640"/>
        <w:jc w:val="both"/>
      </w:pPr>
    </w:p>
    <w:p w14:paraId="05B7E4E3">
      <w:pPr>
        <w:spacing w:line="240" w:lineRule="auto"/>
        <w:ind w:firstLine="640"/>
        <w:jc w:val="both"/>
      </w:pPr>
    </w:p>
    <w:p w14:paraId="57765C73">
      <w:pPr>
        <w:spacing w:line="240" w:lineRule="auto"/>
        <w:ind w:firstLine="640"/>
        <w:jc w:val="both"/>
      </w:pPr>
    </w:p>
    <w:p w14:paraId="0C96DE7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1122A3-8B49-44A5-BE72-C298E0209D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54B522A-81D2-4729-8941-23BDDBFC4583}"/>
  </w:font>
  <w:font w:name="仿宋_GB2312">
    <w:panose1 w:val="02010609030101010101"/>
    <w:charset w:val="86"/>
    <w:family w:val="modern"/>
    <w:pitch w:val="default"/>
    <w:sig w:usb0="00000001" w:usb1="080E0000" w:usb2="00000000" w:usb3="00000000" w:csb0="00040000" w:csb1="00000000"/>
    <w:embedRegular r:id="rId3" w:fontKey="{6931D719-116B-4727-8271-A1FDF796F6CA}"/>
  </w:font>
  <w:font w:name="楷体_GB2312">
    <w:panose1 w:val="02010609030101010101"/>
    <w:charset w:val="86"/>
    <w:family w:val="auto"/>
    <w:pitch w:val="default"/>
    <w:sig w:usb0="00000001" w:usb1="080E0000" w:usb2="00000000" w:usb3="00000000" w:csb0="00040000" w:csb1="00000000"/>
    <w:embedRegular r:id="rId4" w:fontKey="{277CA99F-7318-42AB-A49D-F9D916B3B4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B71CCC"/>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A684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ac6ab963-899c-4542-9e42-5c0104eebb9f</errorID>
      <errorWord>,</errorWord>
      <group>L1_Format</group>
      <groupName>格式问题</groupName>
      <ability>L2_HalfPunc</ability>
      <abilityName>全半角检查</abilityName>
      <candidateList>
        <item>，</item>
      </candidateList>
      <explain>文本全半角错误。</explain>
      <paraID>72F616D4</paraID>
      <start>66</start>
      <end>67</end>
      <status>unmodified</status>
      <modifiedWord/>
      <trackRevisions>false</trackRevisions>
    </reviewItem>
    <reviewItem>
      <errorID>a2e52219-df2c-4cb6-935f-4fc06317165d</errorID>
      <errorWord>,</errorWord>
      <group>L1_Format</group>
      <groupName>格式问题</groupName>
      <ability>L2_HalfPunc</ability>
      <abilityName>全半角检查</abilityName>
      <candidateList>
        <item>，</item>
      </candidateList>
      <explain>文本全半角错误。</explain>
      <paraID> AB9835D</paraID>
      <start>115</start>
      <end>116</end>
      <status>unmodified</status>
      <modifiedWord/>
      <trackRevisions>false</trackRevisions>
    </reviewItem>
    <reviewItem>
      <errorID>8c830cc9-07ae-4882-8336-9e2fe8ae28ab</errorID>
      <errorWord>,</errorWord>
      <group>L1_Format</group>
      <groupName>格式问题</groupName>
      <ability>L2_HalfPunc</ability>
      <abilityName>全半角检查</abilityName>
      <candidateList>
        <item>，</item>
      </candidateList>
      <explain>文本全半角错误。</explain>
      <paraID>33F87110</paraID>
      <start>21</start>
      <end>22</end>
      <status>unmodified</status>
      <modifiedWord/>
      <trackRevisions>false</trackRevisions>
    </reviewItem>
    <reviewItem>
      <errorID>9c3955a0-1940-4391-852f-e2fefc38c4f5</errorID>
      <errorWord>,</errorWord>
      <group>L1_Format</group>
      <groupName>格式问题</groupName>
      <ability>L2_HalfPunc</ability>
      <abilityName>全半角检查</abilityName>
      <candidateList>
        <item>，</item>
      </candidateList>
      <explain>文本全半角错误。</explain>
      <paraID>2ABE710A</paraID>
      <start>21</start>
      <end>22</end>
      <status>unmodified</status>
      <modifiedWord/>
      <trackRevisions>false</trackRevisions>
    </reviewItem>
    <reviewItem>
      <errorID>5951f6bf-4181-43ef-82d1-7a9ed60e19d3</errorID>
      <errorWord>:</errorWord>
      <group>L1_Format</group>
      <groupName>格式问题</groupName>
      <ability>L2_HalfPunc</ability>
      <abilityName>全半角检查</abilityName>
      <candidateList>
        <item>：</item>
      </candidateList>
      <explain>文本全半角错误。</explain>
      <paraID>648866B5</paraID>
      <start>38</start>
      <end>39</end>
      <status>unmodified</status>
      <modifiedWord/>
      <trackRevisions>false</trackRevisions>
    </reviewItem>
    <reviewItem>
      <errorID>663b29ee-5870-45c2-a9ef-dfad0ef17320</errorID>
      <errorWord>,</errorWord>
      <group>L1_Format</group>
      <groupName>格式问题</groupName>
      <ability>L2_HalfPunc</ability>
      <abilityName>全半角检查</abilityName>
      <candidateList>
        <item>，</item>
      </candidateList>
      <explain>文本全半角错误。</explain>
      <paraID>648866B5</paraID>
      <start>78</start>
      <end>79</end>
      <status>unmodified</status>
      <modifiedWord/>
      <trackRevisions>false</trackRevisions>
    </reviewItem>
    <reviewItem>
      <errorID>bc6e670e-3409-44a1-b1ac-187f3cf3339d</errorID>
      <errorWord>:</errorWord>
      <group>L1_Format</group>
      <groupName>格式问题</groupName>
      <ability>L2_HalfPunc</ability>
      <abilityName>全半角检查</abilityName>
      <candidateList>
        <item>：</item>
      </candidateList>
      <explain>文本全半角错误。</explain>
      <paraID>76EDCCA6</paraID>
      <start>38</start>
      <end>39</end>
      <status>unmodified</status>
      <modifiedWord/>
      <trackRevisions>false</trackRevisions>
    </reviewItem>
    <reviewItem>
      <errorID>372ff593-2a20-4aec-b975-9f52db4ae3a3</errorID>
      <errorWord>,</errorWord>
      <group>L1_Format</group>
      <groupName>格式问题</groupName>
      <ability>L2_HalfPunc</ability>
      <abilityName>全半角检查</abilityName>
      <candidateList>
        <item>，</item>
      </candidateList>
      <explain>文本全半角错误。</explain>
      <paraID>76EDCCA6</paraID>
      <start>75</start>
      <end>76</end>
      <status>unmodified</status>
      <modifiedWord/>
      <trackRevisions>false</trackRevisions>
    </reviewItem>
    <reviewItem>
      <errorID>2b297b73-0358-4497-9f7a-313861ca17d8</errorID>
      <errorWord>:</errorWord>
      <group>L1_Format</group>
      <groupName>格式问题</groupName>
      <ability>L2_HalfPunc</ability>
      <abilityName>全半角检查</abilityName>
      <candidateList>
        <item>：</item>
      </candidateList>
      <explain>文本全半角错误。</explain>
      <paraID>40AE417D</paraID>
      <start>53</start>
      <end>54</end>
      <status>unmodified</status>
      <modifiedWord/>
      <trackRevisions>false</trackRevisions>
    </reviewItem>
    <reviewItem>
      <errorID>d1614ee0-d8a7-464f-9b98-504eefbad96d</errorID>
      <errorWord>,</errorWord>
      <group>L1_Format</group>
      <groupName>格式问题</groupName>
      <ability>L2_HalfPunc</ability>
      <abilityName>全半角检查</abilityName>
      <candidateList>
        <item>，</item>
      </candidateList>
      <explain>文本全半角错误。</explain>
      <paraID>40AE417D</paraID>
      <start>91</start>
      <end>92</end>
      <status>unmodified</status>
      <modifiedWord/>
      <trackRevisions>false</trackRevisions>
    </reviewItem>
    <reviewItem>
      <errorID>6f1ce950-a5a8-4e1a-8bf6-db54f94c2bed</errorID>
      <errorWord>:</errorWord>
      <group>L1_Format</group>
      <groupName>格式问题</groupName>
      <ability>L2_HalfPunc</ability>
      <abilityName>全半角检查</abilityName>
      <candidateList>
        <item>：</item>
      </candidateList>
      <explain>文本全半角错误。</explain>
      <paraID>2AEC4F69</paraID>
      <start>37</start>
      <end>38</end>
      <status>unmodified</status>
      <modifiedWord/>
      <trackRevisions>false</trackRevisions>
    </reviewItem>
    <reviewItem>
      <errorID>7289f567-cb80-4a6d-ad06-9c7557a775be</errorID>
      <errorWord>,</errorWord>
      <group>L1_Format</group>
      <groupName>格式问题</groupName>
      <ability>L2_HalfPunc</ability>
      <abilityName>全半角检查</abilityName>
      <candidateList>
        <item>，</item>
      </candidateList>
      <explain>文本全半角错误。</explain>
      <paraID>2AEC4F69</paraID>
      <start>74</start>
      <end>75</end>
      <status>unmodified</status>
      <modifiedWord/>
      <trackRevisions>false</trackRevisions>
    </reviewItem>
    <reviewItem>
      <errorID>97b25018-90e2-4677-8c69-3ce83e9fcb9a</errorID>
      <errorWord>:</errorWord>
      <group>L1_Format</group>
      <groupName>格式问题</groupName>
      <ability>L2_HalfPunc</ability>
      <abilityName>全半角检查</abilityName>
      <candidateList>
        <item>：</item>
      </candidateList>
      <explain>文本全半角错误。</explain>
      <paraID>58968BB4</paraID>
      <start>46</start>
      <end>47</end>
      <status>unmodified</status>
      <modifiedWord/>
      <trackRevisions>false</trackRevisions>
    </reviewItem>
    <reviewItem>
      <errorID>5ac04e17-d859-4dca-bc45-cf13936f3ae2</errorID>
      <errorWord>,</errorWord>
      <group>L1_Format</group>
      <groupName>格式问题</groupName>
      <ability>L2_HalfPunc</ability>
      <abilityName>全半角检查</abilityName>
      <candidateList>
        <item>，</item>
      </candidateList>
      <explain>文本全半角错误。</explain>
      <paraID>58968BB4</paraID>
      <start>84</start>
      <end>85</end>
      <status>unmodified</status>
      <modifiedWord/>
      <trackRevisions>false</trackRevisions>
    </reviewItem>
    <reviewItem>
      <errorID>9d995e92-77e0-4adf-ad33-e5d2d096d566</errorID>
      <errorWord>政</errorWord>
      <group>L1_Word</group>
      <groupName>字词问题</groupName>
      <ability>L2_Typo</ability>
      <abilityName>字词错误</abilityName>
      <candidateList>
        <item>政局</item>
      </candidateList>
      <explain/>
      <paraID>448E379E</paraID>
      <start>144</start>
      <end>145</end>
      <status>unmodified</status>
      <modifiedWord/>
      <trackRevisions>false</trackRevisions>
    </reviewItem>
    <reviewItem>
      <errorID>e91fe44c-f299-4970-bbb0-0e2e4cfd3a74</errorID>
      <errorWord>、及</errorWord>
      <group>L1_Other</group>
      <groupName>其他问题</groupName>
      <ability>L2_UserTypo</ability>
      <abilityName>自定义错误</abilityName>
      <candidateList>
        <item>及</item>
      </candidateList>
      <explain>来自自定义错词库。</explain>
      <paraID>6D314A80</paraID>
      <start>113</start>
      <end>115</end>
      <status>unmodified</status>
      <modifiedWord/>
      <trackRevisions>false</trackRevisions>
    </reviewItem>
    <reviewItem>
      <errorID>a66bf107-6f15-4daf-af62-bfa32175f04a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3F78940F</paraID>
      <start>9</start>
      <end>10</end>
      <status>unmodified</status>
      <modifiedWord/>
      <trackRevisions>false</trackRevisions>
    </reviewItem>
    <reviewItem>
      <errorID>3ec831da-8ed9-44a8-b306-e116e53afd21</errorID>
      <errorWord>,</errorWord>
      <group>L1_Format</group>
      <groupName>格式问题</groupName>
      <ability>L2_HalfPunc</ability>
      <abilityName>全半角检查</abilityName>
      <candidateList>
        <item>，</item>
      </candidateList>
      <explain>文本全半角错误。</explain>
      <paraID>7434A470</paraID>
      <start>39</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4aa8d-aa05-4013-9e42-821590fdbced}">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5863</Words>
  <Characters>6563</Characters>
  <Lines>0</Lines>
  <Paragraphs>0</Paragraphs>
  <TotalTime>21</TotalTime>
  <ScaleCrop>false</ScaleCrop>
  <LinksUpToDate>false</LinksUpToDate>
  <CharactersWithSpaces>6572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2025-11-05T08:04:56Z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