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中共乌鲁木齐市水磨沟区直属机关工作委员会2024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5A206E5">
      <w:r>
        <w:br w:type="page"/>
      </w:r>
    </w:p>
    <w:p w14:paraId="7231DAEA">
      <w:pPr>
        <w:spacing w:line="640" w:lineRule="exact"/>
        <w:jc w:val="center"/>
        <w:outlineLvl w:val="1"/>
      </w:pPr>
      <w:r>
        <w:rPr>
          <w:rFonts w:ascii="黑体" w:hAnsi="黑体" w:eastAsia="黑体"/>
          <w:sz w:val="32"/>
        </w:rPr>
        <w:t>第一部分 单位概况</w:t>
      </w:r>
    </w:p>
    <w:p w14:paraId="6346D46E">
      <w:pPr>
        <w:spacing w:line="640" w:lineRule="exact"/>
        <w:ind w:firstLine="640"/>
        <w:jc w:val="both"/>
        <w:outlineLvl w:val="2"/>
      </w:pPr>
      <w:r>
        <w:rPr>
          <w:rFonts w:ascii="黑体" w:hAnsi="黑体" w:eastAsia="黑体"/>
          <w:sz w:val="32"/>
        </w:rPr>
        <w:t>一、主要职能</w:t>
      </w:r>
    </w:p>
    <w:p w14:paraId="305F52D2">
      <w:pPr>
        <w:spacing w:line="580" w:lineRule="exact"/>
        <w:ind w:firstLine="640"/>
        <w:jc w:val="both"/>
      </w:pPr>
      <w:r>
        <w:rPr>
          <w:rFonts w:ascii="仿宋_GB2312" w:hAnsi="仿宋_GB2312" w:eastAsia="仿宋_GB2312"/>
          <w:sz w:val="32"/>
        </w:rPr>
        <w:t>（1）负责提出区级机关党的建设规划和指导性意见，负责抓好区级机关党的思想、组织、作风建设。</w:t>
      </w:r>
    </w:p>
    <w:p w14:paraId="6F32E52D">
      <w:pPr>
        <w:spacing w:line="580" w:lineRule="exact"/>
        <w:ind w:firstLine="640"/>
        <w:jc w:val="both"/>
      </w:pPr>
      <w:r>
        <w:rPr>
          <w:rFonts w:ascii="仿宋_GB2312" w:hAnsi="仿宋_GB2312" w:eastAsia="仿宋_GB2312"/>
          <w:sz w:val="32"/>
        </w:rPr>
        <w:t>（2）指导区级机关各级党组织做好党员的教育和管理工作。</w:t>
      </w:r>
    </w:p>
    <w:p w14:paraId="0ADE0C71">
      <w:pPr>
        <w:spacing w:line="580" w:lineRule="exact"/>
        <w:ind w:firstLine="640"/>
        <w:jc w:val="both"/>
      </w:pPr>
      <w:r>
        <w:rPr>
          <w:rFonts w:ascii="仿宋_GB2312" w:hAnsi="仿宋_GB2312" w:eastAsia="仿宋_GB2312"/>
          <w:sz w:val="32"/>
        </w:rPr>
        <w:t>（3）指导区级机关党组织实施对党员特别是党员领导干部的监督；及时向区委反映区级机关各部门领导班子和领导干部的情况。</w:t>
      </w:r>
    </w:p>
    <w:p w14:paraId="5943FF81">
      <w:pPr>
        <w:spacing w:line="580" w:lineRule="exact"/>
        <w:ind w:firstLine="640"/>
        <w:jc w:val="both"/>
      </w:pPr>
      <w:r>
        <w:rPr>
          <w:rFonts w:ascii="仿宋_GB2312" w:hAnsi="仿宋_GB2312" w:eastAsia="仿宋_GB2312"/>
          <w:sz w:val="32"/>
        </w:rPr>
        <w:t>（4）领导区级机关党的纪律检查工作，按照规定权限审批党员干部违反党纪的处理决定。</w:t>
      </w:r>
    </w:p>
    <w:p w14:paraId="717E1962">
      <w:pPr>
        <w:spacing w:line="580" w:lineRule="exact"/>
        <w:ind w:firstLine="640"/>
        <w:jc w:val="both"/>
      </w:pPr>
      <w:r>
        <w:rPr>
          <w:rFonts w:ascii="仿宋_GB2312" w:hAnsi="仿宋_GB2312" w:eastAsia="仿宋_GB2312"/>
          <w:sz w:val="32"/>
        </w:rPr>
        <w:t>（5）指导区级机关党组织抓好精神文明建设和思想政治工作。</w:t>
      </w:r>
    </w:p>
    <w:p w14:paraId="18F1BDC8">
      <w:pPr>
        <w:spacing w:line="580" w:lineRule="exact"/>
        <w:ind w:firstLine="640"/>
        <w:jc w:val="both"/>
      </w:pPr>
      <w:r>
        <w:rPr>
          <w:rFonts w:ascii="仿宋_GB2312" w:hAnsi="仿宋_GB2312" w:eastAsia="仿宋_GB2312"/>
          <w:sz w:val="32"/>
        </w:rPr>
        <w:t>（6）负责区级机关党组织的建设，审批区级机关直属党总支和党支部委员会以及书记和副书记的任免。</w:t>
      </w:r>
    </w:p>
    <w:p w14:paraId="1F7A86A8">
      <w:pPr>
        <w:spacing w:line="580" w:lineRule="exact"/>
        <w:ind w:firstLine="640"/>
        <w:jc w:val="both"/>
      </w:pPr>
      <w:r>
        <w:rPr>
          <w:rFonts w:ascii="仿宋_GB2312" w:hAnsi="仿宋_GB2312" w:eastAsia="仿宋_GB2312"/>
          <w:sz w:val="32"/>
        </w:rPr>
        <w:t>（7）督促指导区级机关直属各部门党组织按期换届，审批关于召开党员大会或党员代表大会的请示。</w:t>
      </w:r>
    </w:p>
    <w:p w14:paraId="338DEE8A">
      <w:pPr>
        <w:spacing w:line="580" w:lineRule="exact"/>
        <w:ind w:firstLine="640"/>
        <w:jc w:val="both"/>
      </w:pPr>
      <w:r>
        <w:rPr>
          <w:rFonts w:ascii="仿宋_GB2312" w:hAnsi="仿宋_GB2312" w:eastAsia="仿宋_GB2312"/>
          <w:sz w:val="32"/>
        </w:rPr>
        <w:t>（8）领导区级机关工会、共青团、妇委会等群众组织，支持这些组织依照各自的章程独立负责地开展工作。</w:t>
      </w:r>
    </w:p>
    <w:p w14:paraId="2F4B2A1D">
      <w:pPr>
        <w:spacing w:line="580" w:lineRule="exact"/>
        <w:ind w:firstLine="640"/>
        <w:jc w:val="both"/>
      </w:pPr>
      <w:r>
        <w:rPr>
          <w:rFonts w:ascii="仿宋_GB2312" w:hAnsi="仿宋_GB2312" w:eastAsia="仿宋_GB2312"/>
          <w:sz w:val="32"/>
        </w:rPr>
        <w:t>（9）指导区级机关党组织做好发展党员工作，审批新党员。</w:t>
      </w:r>
    </w:p>
    <w:p w14:paraId="17CAA483">
      <w:pPr>
        <w:spacing w:line="580" w:lineRule="exact"/>
        <w:ind w:firstLine="640"/>
        <w:jc w:val="both"/>
      </w:pPr>
      <w:r>
        <w:rPr>
          <w:rFonts w:ascii="仿宋_GB2312" w:hAnsi="仿宋_GB2312" w:eastAsia="仿宋_GB2312"/>
          <w:sz w:val="32"/>
        </w:rPr>
        <w:t>（10）承办区委交办的其他事项。</w:t>
      </w:r>
    </w:p>
    <w:p w14:paraId="2FB909C2">
      <w:pPr>
        <w:spacing w:line="640" w:lineRule="exact"/>
        <w:ind w:firstLine="640"/>
        <w:jc w:val="both"/>
        <w:outlineLvl w:val="2"/>
      </w:pPr>
      <w:r>
        <w:rPr>
          <w:rFonts w:ascii="黑体" w:hAnsi="黑体" w:eastAsia="黑体"/>
          <w:sz w:val="32"/>
        </w:rPr>
        <w:t>二、机构设置及人员情况</w:t>
      </w:r>
    </w:p>
    <w:p w14:paraId="203CFF0F">
      <w:pPr>
        <w:spacing w:line="580" w:lineRule="exact"/>
        <w:ind w:firstLine="640"/>
        <w:jc w:val="both"/>
      </w:pPr>
      <w:r>
        <w:rPr>
          <w:rFonts w:ascii="仿宋_GB2312" w:hAnsi="仿宋_GB2312" w:eastAsia="仿宋_GB2312"/>
          <w:sz w:val="32"/>
        </w:rPr>
        <w:t>中共乌鲁木齐市水磨沟区直属机关工作委员会2024年度，实有人数2人，其中：在职人员2人，增加0人；离休人员0人，增加0人；退休人员0人,减少2人。</w:t>
      </w:r>
    </w:p>
    <w:p w14:paraId="70CFA3EA">
      <w:pPr>
        <w:spacing w:line="580" w:lineRule="exact"/>
        <w:ind w:firstLine="640"/>
        <w:jc w:val="both"/>
      </w:pPr>
      <w:r>
        <w:rPr>
          <w:rFonts w:ascii="仿宋_GB2312" w:hAnsi="仿宋_GB2312" w:eastAsia="仿宋_GB2312"/>
          <w:sz w:val="32"/>
        </w:rPr>
        <w:t>中共乌鲁木齐市水磨沟区直属机关工作委员会无下属预算单位，下设1个科室，分别是：综合办公室。</w:t>
      </w:r>
    </w:p>
    <w:p w14:paraId="79A030C8">
      <w:r>
        <w:br w:type="page"/>
      </w:r>
    </w:p>
    <w:p w14:paraId="5B9DC4C8">
      <w:pPr>
        <w:spacing w:line="240" w:lineRule="auto"/>
        <w:jc w:val="center"/>
        <w:outlineLvl w:val="1"/>
      </w:pPr>
      <w:r>
        <w:rPr>
          <w:rFonts w:ascii="黑体" w:hAnsi="黑体" w:eastAsia="黑体"/>
          <w:sz w:val="32"/>
        </w:rPr>
        <w:t>第二部分 部门决算情况说明</w:t>
      </w:r>
    </w:p>
    <w:p w14:paraId="50A1BF6D">
      <w:pPr>
        <w:spacing w:line="640" w:lineRule="exact"/>
        <w:ind w:firstLine="640"/>
        <w:jc w:val="both"/>
        <w:outlineLvl w:val="2"/>
      </w:pPr>
      <w:r>
        <w:rPr>
          <w:rFonts w:ascii="黑体" w:hAnsi="黑体" w:eastAsia="黑体"/>
          <w:sz w:val="32"/>
        </w:rPr>
        <w:t>一、收入支出决算总体情况说明</w:t>
      </w:r>
    </w:p>
    <w:p w14:paraId="7EFB6B18">
      <w:pPr>
        <w:spacing w:line="580" w:lineRule="exact"/>
        <w:ind w:firstLine="640"/>
        <w:jc w:val="both"/>
      </w:pPr>
      <w:r>
        <w:rPr>
          <w:rFonts w:ascii="仿宋_GB2312" w:hAnsi="仿宋_GB2312" w:eastAsia="仿宋_GB2312"/>
          <w:b/>
          <w:sz w:val="32"/>
        </w:rPr>
        <w:t>2024年度收入总计41.25万元，</w:t>
      </w:r>
      <w:r>
        <w:rPr>
          <w:rFonts w:ascii="仿宋_GB2312" w:hAnsi="仿宋_GB2312" w:eastAsia="仿宋_GB2312"/>
          <w:b w:val="0"/>
          <w:sz w:val="32"/>
        </w:rPr>
        <w:t>其中：本年收入合计40.50万元，使用非财政拨款结余（含专用结余）0.00万元，年初结转和结余0.76万元。</w:t>
      </w:r>
    </w:p>
    <w:p w14:paraId="01860C78">
      <w:pPr>
        <w:spacing w:line="580" w:lineRule="exact"/>
        <w:ind w:firstLine="640"/>
        <w:jc w:val="both"/>
      </w:pPr>
      <w:r>
        <w:rPr>
          <w:rFonts w:ascii="仿宋_GB2312" w:hAnsi="仿宋_GB2312" w:eastAsia="仿宋_GB2312"/>
          <w:b/>
          <w:sz w:val="32"/>
        </w:rPr>
        <w:t>2024年度支出总计41.25万元，</w:t>
      </w:r>
      <w:r>
        <w:rPr>
          <w:rFonts w:ascii="仿宋_GB2312" w:hAnsi="仿宋_GB2312" w:eastAsia="仿宋_GB2312"/>
          <w:b w:val="0"/>
          <w:sz w:val="32"/>
        </w:rPr>
        <w:t>其中：本年支出合计39.83万元，结余分配0.00万元，年末结转和结余1.43万元。</w:t>
      </w:r>
    </w:p>
    <w:p w14:paraId="603190CB">
      <w:pPr>
        <w:spacing w:line="580" w:lineRule="exact"/>
        <w:ind w:firstLine="640"/>
        <w:jc w:val="both"/>
      </w:pPr>
      <w:r>
        <w:rPr>
          <w:rFonts w:ascii="仿宋_GB2312" w:hAnsi="仿宋_GB2312" w:eastAsia="仿宋_GB2312"/>
          <w:b w:val="0"/>
          <w:sz w:val="32"/>
        </w:rPr>
        <w:t>收入支出总体与上年相比，减少65.63万元，下降61.41%，主要原因是：</w:t>
      </w:r>
      <w:r>
        <w:rPr>
          <w:rFonts w:hint="eastAsia" w:ascii="仿宋_GB2312" w:hAnsi="仿宋_GB2312" w:eastAsia="仿宋_GB2312"/>
          <w:b w:val="0"/>
          <w:sz w:val="32"/>
          <w:lang w:val="en-US" w:eastAsia="zh-CN"/>
        </w:rPr>
        <w:t>一是</w:t>
      </w:r>
      <w:r>
        <w:rPr>
          <w:rFonts w:ascii="仿宋_GB2312" w:hAnsi="仿宋_GB2312" w:eastAsia="仿宋_GB2312"/>
          <w:b w:val="0"/>
          <w:sz w:val="32"/>
        </w:rPr>
        <w:t>本年减少临聘人员，临聘人员经费减少。</w:t>
      </w:r>
      <w:r>
        <w:rPr>
          <w:rFonts w:hint="eastAsia" w:ascii="仿宋_GB2312" w:hAnsi="仿宋_GB2312" w:eastAsia="仿宋_GB2312"/>
          <w:b w:val="0"/>
          <w:sz w:val="32"/>
          <w:lang w:val="en-US" w:eastAsia="zh-CN"/>
        </w:rPr>
        <w:t>二是</w:t>
      </w:r>
      <w:r>
        <w:rPr>
          <w:rFonts w:ascii="仿宋_GB2312" w:hAnsi="仿宋_GB2312" w:eastAsia="仿宋_GB2312"/>
          <w:b w:val="0"/>
          <w:sz w:val="32"/>
        </w:rPr>
        <w:t>上年补发人员奖金，本年无补发部分</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三是</w:t>
      </w:r>
      <w:r>
        <w:rPr>
          <w:rFonts w:ascii="仿宋_GB2312" w:hAnsi="仿宋_GB2312" w:eastAsia="仿宋_GB2312"/>
          <w:b w:val="0"/>
          <w:sz w:val="32"/>
        </w:rPr>
        <w:t>本年无新增退休人员，职业年金缴费较上年减少。</w:t>
      </w:r>
    </w:p>
    <w:p w14:paraId="7D519127">
      <w:pPr>
        <w:spacing w:line="640" w:lineRule="exact"/>
        <w:ind w:firstLine="640"/>
        <w:jc w:val="both"/>
        <w:outlineLvl w:val="2"/>
      </w:pPr>
      <w:r>
        <w:rPr>
          <w:rFonts w:ascii="黑体" w:hAnsi="黑体" w:eastAsia="黑体"/>
          <w:sz w:val="32"/>
        </w:rPr>
        <w:t>二、收入决算情况说明</w:t>
      </w:r>
    </w:p>
    <w:p w14:paraId="0EA4FA62">
      <w:pPr>
        <w:spacing w:line="580" w:lineRule="exact"/>
        <w:ind w:firstLine="640"/>
        <w:jc w:val="both"/>
      </w:pPr>
      <w:r>
        <w:rPr>
          <w:rFonts w:ascii="仿宋_GB2312" w:hAnsi="仿宋_GB2312" w:eastAsia="仿宋_GB2312"/>
          <w:b/>
          <w:sz w:val="32"/>
        </w:rPr>
        <w:t>本年收入40.50万元，</w:t>
      </w:r>
      <w:r>
        <w:rPr>
          <w:rFonts w:ascii="仿宋_GB2312" w:hAnsi="仿宋_GB2312" w:eastAsia="仿宋_GB2312"/>
          <w:b w:val="0"/>
          <w:sz w:val="32"/>
        </w:rPr>
        <w:t>其中：财政拨款收入40.50万元，占100.00%；上级补助收入0.00万元，占0.00%；事业收入0.00万元，占0.00%；经营收入0.00万元，占0.00%；附属单位上缴收入0.00万元，占0.00%；其他收入0.00万元，占0.00%。</w:t>
      </w:r>
    </w:p>
    <w:p w14:paraId="622D0C00">
      <w:pPr>
        <w:spacing w:line="640" w:lineRule="exact"/>
        <w:ind w:firstLine="640"/>
        <w:jc w:val="both"/>
        <w:outlineLvl w:val="2"/>
      </w:pPr>
      <w:r>
        <w:rPr>
          <w:rFonts w:ascii="黑体" w:hAnsi="黑体" w:eastAsia="黑体"/>
          <w:sz w:val="32"/>
        </w:rPr>
        <w:t>三、支出决算情况说明</w:t>
      </w:r>
    </w:p>
    <w:p w14:paraId="313703A6">
      <w:pPr>
        <w:spacing w:line="580" w:lineRule="exact"/>
        <w:ind w:firstLine="640"/>
        <w:jc w:val="both"/>
      </w:pPr>
      <w:r>
        <w:rPr>
          <w:rFonts w:ascii="仿宋_GB2312" w:hAnsi="仿宋_GB2312" w:eastAsia="仿宋_GB2312"/>
          <w:b/>
          <w:sz w:val="32"/>
        </w:rPr>
        <w:t>本年支出39.83万元，</w:t>
      </w:r>
      <w:r>
        <w:rPr>
          <w:rFonts w:ascii="仿宋_GB2312" w:hAnsi="仿宋_GB2312" w:eastAsia="仿宋_GB2312"/>
          <w:b w:val="0"/>
          <w:sz w:val="32"/>
        </w:rPr>
        <w:t>其中：基本支出39.83万元，占100.00%；项目支出0.00万元，占0.00%；上缴上级支出0.00万元，占0.00%；经营支出0.00万元，占0.00%；对附属单位补助支出0.00万元，占0.00%。</w:t>
      </w:r>
    </w:p>
    <w:p w14:paraId="2E1BA6FE">
      <w:pPr>
        <w:spacing w:line="640" w:lineRule="exact"/>
        <w:ind w:firstLine="640"/>
        <w:jc w:val="both"/>
        <w:outlineLvl w:val="2"/>
      </w:pPr>
      <w:r>
        <w:rPr>
          <w:rFonts w:ascii="黑体" w:hAnsi="黑体" w:eastAsia="黑体"/>
          <w:sz w:val="32"/>
        </w:rPr>
        <w:t>四、财政拨款收入支出决算总体情况说明</w:t>
      </w:r>
    </w:p>
    <w:p w14:paraId="26144085">
      <w:pPr>
        <w:spacing w:line="580" w:lineRule="exact"/>
        <w:ind w:firstLine="640"/>
        <w:jc w:val="both"/>
      </w:pPr>
      <w:r>
        <w:rPr>
          <w:rFonts w:ascii="仿宋_GB2312" w:hAnsi="仿宋_GB2312" w:eastAsia="仿宋_GB2312"/>
          <w:b/>
          <w:sz w:val="32"/>
        </w:rPr>
        <w:t>2024年度财政拨款收入总计41.25万元，</w:t>
      </w:r>
      <w:r>
        <w:rPr>
          <w:rFonts w:ascii="仿宋_GB2312" w:hAnsi="仿宋_GB2312" w:eastAsia="仿宋_GB2312"/>
          <w:b w:val="0"/>
          <w:sz w:val="32"/>
        </w:rPr>
        <w:t>其中：年初财政拨款结转和结余0.76万元，本年财政拨款收入40.50万元。</w:t>
      </w:r>
      <w:r>
        <w:rPr>
          <w:rFonts w:ascii="仿宋_GB2312" w:hAnsi="仿宋_GB2312" w:eastAsia="仿宋_GB2312"/>
          <w:b/>
          <w:sz w:val="32"/>
        </w:rPr>
        <w:t>财政拨款支出总计41.25万元，</w:t>
      </w:r>
      <w:r>
        <w:rPr>
          <w:rFonts w:ascii="仿宋_GB2312" w:hAnsi="仿宋_GB2312" w:eastAsia="仿宋_GB2312"/>
          <w:b w:val="0"/>
          <w:sz w:val="32"/>
        </w:rPr>
        <w:t>其中：年末财政拨款结转和结余1.43万元，本年财政拨款支出39.83万元。</w:t>
      </w:r>
    </w:p>
    <w:p w14:paraId="3F7FA4B0">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减少65.62万元，下降61.40%，主要原因是：</w:t>
      </w:r>
      <w:r>
        <w:rPr>
          <w:rFonts w:hint="eastAsia" w:ascii="仿宋_GB2312" w:hAnsi="仿宋_GB2312" w:eastAsia="仿宋_GB2312"/>
          <w:b w:val="0"/>
          <w:sz w:val="32"/>
          <w:lang w:val="en-US" w:eastAsia="zh-CN"/>
        </w:rPr>
        <w:t>一是</w:t>
      </w:r>
      <w:r>
        <w:rPr>
          <w:rFonts w:ascii="仿宋_GB2312" w:hAnsi="仿宋_GB2312" w:eastAsia="仿宋_GB2312"/>
          <w:b w:val="0"/>
          <w:sz w:val="32"/>
        </w:rPr>
        <w:t>本年减少临聘人员，临聘人员经费减少。</w:t>
      </w:r>
      <w:r>
        <w:rPr>
          <w:rFonts w:hint="eastAsia" w:ascii="仿宋_GB2312" w:hAnsi="仿宋_GB2312" w:eastAsia="仿宋_GB2312"/>
          <w:b w:val="0"/>
          <w:sz w:val="32"/>
          <w:lang w:val="en-US" w:eastAsia="zh-CN"/>
        </w:rPr>
        <w:t>二是</w:t>
      </w:r>
      <w:r>
        <w:rPr>
          <w:rFonts w:ascii="仿宋_GB2312" w:hAnsi="仿宋_GB2312" w:eastAsia="仿宋_GB2312"/>
          <w:b w:val="0"/>
          <w:sz w:val="32"/>
        </w:rPr>
        <w:t>上年补发人员奖金，本年无补发部分</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三是</w:t>
      </w:r>
      <w:r>
        <w:rPr>
          <w:rFonts w:ascii="仿宋_GB2312" w:hAnsi="仿宋_GB2312" w:eastAsia="仿宋_GB2312"/>
          <w:b w:val="0"/>
          <w:sz w:val="32"/>
        </w:rPr>
        <w:t>本年无新增退休人员，职业年金缴费较上年减少。</w:t>
      </w:r>
      <w:r>
        <w:rPr>
          <w:rFonts w:ascii="仿宋_GB2312" w:hAnsi="仿宋_GB2312" w:eastAsia="仿宋_GB2312"/>
          <w:b/>
          <w:sz w:val="32"/>
        </w:rPr>
        <w:t>与年初预算相比，</w:t>
      </w:r>
      <w:r>
        <w:rPr>
          <w:rFonts w:ascii="仿宋_GB2312" w:hAnsi="仿宋_GB2312" w:eastAsia="仿宋_GB2312"/>
          <w:b w:val="0"/>
          <w:sz w:val="32"/>
        </w:rPr>
        <w:t>年初预算数43.19万元，决算数41.25万元，预决算差异率-4.49%，主要原因是：严格落实中央八项规定精神，厉行节约，减少不必要的开支。</w:t>
      </w:r>
    </w:p>
    <w:p w14:paraId="0D9B47CE">
      <w:pPr>
        <w:spacing w:line="640" w:lineRule="exact"/>
        <w:ind w:firstLine="640"/>
        <w:jc w:val="both"/>
        <w:outlineLvl w:val="2"/>
      </w:pPr>
      <w:r>
        <w:rPr>
          <w:rFonts w:ascii="黑体" w:hAnsi="黑体" w:eastAsia="黑体"/>
          <w:sz w:val="32"/>
        </w:rPr>
        <w:t>五、一般公共预算财政拨款支出决算情况说明</w:t>
      </w:r>
    </w:p>
    <w:p w14:paraId="0349D942">
      <w:pPr>
        <w:spacing w:line="640" w:lineRule="exact"/>
        <w:ind w:firstLine="640"/>
        <w:jc w:val="both"/>
        <w:outlineLvl w:val="3"/>
      </w:pPr>
      <w:r>
        <w:rPr>
          <w:rFonts w:ascii="楷体_GB2312" w:hAnsi="楷体_GB2312" w:eastAsia="楷体_GB2312"/>
          <w:b/>
          <w:sz w:val="32"/>
        </w:rPr>
        <w:t>（一）一般公共预算财政拨款支出决算总体情况</w:t>
      </w:r>
    </w:p>
    <w:p w14:paraId="19D987AE">
      <w:pPr>
        <w:spacing w:line="580" w:lineRule="exact"/>
        <w:ind w:firstLine="640"/>
        <w:jc w:val="both"/>
      </w:pPr>
      <w:r>
        <w:rPr>
          <w:rFonts w:ascii="仿宋_GB2312" w:hAnsi="仿宋_GB2312" w:eastAsia="仿宋_GB2312"/>
          <w:b/>
          <w:sz w:val="32"/>
        </w:rPr>
        <w:t>2024年度一般公共预算财政拨款支出39.83万元，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减少60.44万元，下降60.28%，主要原因是：</w:t>
      </w:r>
      <w:r>
        <w:rPr>
          <w:rFonts w:hint="eastAsia" w:ascii="仿宋_GB2312" w:hAnsi="仿宋_GB2312" w:eastAsia="仿宋_GB2312"/>
          <w:b w:val="0"/>
          <w:sz w:val="32"/>
          <w:lang w:val="en-US" w:eastAsia="zh-CN"/>
        </w:rPr>
        <w:t>一是</w:t>
      </w:r>
      <w:r>
        <w:rPr>
          <w:rFonts w:ascii="仿宋_GB2312" w:hAnsi="仿宋_GB2312" w:eastAsia="仿宋_GB2312"/>
          <w:b w:val="0"/>
          <w:sz w:val="32"/>
        </w:rPr>
        <w:t>本年减少临聘人员，临聘人员经费减少。</w:t>
      </w:r>
      <w:r>
        <w:rPr>
          <w:rFonts w:hint="eastAsia" w:ascii="仿宋_GB2312" w:hAnsi="仿宋_GB2312" w:eastAsia="仿宋_GB2312"/>
          <w:b w:val="0"/>
          <w:sz w:val="32"/>
          <w:lang w:val="en-US" w:eastAsia="zh-CN"/>
        </w:rPr>
        <w:t>二是</w:t>
      </w:r>
      <w:r>
        <w:rPr>
          <w:rFonts w:ascii="仿宋_GB2312" w:hAnsi="仿宋_GB2312" w:eastAsia="仿宋_GB2312"/>
          <w:b w:val="0"/>
          <w:sz w:val="32"/>
        </w:rPr>
        <w:t>上年补发人员奖金，本年无补发部分</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三是</w:t>
      </w:r>
      <w:r>
        <w:rPr>
          <w:rFonts w:ascii="仿宋_GB2312" w:hAnsi="仿宋_GB2312" w:eastAsia="仿宋_GB2312"/>
          <w:b w:val="0"/>
          <w:sz w:val="32"/>
        </w:rPr>
        <w:t>本年无新增退休人员，职业年金缴费较上年减少。</w:t>
      </w:r>
      <w:r>
        <w:rPr>
          <w:rFonts w:ascii="仿宋_GB2312" w:hAnsi="仿宋_GB2312" w:eastAsia="仿宋_GB2312"/>
          <w:b/>
          <w:sz w:val="32"/>
        </w:rPr>
        <w:t>与年初预算相比,</w:t>
      </w:r>
      <w:r>
        <w:rPr>
          <w:rFonts w:ascii="仿宋_GB2312" w:hAnsi="仿宋_GB2312" w:eastAsia="仿宋_GB2312"/>
          <w:b w:val="0"/>
          <w:sz w:val="32"/>
        </w:rPr>
        <w:t>年初预算数43.19万元，决算数39.83万元，预决算差异率-7.78%，主要原因是：严格落实中央八项规定精神，厉行节约，减少不必要的开支。</w:t>
      </w:r>
    </w:p>
    <w:p w14:paraId="6CEB2099">
      <w:pPr>
        <w:spacing w:line="640" w:lineRule="exact"/>
        <w:ind w:firstLine="640"/>
        <w:jc w:val="both"/>
        <w:outlineLvl w:val="3"/>
      </w:pPr>
      <w:r>
        <w:rPr>
          <w:rFonts w:ascii="楷体_GB2312" w:hAnsi="楷体_GB2312" w:eastAsia="楷体_GB2312"/>
          <w:b/>
          <w:sz w:val="32"/>
        </w:rPr>
        <w:t>（二）一般公共预算财政拨款支出决算结构情况</w:t>
      </w:r>
    </w:p>
    <w:p w14:paraId="063D4476">
      <w:pPr>
        <w:spacing w:line="580" w:lineRule="exact"/>
        <w:ind w:firstLine="640"/>
        <w:jc w:val="both"/>
      </w:pPr>
      <w:r>
        <w:rPr>
          <w:rFonts w:ascii="仿宋_GB2312" w:hAnsi="仿宋_GB2312" w:eastAsia="仿宋_GB2312"/>
          <w:b w:val="0"/>
          <w:sz w:val="32"/>
        </w:rPr>
        <w:t>1.一般公共服务支出(类)35.87万元,占90.06%。</w:t>
      </w:r>
    </w:p>
    <w:p w14:paraId="138160DF">
      <w:pPr>
        <w:spacing w:line="580" w:lineRule="exact"/>
        <w:ind w:firstLine="640"/>
        <w:jc w:val="both"/>
      </w:pPr>
      <w:r>
        <w:rPr>
          <w:rFonts w:ascii="仿宋_GB2312" w:hAnsi="仿宋_GB2312" w:eastAsia="仿宋_GB2312"/>
          <w:b w:val="0"/>
          <w:sz w:val="32"/>
        </w:rPr>
        <w:t>2.社会保障和就业支出(类)3.95万元,占9.92%。</w:t>
      </w:r>
    </w:p>
    <w:p w14:paraId="678C353E">
      <w:pPr>
        <w:spacing w:line="640" w:lineRule="exact"/>
        <w:ind w:firstLine="640"/>
        <w:jc w:val="both"/>
        <w:outlineLvl w:val="3"/>
      </w:pPr>
      <w:r>
        <w:rPr>
          <w:rFonts w:ascii="楷体_GB2312" w:hAnsi="楷体_GB2312" w:eastAsia="楷体_GB2312"/>
          <w:b/>
          <w:sz w:val="32"/>
        </w:rPr>
        <w:t>（三）一般公共预算财政拨款支出决算具体情况</w:t>
      </w:r>
    </w:p>
    <w:p w14:paraId="1FB9B9C5">
      <w:pPr>
        <w:spacing w:line="580" w:lineRule="exact"/>
        <w:ind w:firstLine="640"/>
        <w:jc w:val="both"/>
      </w:pPr>
      <w:r>
        <w:rPr>
          <w:rFonts w:ascii="仿宋_GB2312" w:hAnsi="仿宋_GB2312" w:eastAsia="仿宋_GB2312"/>
          <w:b w:val="0"/>
          <w:sz w:val="32"/>
        </w:rPr>
        <w:t>1.一般公共服务支出(类)其他共产党事务支出(款)行政运行(项):支出决算数为35.87万元，比上年决算减少10.96万元，下降23.40%,主要原因是：上年补发人员奖金，本年无补发部分。</w:t>
      </w:r>
    </w:p>
    <w:p w14:paraId="3C4160BF">
      <w:pPr>
        <w:spacing w:line="580" w:lineRule="exact"/>
        <w:ind w:firstLine="640"/>
        <w:jc w:val="both"/>
      </w:pPr>
      <w:r>
        <w:rPr>
          <w:rFonts w:ascii="仿宋_GB2312" w:hAnsi="仿宋_GB2312" w:eastAsia="仿宋_GB2312"/>
          <w:b w:val="0"/>
          <w:sz w:val="32"/>
        </w:rPr>
        <w:t>2.一般公共服务支出(类)其他共产党事务支出(款)其他共产党事务支出(项):支出决算数为0.00万元，比上年决算减少43.18万元，下降100.00%,主要原因是：本年减少临聘人员，临聘人员经费减少。</w:t>
      </w:r>
    </w:p>
    <w:p w14:paraId="5D8D37FD">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3.95万元，比上年决算增加0.72万元，增长22.29%,主要原因是：本年在职人员工资基数调增，养老缴费基数上涨，相应支出增加。</w:t>
      </w:r>
    </w:p>
    <w:p w14:paraId="2BEBB659">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0.00万元，比上年决算减少7.02万元，下降100.00%,主要原因是：本年无新增退休人员，职业年金缴费较上年减少。</w:t>
      </w:r>
    </w:p>
    <w:p w14:paraId="506F173D">
      <w:pPr>
        <w:spacing w:line="640" w:lineRule="exact"/>
        <w:ind w:firstLine="640"/>
        <w:jc w:val="both"/>
        <w:outlineLvl w:val="2"/>
      </w:pPr>
      <w:r>
        <w:rPr>
          <w:rFonts w:ascii="黑体" w:hAnsi="黑体" w:eastAsia="黑体"/>
          <w:sz w:val="32"/>
        </w:rPr>
        <w:t>六、一般公共预算财政拨款基本支出决算情况说明</w:t>
      </w:r>
    </w:p>
    <w:p w14:paraId="2CBE351E">
      <w:pPr>
        <w:spacing w:line="580" w:lineRule="exact"/>
        <w:ind w:firstLine="640"/>
        <w:jc w:val="both"/>
      </w:pPr>
      <w:r>
        <w:rPr>
          <w:rFonts w:ascii="仿宋_GB2312" w:hAnsi="仿宋_GB2312" w:eastAsia="仿宋_GB2312"/>
          <w:b w:val="0"/>
          <w:sz w:val="32"/>
        </w:rPr>
        <w:t>2024年度一般公共预算财政拨款基本支出39.83万元，其中：</w:t>
      </w:r>
      <w:r>
        <w:rPr>
          <w:rFonts w:ascii="仿宋_GB2312" w:hAnsi="仿宋_GB2312" w:eastAsia="仿宋_GB2312"/>
          <w:b/>
          <w:sz w:val="32"/>
        </w:rPr>
        <w:t>人员经费38.30万元，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w:t>
      </w:r>
    </w:p>
    <w:p w14:paraId="3D32CF80">
      <w:pPr>
        <w:spacing w:line="580" w:lineRule="exact"/>
        <w:ind w:firstLine="640"/>
        <w:jc w:val="both"/>
      </w:pPr>
      <w:r>
        <w:rPr>
          <w:rFonts w:ascii="仿宋_GB2312" w:hAnsi="仿宋_GB2312" w:eastAsia="仿宋_GB2312"/>
          <w:b/>
          <w:sz w:val="32"/>
        </w:rPr>
        <w:t>公用经费1.52万元，</w:t>
      </w:r>
      <w:r>
        <w:rPr>
          <w:rFonts w:ascii="仿宋_GB2312" w:hAnsi="仿宋_GB2312" w:eastAsia="仿宋_GB2312"/>
          <w:b w:val="0"/>
          <w:sz w:val="32"/>
        </w:rPr>
        <w:t>包括：办公费、邮电费、其他交通费用。</w:t>
      </w:r>
    </w:p>
    <w:p w14:paraId="0952492D">
      <w:pPr>
        <w:spacing w:line="640" w:lineRule="exact"/>
        <w:ind w:firstLine="640"/>
        <w:jc w:val="both"/>
        <w:outlineLvl w:val="2"/>
      </w:pPr>
      <w:r>
        <w:rPr>
          <w:rFonts w:ascii="黑体" w:hAnsi="黑体" w:eastAsia="黑体"/>
          <w:sz w:val="32"/>
        </w:rPr>
        <w:t>七、政府性基金预算财政拨款收入支出决算情况说明</w:t>
      </w:r>
    </w:p>
    <w:p w14:paraId="7C62D472">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0832AFF">
      <w:pPr>
        <w:spacing w:line="640" w:lineRule="exact"/>
        <w:ind w:firstLine="640"/>
        <w:jc w:val="both"/>
        <w:outlineLvl w:val="2"/>
      </w:pPr>
      <w:r>
        <w:rPr>
          <w:rFonts w:ascii="黑体" w:hAnsi="黑体" w:eastAsia="黑体"/>
          <w:sz w:val="32"/>
        </w:rPr>
        <w:t>八、国有资本经营预算财政拨款收入支出决算情况说明</w:t>
      </w:r>
    </w:p>
    <w:p w14:paraId="43B5E108">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D452DB5">
      <w:pPr>
        <w:spacing w:line="640" w:lineRule="exact"/>
        <w:ind w:firstLine="640"/>
        <w:jc w:val="both"/>
        <w:outlineLvl w:val="2"/>
      </w:pPr>
      <w:r>
        <w:rPr>
          <w:rFonts w:ascii="黑体" w:hAnsi="黑体" w:eastAsia="黑体"/>
          <w:sz w:val="32"/>
        </w:rPr>
        <w:t>九、财政拨款“三公”经费支出决算情况说明</w:t>
      </w:r>
    </w:p>
    <w:p w14:paraId="2BA1BE9A">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64843136">
      <w:pPr>
        <w:spacing w:line="580" w:lineRule="exact"/>
        <w:ind w:firstLine="640"/>
        <w:jc w:val="both"/>
      </w:pPr>
      <w:r>
        <w:rPr>
          <w:rFonts w:ascii="仿宋_GB2312" w:hAnsi="仿宋_GB2312" w:eastAsia="仿宋_GB2312"/>
          <w:b/>
          <w:sz w:val="32"/>
        </w:rPr>
        <w:t>具体情况如下：</w:t>
      </w:r>
    </w:p>
    <w:p w14:paraId="4EDF4DB4">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B7D5E05">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0FABF5ED">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89E538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2E5BAC62">
      <w:pPr>
        <w:spacing w:line="640" w:lineRule="exact"/>
        <w:ind w:firstLine="640"/>
        <w:jc w:val="both"/>
        <w:outlineLvl w:val="2"/>
      </w:pPr>
      <w:r>
        <w:rPr>
          <w:rFonts w:ascii="黑体" w:hAnsi="黑体" w:eastAsia="黑体"/>
          <w:sz w:val="32"/>
        </w:rPr>
        <w:t>十、其他重要事项的情况说明</w:t>
      </w:r>
    </w:p>
    <w:p w14:paraId="0E303D10">
      <w:pPr>
        <w:spacing w:line="640" w:lineRule="exact"/>
        <w:ind w:firstLine="640"/>
        <w:jc w:val="both"/>
        <w:outlineLvl w:val="3"/>
      </w:pPr>
      <w:r>
        <w:rPr>
          <w:rFonts w:ascii="楷体_GB2312" w:hAnsi="楷体_GB2312" w:eastAsia="楷体_GB2312"/>
          <w:b/>
          <w:sz w:val="32"/>
        </w:rPr>
        <w:t>（一）机关运行经费及公用经费支出情况</w:t>
      </w:r>
    </w:p>
    <w:p w14:paraId="6FA4BB97">
      <w:pPr>
        <w:spacing w:line="580" w:lineRule="exact"/>
        <w:ind w:firstLine="640"/>
        <w:jc w:val="both"/>
      </w:pPr>
      <w:r>
        <w:rPr>
          <w:rFonts w:ascii="仿宋_GB2312" w:hAnsi="仿宋_GB2312" w:eastAsia="仿宋_GB2312"/>
          <w:b w:val="0"/>
          <w:sz w:val="32"/>
        </w:rPr>
        <w:t>2024年度中共乌鲁木齐市水磨沟区直属机关工作委员会（行政单位和参照公务员法管理事业单位）机关运行经费支出1.52万元，比上年增加0.15万元，增长10.95%，主要原因是：本年业务量增加，其他交通费增加。</w:t>
      </w:r>
    </w:p>
    <w:p w14:paraId="2AFA168A">
      <w:pPr>
        <w:spacing w:line="640" w:lineRule="exact"/>
        <w:ind w:firstLine="640"/>
        <w:jc w:val="both"/>
        <w:outlineLvl w:val="3"/>
      </w:pPr>
      <w:r>
        <w:rPr>
          <w:rFonts w:ascii="楷体_GB2312" w:hAnsi="楷体_GB2312" w:eastAsia="楷体_GB2312"/>
          <w:b/>
          <w:sz w:val="32"/>
        </w:rPr>
        <w:t>（二）政府采购情况</w:t>
      </w:r>
    </w:p>
    <w:p w14:paraId="48D04157">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0993CC39">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542DA5E1">
      <w:pPr>
        <w:spacing w:line="640" w:lineRule="exact"/>
        <w:ind w:firstLine="640"/>
        <w:jc w:val="both"/>
        <w:outlineLvl w:val="3"/>
      </w:pPr>
      <w:r>
        <w:rPr>
          <w:rFonts w:ascii="楷体_GB2312" w:hAnsi="楷体_GB2312" w:eastAsia="楷体_GB2312"/>
          <w:b/>
          <w:sz w:val="32"/>
        </w:rPr>
        <w:t>（三）国有资产占用情况说明</w:t>
      </w:r>
    </w:p>
    <w:p w14:paraId="7F48A381">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3FCAB2B2">
      <w:pPr>
        <w:spacing w:line="640" w:lineRule="exact"/>
        <w:ind w:firstLine="640"/>
        <w:jc w:val="both"/>
        <w:outlineLvl w:val="2"/>
      </w:pPr>
      <w:r>
        <w:rPr>
          <w:rFonts w:ascii="黑体" w:hAnsi="黑体" w:eastAsia="黑体"/>
          <w:sz w:val="32"/>
        </w:rPr>
        <w:t>十一、预算绩效的情况说明</w:t>
      </w:r>
    </w:p>
    <w:p w14:paraId="6B88DE88">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41.25万元，实际执行总额39.83万元；预算绩效评价项目0个，全年预算数0.00万元，全年执行数0.00万元。预算绩效管理取得的成效：一是研究制定《2025年区直机关党的建设工作要点》，机关党的建设责任清单、任务清单、负面清单，党建工作培训计划。二是制定《2025年度机关党建工作督导清单》，坚持每季度对机关党建业务进行一次全覆盖检查。三是组织召开2024年度区直机关党组织书记抓基层党建工作述职评议考核会议。抓党支部规范化标准化建设，进一步发挥基层党支部战斗堡垒作用。发现的问题及原因：整体支出绩效在执行过程中目标设定不够细化，过于基础，在日后目标设定工作中应结合相关工作具体实际，合理设定项目目标。下一步改进措施：明确区委直属机关工委工作人员标准，如果因不可抗拒因素需要更换区委直属机关工委专干，新专干需要接受为期3天的业务培训。具体附整体支出绩效自评表。</w:t>
      </w:r>
    </w:p>
    <w:p w14:paraId="637505EE">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6A4F89D4">
        <w:tblPrEx>
          <w:tblCellMar>
            <w:top w:w="0" w:type="dxa"/>
            <w:left w:w="108" w:type="dxa"/>
            <w:bottom w:w="0" w:type="dxa"/>
            <w:right w:w="108" w:type="dxa"/>
          </w:tblCellMar>
        </w:tblPrEx>
        <w:tc>
          <w:tcPr>
            <w:tcW w:w="8840" w:type="dxa"/>
            <w:gridSpan w:val="8"/>
            <w:vAlign w:val="center"/>
          </w:tcPr>
          <w:p w14:paraId="7E410ED4">
            <w:pPr>
              <w:jc w:val="center"/>
            </w:pPr>
            <w:r>
              <w:rPr>
                <w:rFonts w:ascii="宋体" w:hAnsi="宋体" w:eastAsia="宋体"/>
                <w:sz w:val="24"/>
              </w:rPr>
              <w:t>单位整体支出绩效自评表</w:t>
            </w:r>
          </w:p>
        </w:tc>
      </w:tr>
      <w:tr w14:paraId="2AFCA2F4">
        <w:tblPrEx>
          <w:tblCellMar>
            <w:top w:w="0" w:type="dxa"/>
            <w:left w:w="108" w:type="dxa"/>
            <w:bottom w:w="0" w:type="dxa"/>
            <w:right w:w="108" w:type="dxa"/>
          </w:tblCellMar>
        </w:tblPrEx>
        <w:tc>
          <w:tcPr>
            <w:tcW w:w="8840" w:type="dxa"/>
            <w:gridSpan w:val="8"/>
            <w:vAlign w:val="center"/>
          </w:tcPr>
          <w:p w14:paraId="52E09F11">
            <w:pPr>
              <w:jc w:val="center"/>
            </w:pPr>
            <w:r>
              <w:rPr>
                <w:rFonts w:ascii="宋体" w:hAnsi="宋体" w:eastAsia="宋体"/>
                <w:sz w:val="24"/>
              </w:rPr>
              <w:t>（2024年度）</w:t>
            </w:r>
          </w:p>
        </w:tc>
      </w:tr>
      <w:tr w14:paraId="22821173">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9E4F4F">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956B8F">
            <w:pPr>
              <w:jc w:val="center"/>
            </w:pPr>
            <w:r>
              <w:rPr>
                <w:rFonts w:ascii="宋体" w:hAnsi="宋体" w:eastAsia="宋体"/>
                <w:sz w:val="16"/>
              </w:rPr>
              <w:t>中共乌鲁木齐市水磨沟区直属机关工作委员会</w:t>
            </w:r>
          </w:p>
        </w:tc>
      </w:tr>
      <w:tr w14:paraId="0C7EE62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B98368">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B692B6">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F3DB92">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C0A875">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D796F4">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77D6D8">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4AFB6E">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C35390">
            <w:pPr>
              <w:jc w:val="center"/>
            </w:pPr>
            <w:r>
              <w:rPr>
                <w:rFonts w:ascii="宋体" w:hAnsi="宋体" w:eastAsia="宋体"/>
                <w:sz w:val="16"/>
              </w:rPr>
              <w:t>得分</w:t>
            </w:r>
          </w:p>
        </w:tc>
      </w:tr>
      <w:tr w14:paraId="3461B20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9EC54B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21E525">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15B728">
            <w:pPr>
              <w:jc w:val="center"/>
            </w:pPr>
            <w:r>
              <w:rPr>
                <w:rFonts w:ascii="宋体" w:hAnsi="宋体" w:eastAsia="宋体"/>
                <w:sz w:val="16"/>
              </w:rPr>
              <w:t>43.19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45AB70">
            <w:pPr>
              <w:jc w:val="center"/>
            </w:pPr>
            <w:r>
              <w:rPr>
                <w:rFonts w:ascii="宋体" w:hAnsi="宋体" w:eastAsia="宋体"/>
                <w:sz w:val="16"/>
              </w:rPr>
              <w:t>41.25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8E2D74">
            <w:pPr>
              <w:jc w:val="center"/>
            </w:pPr>
            <w:r>
              <w:rPr>
                <w:rFonts w:ascii="宋体" w:hAnsi="宋体" w:eastAsia="宋体"/>
                <w:sz w:val="16"/>
              </w:rPr>
              <w:t>39.83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E59BFB">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1DE486">
            <w:pPr>
              <w:jc w:val="center"/>
            </w:pPr>
            <w:r>
              <w:rPr>
                <w:rFonts w:ascii="宋体" w:hAnsi="宋体" w:eastAsia="宋体"/>
                <w:sz w:val="16"/>
              </w:rPr>
              <w:t>96.56%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772486">
            <w:pPr>
              <w:jc w:val="center"/>
              <w:rPr>
                <w:rFonts w:hint="eastAsia" w:eastAsia="宋体"/>
                <w:lang w:val="en-US" w:eastAsia="zh-CN"/>
              </w:rPr>
            </w:pPr>
            <w:r>
              <w:rPr>
                <w:rFonts w:ascii="宋体" w:hAnsi="宋体" w:eastAsia="宋体"/>
                <w:sz w:val="16"/>
              </w:rPr>
              <w:t>9.6</w:t>
            </w:r>
            <w:r>
              <w:rPr>
                <w:rFonts w:hint="eastAsia" w:ascii="宋体" w:hAnsi="宋体"/>
                <w:sz w:val="16"/>
                <w:lang w:val="en-US" w:eastAsia="zh-CN"/>
              </w:rPr>
              <w:t>6</w:t>
            </w:r>
          </w:p>
        </w:tc>
      </w:tr>
      <w:tr w14:paraId="030FCF8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99C092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F460C6">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6DA6B2">
            <w:pPr>
              <w:jc w:val="center"/>
            </w:pPr>
            <w:r>
              <w:rPr>
                <w:rFonts w:ascii="宋体" w:hAnsi="宋体" w:eastAsia="宋体"/>
                <w:sz w:val="16"/>
              </w:rPr>
              <w:t>0.42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1D4C94">
            <w:pPr>
              <w:jc w:val="center"/>
            </w:pPr>
            <w:r>
              <w:rPr>
                <w:rFonts w:ascii="宋体" w:hAnsi="宋体" w:eastAsia="宋体"/>
                <w:sz w:val="16"/>
              </w:rPr>
              <w:t>0.42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F35E7A">
            <w:pPr>
              <w:jc w:val="center"/>
            </w:pPr>
            <w:r>
              <w:rPr>
                <w:rFonts w:ascii="宋体" w:hAnsi="宋体" w:eastAsia="宋体"/>
                <w:sz w:val="16"/>
              </w:rPr>
              <w:t>0.20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CB6C3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14B2C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694625">
            <w:pPr>
              <w:jc w:val="center"/>
            </w:pPr>
            <w:r>
              <w:rPr>
                <w:rFonts w:ascii="宋体" w:hAnsi="宋体" w:eastAsia="宋体"/>
                <w:sz w:val="16"/>
              </w:rPr>
              <w:t>-</w:t>
            </w:r>
          </w:p>
        </w:tc>
      </w:tr>
      <w:tr w14:paraId="0E8D549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6E5201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9A8471">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C31550">
            <w:pPr>
              <w:jc w:val="center"/>
            </w:pPr>
            <w:r>
              <w:rPr>
                <w:rFonts w:ascii="宋体" w:hAnsi="宋体" w:eastAsia="宋体"/>
                <w:sz w:val="16"/>
              </w:rPr>
              <w:t>42.77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73D6B7">
            <w:pPr>
              <w:jc w:val="center"/>
            </w:pPr>
            <w:r>
              <w:rPr>
                <w:rFonts w:ascii="宋体" w:hAnsi="宋体" w:eastAsia="宋体"/>
                <w:sz w:val="16"/>
              </w:rPr>
              <w:t>40.83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32E2DB">
            <w:pPr>
              <w:jc w:val="center"/>
            </w:pPr>
            <w:r>
              <w:rPr>
                <w:rFonts w:ascii="宋体" w:hAnsi="宋体" w:eastAsia="宋体"/>
                <w:sz w:val="16"/>
              </w:rPr>
              <w:t>39.63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688AD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C8E52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905EB2">
            <w:pPr>
              <w:jc w:val="center"/>
            </w:pPr>
            <w:r>
              <w:rPr>
                <w:rFonts w:ascii="宋体" w:hAnsi="宋体" w:eastAsia="宋体"/>
                <w:sz w:val="16"/>
              </w:rPr>
              <w:t>-</w:t>
            </w:r>
          </w:p>
        </w:tc>
      </w:tr>
      <w:tr w14:paraId="2066A77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2B60CD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ACC7D7">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D1B10A">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4AD466">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429C0A">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3A934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FC6B4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B4910D">
            <w:pPr>
              <w:jc w:val="center"/>
            </w:pPr>
            <w:r>
              <w:rPr>
                <w:rFonts w:ascii="宋体" w:hAnsi="宋体" w:eastAsia="宋体"/>
                <w:sz w:val="16"/>
              </w:rPr>
              <w:t>-</w:t>
            </w:r>
          </w:p>
        </w:tc>
      </w:tr>
      <w:tr w14:paraId="325E2754">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887143">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F9565E2">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127ADA9">
            <w:pPr>
              <w:jc w:val="center"/>
            </w:pPr>
            <w:r>
              <w:rPr>
                <w:rFonts w:ascii="宋体" w:hAnsi="宋体" w:eastAsia="宋体"/>
                <w:sz w:val="16"/>
              </w:rPr>
              <w:t>实际完成情况</w:t>
            </w:r>
          </w:p>
        </w:tc>
      </w:tr>
      <w:tr w14:paraId="453DAD6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661D6E6"/>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818AD17">
            <w:pPr>
              <w:jc w:val="both"/>
            </w:pPr>
            <w:r>
              <w:rPr>
                <w:rFonts w:hint="eastAsia" w:ascii="宋体" w:hAnsi="宋体"/>
                <w:sz w:val="16"/>
                <w:lang w:eastAsia="zh-CN"/>
              </w:rPr>
              <w:t>1.在</w:t>
            </w:r>
            <w:r>
              <w:rPr>
                <w:rFonts w:ascii="宋体" w:hAnsi="宋体" w:eastAsia="宋体"/>
                <w:sz w:val="16"/>
              </w:rPr>
              <w:t>深入</w:t>
            </w:r>
            <w:r>
              <w:rPr>
                <w:rFonts w:hint="eastAsia" w:ascii="宋体" w:hAnsi="宋体"/>
                <w:sz w:val="16"/>
                <w:lang w:eastAsia="zh-CN"/>
              </w:rPr>
              <w:t>学习贯彻党的二十大精神</w:t>
            </w:r>
            <w:r>
              <w:rPr>
                <w:rFonts w:ascii="宋体" w:hAnsi="宋体" w:eastAsia="宋体"/>
                <w:sz w:val="16"/>
              </w:rPr>
              <w:t>方面。要把学习习近平新时代中国特色社会主义思想和党的二十大精神作为工委理论学习中心组的必修</w:t>
            </w:r>
            <w:r>
              <w:rPr>
                <w:rFonts w:hint="eastAsia" w:ascii="宋体" w:hAnsi="宋体"/>
                <w:sz w:val="16"/>
                <w:lang w:eastAsia="zh-CN"/>
              </w:rPr>
              <w:t>课</w:t>
            </w:r>
            <w:r>
              <w:rPr>
                <w:rFonts w:ascii="宋体" w:hAnsi="宋体" w:eastAsia="宋体"/>
                <w:sz w:val="16"/>
              </w:rPr>
              <w:t>，全年专题集体学习不少于4次；机关基层党组织召开党员大会、开展主题党日，首先安排至少1小时时间专题学习党的创新理论；灵活组织闭卷理论测试、学习小组竞赛、知识问答比赛、理论文章征集等活动，以督促学、以督促效。</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锻造坚强有力的机关基层党组织方面。督促机关党支部严格落实“三会一课”、“党旗映天山”主题党日、民主评议党员、组织生活等党内制度，严格按规定落实机关党建工作经费，并列入本单位部门预算，切实保障好“三会一课”、主题党日、党员和入党积极分子教育培训、学习调研等党组织活动正常开展，抓实党支部书记抓基层党建述职评议考核工作，高度重视各级巡视巡察反馈问题整改，继续实行互学互促、季度督查等机制。</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3、巩固发展风清气正良好政治生态</w:t>
            </w:r>
            <w:r>
              <w:rPr>
                <w:rFonts w:hint="eastAsia" w:ascii="宋体" w:hAnsi="宋体"/>
                <w:sz w:val="16"/>
                <w:lang w:eastAsia="zh-CN"/>
              </w:rPr>
              <w:t>，在</w:t>
            </w:r>
            <w:r>
              <w:rPr>
                <w:rFonts w:ascii="宋体" w:hAnsi="宋体" w:eastAsia="宋体"/>
                <w:sz w:val="16"/>
              </w:rPr>
              <w:t>落实管党治党主体责任方面</w:t>
            </w:r>
            <w:bookmarkStart w:id="0" w:name="_GoBack"/>
            <w:bookmarkEnd w:id="0"/>
            <w:r>
              <w:rPr>
                <w:rFonts w:hint="eastAsia" w:ascii="宋体" w:hAnsi="宋体"/>
                <w:sz w:val="16"/>
                <w:lang w:eastAsia="zh-CN"/>
              </w:rPr>
              <w:t>，</w:t>
            </w:r>
            <w:r>
              <w:rPr>
                <w:rFonts w:ascii="宋体" w:hAnsi="宋体" w:eastAsia="宋体"/>
                <w:sz w:val="16"/>
              </w:rPr>
              <w:t>抓好经常性纪律教育，将党纪党规、法律法规作为理论学习中心组、党支部学习和党员干部培训的重要内容，对机关新入职党员干部及时开展纪律教育和廉政教育，对新任职党员干部及时进行廉政谈话，加大述职评议指出问题整改落实情况督促检查，推动述出责任、评出压力、考出成效。机关工委坚持每季度开展机关党的建设专项督查。</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C2DB12">
            <w:pPr>
              <w:jc w:val="both"/>
            </w:pPr>
            <w:r>
              <w:rPr>
                <w:rFonts w:ascii="宋体" w:hAnsi="宋体" w:eastAsia="宋体"/>
                <w:sz w:val="16"/>
              </w:rPr>
              <w:t>（一）抓全面从严治党，进一步提升基层党组织战斗能力。一是研究制定《2024年区直机关党的建设工作要点》，机关党的建设责任清单、任务清单、负面清单，党建工作培训计划。二是制定《2024年度机关党建工作督导清单》，坚持每季度对机关党建业务进行一次全覆盖检查。三是组织召开2023年度区直机关党组织书记抓基层党建工作述职评议考核会议。</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（二）抓党支部规范化标准化建设，进一步发挥基层党支部战斗堡垒作用。一是进一步优化机关党支部设置。二是选树5个党支部为创建“五个好”党支部示范点，以点带面推动机关党建提质增效。</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抓党员干部能力提升，进一步发挥模范引领作用。一是把学习习近平新时代中国特色社会主义思想和党的二十大精神摆在最突出位置。二是开展“三学三亮三比”争当先锋行动，积极开展创建党员先锋岗、争当服务群众标兵、党员承诺践诺等活动。</w:t>
            </w:r>
          </w:p>
        </w:tc>
      </w:tr>
      <w:tr w14:paraId="08F5213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E6CCBB">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62CFA3">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AB25E5">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6F2F3E">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E353AA">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8E3A1C">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4F90EE">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97966A">
            <w:pPr>
              <w:jc w:val="center"/>
            </w:pPr>
            <w:r>
              <w:rPr>
                <w:rFonts w:ascii="宋体" w:hAnsi="宋体" w:eastAsia="宋体"/>
                <w:sz w:val="16"/>
              </w:rPr>
              <w:t>得分</w:t>
            </w:r>
          </w:p>
        </w:tc>
      </w:tr>
      <w:tr w14:paraId="63DB5D21">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AAB9D2">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76219F">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C0AFCA">
            <w:pPr>
              <w:jc w:val="center"/>
            </w:pPr>
            <w:r>
              <w:rPr>
                <w:rFonts w:ascii="宋体" w:hAnsi="宋体" w:eastAsia="宋体"/>
                <w:sz w:val="16"/>
              </w:rPr>
              <w:t>开展主题党日次数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B43D96">
            <w:pPr>
              <w:jc w:val="center"/>
            </w:pPr>
            <w:r>
              <w:rPr>
                <w:rFonts w:ascii="宋体" w:hAnsi="宋体" w:eastAsia="宋体"/>
                <w:sz w:val="16"/>
              </w:rPr>
              <w:t>&gt;=10次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48C10E">
            <w:pPr>
              <w:jc w:val="center"/>
            </w:pPr>
            <w:r>
              <w:rPr>
                <w:rFonts w:ascii="宋体" w:hAnsi="宋体" w:eastAsia="宋体"/>
                <w:sz w:val="16"/>
              </w:rPr>
              <w:t>《党和国家机关基层组织条例》</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EB07CC">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07DD6D">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CBED61">
            <w:pPr>
              <w:jc w:val="center"/>
            </w:pPr>
            <w:r>
              <w:rPr>
                <w:rFonts w:ascii="宋体" w:hAnsi="宋体" w:eastAsia="宋体"/>
                <w:sz w:val="16"/>
              </w:rPr>
              <w:t>30</w:t>
            </w:r>
          </w:p>
        </w:tc>
      </w:tr>
      <w:tr w14:paraId="4606145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40EE2CE"/>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8AA3F1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CFAA38">
            <w:pPr>
              <w:jc w:val="center"/>
            </w:pPr>
            <w:r>
              <w:rPr>
                <w:rFonts w:ascii="宋体" w:hAnsi="宋体" w:eastAsia="宋体"/>
                <w:sz w:val="16"/>
              </w:rPr>
              <w:t>创建水磨沟区级“五个好”党支部个数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85D9A5">
            <w:pPr>
              <w:jc w:val="center"/>
            </w:pPr>
            <w:r>
              <w:rPr>
                <w:rFonts w:ascii="宋体" w:hAnsi="宋体" w:eastAsia="宋体"/>
                <w:sz w:val="16"/>
              </w:rPr>
              <w:t>&gt;=5个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738AE6">
            <w:pPr>
              <w:jc w:val="center"/>
            </w:pPr>
            <w:r>
              <w:rPr>
                <w:rFonts w:ascii="宋体" w:hAnsi="宋体" w:eastAsia="宋体"/>
                <w:sz w:val="16"/>
              </w:rPr>
              <w:t>《水磨沟区直机关工委2024年工作计划》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59D29A">
            <w:pPr>
              <w:jc w:val="center"/>
            </w:pPr>
            <w:r>
              <w:rPr>
                <w:rFonts w:ascii="宋体" w:hAnsi="宋体" w:eastAsia="宋体"/>
                <w:sz w:val="16"/>
              </w:rPr>
              <w:t>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BFFAEB">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2BA63A">
            <w:pPr>
              <w:jc w:val="center"/>
            </w:pPr>
            <w:r>
              <w:rPr>
                <w:rFonts w:ascii="宋体" w:hAnsi="宋体" w:eastAsia="宋体"/>
                <w:sz w:val="16"/>
              </w:rPr>
              <w:t>30</w:t>
            </w:r>
          </w:p>
        </w:tc>
      </w:tr>
      <w:tr w14:paraId="04149D2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6E8AF8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4188F9">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ECC101">
            <w:pPr>
              <w:jc w:val="center"/>
            </w:pPr>
            <w:r>
              <w:rPr>
                <w:rFonts w:ascii="宋体" w:hAnsi="宋体" w:eastAsia="宋体"/>
                <w:sz w:val="16"/>
              </w:rPr>
              <w:t>党建检查覆盖率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A68710">
            <w:pPr>
              <w:jc w:val="center"/>
            </w:pPr>
            <w:r>
              <w:rPr>
                <w:rFonts w:ascii="宋体" w:hAnsi="宋体" w:eastAsia="宋体"/>
                <w:sz w:val="16"/>
              </w:rPr>
              <w:t>&gt;=99%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C1D732">
            <w:pPr>
              <w:jc w:val="center"/>
            </w:pPr>
            <w:r>
              <w:rPr>
                <w:rFonts w:ascii="宋体" w:hAnsi="宋体" w:eastAsia="宋体"/>
                <w:sz w:val="16"/>
              </w:rPr>
              <w:t>《水磨沟区直机关工委2024年工作计划》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A476E9">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4B32BF">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F1B096">
            <w:pPr>
              <w:jc w:val="center"/>
            </w:pPr>
            <w:r>
              <w:rPr>
                <w:rFonts w:ascii="宋体" w:hAnsi="宋体" w:eastAsia="宋体"/>
                <w:sz w:val="16"/>
              </w:rPr>
              <w:t>30</w:t>
            </w:r>
          </w:p>
        </w:tc>
      </w:tr>
    </w:tbl>
    <w:p w14:paraId="1E7069AA">
      <w:r>
        <w:br w:type="page"/>
      </w:r>
    </w:p>
    <w:p w14:paraId="5D67DA42">
      <w:pPr>
        <w:spacing w:line="640" w:lineRule="exact"/>
        <w:ind w:firstLine="640"/>
        <w:jc w:val="both"/>
        <w:outlineLvl w:val="2"/>
      </w:pPr>
      <w:r>
        <w:rPr>
          <w:rFonts w:ascii="黑体" w:hAnsi="黑体" w:eastAsia="黑体"/>
          <w:sz w:val="32"/>
        </w:rPr>
        <w:t>十二、其他需说明的事项</w:t>
      </w:r>
    </w:p>
    <w:p w14:paraId="0EA08DEC">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0A2CA101">
      <w:r>
        <w:br w:type="page"/>
      </w:r>
    </w:p>
    <w:p w14:paraId="2872935F">
      <w:pPr>
        <w:spacing w:line="240" w:lineRule="auto"/>
        <w:jc w:val="center"/>
        <w:outlineLvl w:val="1"/>
      </w:pPr>
      <w:r>
        <w:rPr>
          <w:rFonts w:ascii="黑体" w:hAnsi="黑体" w:eastAsia="黑体"/>
          <w:sz w:val="32"/>
        </w:rPr>
        <w:t>第三部分 专业名词解释</w:t>
      </w:r>
    </w:p>
    <w:p w14:paraId="77C9ED34">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FBC8AAE">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DAD388C">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5869B9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05468C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C9BCD1D">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DAE20F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394153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3790E1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199D3D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16409B8">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A9E1D0F">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9CDC9A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D55776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A22C331">
      <w:r>
        <w:br w:type="page"/>
      </w:r>
    </w:p>
    <w:p w14:paraId="005A39BB">
      <w:pPr>
        <w:spacing w:line="240" w:lineRule="auto"/>
        <w:jc w:val="center"/>
        <w:outlineLvl w:val="1"/>
      </w:pPr>
      <w:r>
        <w:rPr>
          <w:rFonts w:ascii="黑体" w:hAnsi="黑体" w:eastAsia="黑体"/>
          <w:sz w:val="32"/>
        </w:rPr>
        <w:t>第四部分 部门决算报表（见附表）</w:t>
      </w:r>
    </w:p>
    <w:p w14:paraId="28AFDE9F">
      <w:pPr>
        <w:spacing w:line="240" w:lineRule="auto"/>
        <w:ind w:firstLine="640"/>
        <w:jc w:val="both"/>
      </w:pPr>
      <w:r>
        <w:rPr>
          <w:rFonts w:ascii="仿宋_GB2312" w:hAnsi="仿宋_GB2312" w:eastAsia="仿宋_GB2312"/>
          <w:b w:val="0"/>
          <w:sz w:val="32"/>
        </w:rPr>
        <w:t>一、《收入支出决算总表》</w:t>
      </w:r>
    </w:p>
    <w:p w14:paraId="47067EBD">
      <w:pPr>
        <w:spacing w:line="240" w:lineRule="auto"/>
        <w:ind w:firstLine="640"/>
        <w:jc w:val="both"/>
      </w:pPr>
      <w:r>
        <w:rPr>
          <w:rFonts w:ascii="仿宋_GB2312" w:hAnsi="仿宋_GB2312" w:eastAsia="仿宋_GB2312"/>
          <w:b w:val="0"/>
          <w:sz w:val="32"/>
        </w:rPr>
        <w:t>二、《收入决算表》</w:t>
      </w:r>
    </w:p>
    <w:p w14:paraId="44293E43">
      <w:pPr>
        <w:spacing w:line="240" w:lineRule="auto"/>
        <w:ind w:firstLine="640"/>
        <w:jc w:val="both"/>
      </w:pPr>
      <w:r>
        <w:rPr>
          <w:rFonts w:ascii="仿宋_GB2312" w:hAnsi="仿宋_GB2312" w:eastAsia="仿宋_GB2312"/>
          <w:b w:val="0"/>
          <w:sz w:val="32"/>
        </w:rPr>
        <w:t>三、《支出决算表》</w:t>
      </w:r>
    </w:p>
    <w:p w14:paraId="5E7E7EBB">
      <w:pPr>
        <w:spacing w:line="240" w:lineRule="auto"/>
        <w:ind w:firstLine="640"/>
        <w:jc w:val="both"/>
      </w:pPr>
      <w:r>
        <w:rPr>
          <w:rFonts w:ascii="仿宋_GB2312" w:hAnsi="仿宋_GB2312" w:eastAsia="仿宋_GB2312"/>
          <w:b w:val="0"/>
          <w:sz w:val="32"/>
        </w:rPr>
        <w:t>四、《财政拨款收入支出决算总表》</w:t>
      </w:r>
    </w:p>
    <w:p w14:paraId="13A5CD71">
      <w:pPr>
        <w:spacing w:line="240" w:lineRule="auto"/>
        <w:ind w:firstLine="640"/>
        <w:jc w:val="both"/>
      </w:pPr>
      <w:r>
        <w:rPr>
          <w:rFonts w:ascii="仿宋_GB2312" w:hAnsi="仿宋_GB2312" w:eastAsia="仿宋_GB2312"/>
          <w:b w:val="0"/>
          <w:sz w:val="32"/>
        </w:rPr>
        <w:t>五、《一般公共预算财政拨款支出决算表》</w:t>
      </w:r>
    </w:p>
    <w:p w14:paraId="2D56A072">
      <w:pPr>
        <w:spacing w:line="240" w:lineRule="auto"/>
        <w:ind w:firstLine="640"/>
        <w:jc w:val="both"/>
      </w:pPr>
      <w:r>
        <w:rPr>
          <w:rFonts w:ascii="仿宋_GB2312" w:hAnsi="仿宋_GB2312" w:eastAsia="仿宋_GB2312"/>
          <w:b w:val="0"/>
          <w:sz w:val="32"/>
        </w:rPr>
        <w:t>六、《一般公共预算财政拨款基本支出决算表》</w:t>
      </w:r>
    </w:p>
    <w:p w14:paraId="7A058A22">
      <w:pPr>
        <w:spacing w:line="240" w:lineRule="auto"/>
        <w:ind w:firstLine="640"/>
        <w:jc w:val="both"/>
      </w:pPr>
      <w:r>
        <w:rPr>
          <w:rFonts w:ascii="仿宋_GB2312" w:hAnsi="仿宋_GB2312" w:eastAsia="仿宋_GB2312"/>
          <w:b w:val="0"/>
          <w:sz w:val="32"/>
        </w:rPr>
        <w:t>七、《政府性基金预算财政拨款收入支出决算表》</w:t>
      </w:r>
    </w:p>
    <w:p w14:paraId="6327E52C">
      <w:pPr>
        <w:spacing w:line="240" w:lineRule="auto"/>
        <w:ind w:firstLine="640"/>
        <w:jc w:val="both"/>
      </w:pPr>
      <w:r>
        <w:rPr>
          <w:rFonts w:ascii="仿宋_GB2312" w:hAnsi="仿宋_GB2312" w:eastAsia="仿宋_GB2312"/>
          <w:b w:val="0"/>
          <w:sz w:val="32"/>
        </w:rPr>
        <w:t>八、《国有资本经营预算财政拨款收入支出决算表》</w:t>
      </w:r>
    </w:p>
    <w:p w14:paraId="490EE573">
      <w:pPr>
        <w:spacing w:line="240" w:lineRule="auto"/>
        <w:ind w:firstLine="640"/>
        <w:jc w:val="both"/>
      </w:pPr>
      <w:r>
        <w:rPr>
          <w:rFonts w:ascii="仿宋_GB2312" w:hAnsi="仿宋_GB2312" w:eastAsia="仿宋_GB2312"/>
          <w:b w:val="0"/>
          <w:sz w:val="32"/>
        </w:rPr>
        <w:t>九、《财政拨款“三公”经费支出决算表》</w:t>
      </w:r>
    </w:p>
    <w:p w14:paraId="48472863">
      <w:pPr>
        <w:spacing w:line="240" w:lineRule="auto"/>
        <w:ind w:firstLine="640"/>
        <w:jc w:val="both"/>
      </w:pPr>
    </w:p>
    <w:p w14:paraId="5DCEA5E1">
      <w:pPr>
        <w:spacing w:line="240" w:lineRule="auto"/>
        <w:ind w:firstLine="640"/>
        <w:jc w:val="both"/>
      </w:pPr>
    </w:p>
    <w:p w14:paraId="6B1A177E">
      <w:pPr>
        <w:spacing w:line="240" w:lineRule="auto"/>
        <w:ind w:firstLine="640"/>
        <w:jc w:val="both"/>
      </w:pPr>
    </w:p>
    <w:p w14:paraId="4D3A23EB">
      <w:pPr>
        <w:spacing w:line="240" w:lineRule="auto"/>
        <w:ind w:firstLine="640"/>
        <w:jc w:val="both"/>
      </w:pPr>
    </w:p>
    <w:p w14:paraId="6A8100E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B34ADB-93D3-47D2-85C4-233604BD63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7B6AE893-8E0E-4D45-96AF-FB3D7D9FEE84}"/>
  </w:font>
  <w:font w:name="仿宋_GB2312">
    <w:panose1 w:val="02010609030101010101"/>
    <w:charset w:val="86"/>
    <w:family w:val="modern"/>
    <w:pitch w:val="default"/>
    <w:sig w:usb0="00000001" w:usb1="080E0000" w:usb2="00000000" w:usb3="00000000" w:csb0="00040000" w:csb1="00000000"/>
    <w:embedRegular r:id="rId3" w:fontKey="{5B1CE7FA-4ED1-4215-8901-73C9AD55E1D9}"/>
  </w:font>
  <w:font w:name="楷体_GB2312">
    <w:panose1 w:val="02010609030101010101"/>
    <w:charset w:val="86"/>
    <w:family w:val="auto"/>
    <w:pitch w:val="default"/>
    <w:sig w:usb0="00000001" w:usb1="080E0000" w:usb2="00000000" w:usb3="00000000" w:csb0="00040000" w:csb1="00000000"/>
    <w:embedRegular r:id="rId4" w:fontKey="{AA2EBE0C-B8A6-4DD3-ADF3-91FCA6C382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0521D18"/>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98365D8"/>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5093F76"/>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8A0ADE"/>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e0e8e941-f428-44e7-8021-a4afbeee9c1d</errorID>
      <errorWord>,</errorWord>
      <group>L1_Format</group>
      <groupName>格式问题</groupName>
      <ability>L2_HalfPunc</ability>
      <abilityName>全半角检查</abilityName>
      <candidateList>
        <item>，</item>
      </candidateList>
      <explain>文本全半角错误。</explain>
      <paraID>203CFF0F</paraID>
      <start>67</start>
      <end>68</end>
      <status>unmodified</status>
      <modifiedWord/>
      <trackRevisions>false</trackRevisions>
    </reviewItem>
    <reviewItem>
      <errorID>31fe2480-4c4c-49d0-92bc-c78bb0b443c9</errorID>
      <errorWord>,</errorWord>
      <group>L1_Format</group>
      <groupName>格式问题</groupName>
      <ability>L2_HalfPunc</ability>
      <abilityName>全半角检查</abilityName>
      <candidateList>
        <item>，</item>
      </candidateList>
      <explain>文本全半角错误。</explain>
      <paraID>19D987AE</paraID>
      <start>143</start>
      <end>144</end>
      <status>unmodified</status>
      <modifiedWord/>
      <trackRevisions>false</trackRevisions>
    </reviewItem>
    <reviewItem>
      <errorID>87a7da42-c1f6-452f-bdf6-3797f0800ecd</errorID>
      <errorWord>,</errorWord>
      <group>L1_Format</group>
      <groupName>格式问题</groupName>
      <ability>L2_HalfPunc</ability>
      <abilityName>全半角检查</abilityName>
      <candidateList>
        <item>，</item>
      </candidateList>
      <explain>文本全半角错误。</explain>
      <paraID> 63D4476</paraID>
      <start>20</start>
      <end>21</end>
      <status>unmodified</status>
      <modifiedWord/>
      <trackRevisions>false</trackRevisions>
    </reviewItem>
    <reviewItem>
      <errorID>c9afdb27-ee52-4d72-8cc6-8ff84b76cbbb</errorID>
      <errorWord>,</errorWord>
      <group>L1_Format</group>
      <groupName>格式问题</groupName>
      <ability>L2_HalfPunc</ability>
      <abilityName>全半角检查</abilityName>
      <candidateList>
        <item>，</item>
      </candidateList>
      <explain>文本全半角错误。</explain>
      <paraID>138160DF</paraID>
      <start>20</start>
      <end>21</end>
      <status>unmodified</status>
      <modifiedWord/>
      <trackRevisions>false</trackRevisions>
    </reviewItem>
    <reviewItem>
      <errorID>511b381b-fa85-489b-ab74-fecf2677844c</errorID>
      <errorWord>:</errorWord>
      <group>L1_Format</group>
      <groupName>格式问题</groupName>
      <ability>L2_HalfPunc</ability>
      <abilityName>全半角检查</abilityName>
      <candidateList>
        <item>：</item>
      </candidateList>
      <explain>文本全半角错误。</explain>
      <paraID>1FB9B9C5</paraID>
      <start>32</start>
      <end>33</end>
      <status>unmodified</status>
      <modifiedWord/>
      <trackRevisions>false</trackRevisions>
    </reviewItem>
    <reviewItem>
      <errorID>0cdfc73e-868c-48fd-a21c-21a3f6838ca8</errorID>
      <errorWord>,</errorWord>
      <group>L1_Format</group>
      <groupName>格式问题</groupName>
      <ability>L2_HalfPunc</ability>
      <abilityName>全半角检查</abilityName>
      <candidateList>
        <item>，</item>
      </candidateList>
      <explain>文本全半角错误。</explain>
      <paraID>1FB9B9C5</paraID>
      <start>70</start>
      <end>71</end>
      <status>unmodified</status>
      <modifiedWord/>
      <trackRevisions>false</trackRevisions>
    </reviewItem>
    <reviewItem>
      <errorID>e7b8a73d-ca69-4705-9daa-31857bffaa54</errorID>
      <errorWord>:</errorWord>
      <group>L1_Format</group>
      <groupName>格式问题</groupName>
      <ability>L2_HalfPunc</ability>
      <abilityName>全半角检查</abilityName>
      <candidateList>
        <item>：</item>
      </candidateList>
      <explain>文本全半角错误。</explain>
      <paraID>3C4160BF</paraID>
      <start>37</start>
      <end>38</end>
      <status>unmodified</status>
      <modifiedWord/>
      <trackRevisions>false</trackRevisions>
    </reviewItem>
    <reviewItem>
      <errorID>55f44576-a9a9-4466-8790-d251f0b0b6f9</errorID>
      <errorWord>,</errorWord>
      <group>L1_Format</group>
      <groupName>格式问题</groupName>
      <ability>L2_HalfPunc</ability>
      <abilityName>全半角检查</abilityName>
      <candidateList>
        <item>，</item>
      </candidateList>
      <explain>文本全半角错误。</explain>
      <paraID>3C4160BF</paraID>
      <start>75</start>
      <end>76</end>
      <status>unmodified</status>
      <modifiedWord/>
      <trackRevisions>false</trackRevisions>
    </reviewItem>
    <reviewItem>
      <errorID>aed762da-9a97-4a9c-bac4-e707606dac23</errorID>
      <errorWord>:</errorWord>
      <group>L1_Format</group>
      <groupName>格式问题</groupName>
      <ability>L2_HalfPunc</ability>
      <abilityName>全半角检查</abilityName>
      <candidateList>
        <item>：</item>
      </candidateList>
      <explain>文本全半角错误。</explain>
      <paraID>5D8D37FD</paraID>
      <start>46</start>
      <end>47</end>
      <status>unmodified</status>
      <modifiedWord/>
      <trackRevisions>false</trackRevisions>
    </reviewItem>
    <reviewItem>
      <errorID>3807bfda-aa9f-4109-b26b-942c6e176038</errorID>
      <errorWord>,</errorWord>
      <group>L1_Format</group>
      <groupName>格式问题</groupName>
      <ability>L2_HalfPunc</ability>
      <abilityName>全半角检查</abilityName>
      <candidateList>
        <item>，</item>
      </candidateList>
      <explain>文本全半角错误。</explain>
      <paraID>5D8D37FD</paraID>
      <start>82</start>
      <end>83</end>
      <status>unmodified</status>
      <modifiedWord/>
      <trackRevisions>false</trackRevisions>
    </reviewItem>
    <reviewItem>
      <errorID>e8203f5b-3f5a-4e88-97a5-109f587a6c0a</errorID>
      <errorWord>:</errorWord>
      <group>L1_Format</group>
      <groupName>格式问题</groupName>
      <ability>L2_HalfPunc</ability>
      <abilityName>全半角检查</abilityName>
      <candidateList>
        <item>：</item>
      </candidateList>
      <explain>文本全半角错误。</explain>
      <paraID>2BEBB659</paraID>
      <start>44</start>
      <end>45</end>
      <status>unmodified</status>
      <modifiedWord/>
      <trackRevisions>false</trackRevisions>
    </reviewItem>
    <reviewItem>
      <errorID>57a2efd2-303a-4c82-8f2c-d046d2906b2d</errorID>
      <errorWord>,</errorWord>
      <group>L1_Format</group>
      <groupName>格式问题</groupName>
      <ability>L2_HalfPunc</ability>
      <abilityName>全半角检查</abilityName>
      <candidateList>
        <item>，</item>
      </candidateList>
      <explain>文本全半角错误。</explain>
      <paraID>2BEBB659</paraID>
      <start>81</start>
      <end>82</end>
      <status>unmodified</status>
      <modifiedWord/>
      <trackRevisions>false</trackRevisions>
    </reviewItem>
    <reviewItem>
      <errorID>74340443-ecca-449e-8310-1948f9be7102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4818AD17</paraID>
      <start>0</start>
      <end>2</end>
      <status>modified</status>
      <modifiedWord>1.</modifiedWord>
      <trackRevisions>false</trackRevisions>
    </reviewItem>
    <reviewItem>
      <errorID>0ed9af4a-5f72-4195-ab65-c04db6bb9ef5</errorID>
      <errorWord>支部书记</errorWord>
      <group>L1_Sensitive</group>
      <groupName>敏感问题</groupName>
      <ability>L2_UserSensitive</ability>
      <abilityName>自定义敏感词</abilityName>
      <candidateList/>
      <explain>来自自定义敏感词库。</explain>
      <paraID>4818AD17</paraID>
      <start>309</start>
      <end>313</end>
      <status>unmodified</status>
      <modifiedWord/>
      <trackRevisions>false</trackRevisions>
    </reviewItem>
    <reviewItem>
      <errorID>8718f180-8636-42ad-bbf7-e1486d103d3b</errorID>
      <errorWord>，</errorWord>
      <group>L1_Word</group>
      <groupName>字词问题</groupName>
      <ability>L2_Typo</ability>
      <abilityName>字词错误</abilityName>
      <candidateList>
        <item>，在</item>
      </candidateList>
      <explain/>
      <paraID>4818AD17</paraID>
      <start>379</start>
      <end>381</end>
      <status>modified</status>
      <modifiedWord>，在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dfb904-b912-41e5-916a-e1ef7ff404e4}">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4160</Words>
  <Characters>4710</Characters>
  <Lines>0</Lines>
  <Paragraphs>0</Paragraphs>
  <TotalTime>3</TotalTime>
  <ScaleCrop>false</ScaleCrop>
  <LinksUpToDate>false</LinksUpToDate>
  <CharactersWithSpaces>4718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2025-11-05T10:16:17Z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